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C04AF" w14:textId="77777777" w:rsidR="00F4794D" w:rsidRDefault="00F4794D" w:rsidP="00F4794D">
      <w:bookmarkStart w:id="0" w:name="_GoBack"/>
      <w:bookmarkEnd w:id="0"/>
      <w:r>
        <w:t xml:space="preserve"> </w:t>
      </w:r>
    </w:p>
    <w:tbl>
      <w:tblPr>
        <w:tblW w:w="5000" w:type="pct"/>
        <w:jc w:val="center"/>
        <w:tblLook w:val="04A0" w:firstRow="1" w:lastRow="0" w:firstColumn="1" w:lastColumn="0" w:noHBand="0" w:noVBand="1"/>
      </w:tblPr>
      <w:tblGrid>
        <w:gridCol w:w="9576"/>
      </w:tblGrid>
      <w:tr w:rsidR="00D1257B" w:rsidRPr="00BC2D78" w14:paraId="572A66EA" w14:textId="77777777" w:rsidTr="00F4794D">
        <w:trPr>
          <w:trHeight w:val="1440"/>
          <w:jc w:val="center"/>
        </w:trPr>
        <w:tc>
          <w:tcPr>
            <w:tcW w:w="5000" w:type="pct"/>
            <w:shd w:val="clear" w:color="auto" w:fill="17365D" w:themeFill="text2" w:themeFillShade="BF"/>
            <w:vAlign w:val="center"/>
          </w:tcPr>
          <w:p w14:paraId="387C88EA" w14:textId="77777777" w:rsidR="005C6B81" w:rsidRPr="009A399D" w:rsidRDefault="00D1257B" w:rsidP="00D3669B">
            <w:pPr>
              <w:pStyle w:val="NoSpacing"/>
              <w:jc w:val="center"/>
              <w:rPr>
                <w:rFonts w:ascii="Arial" w:eastAsia="MS Gothic" w:hAnsi="Arial" w:cs="Arial"/>
                <w:color w:val="FFFFFF" w:themeColor="background1"/>
                <w:sz w:val="48"/>
                <w:szCs w:val="48"/>
              </w:rPr>
            </w:pPr>
            <w:r w:rsidRPr="009A399D">
              <w:rPr>
                <w:rFonts w:ascii="Arial" w:eastAsia="MS Gothic" w:hAnsi="Arial" w:cs="Arial"/>
                <w:color w:val="FFFFFF" w:themeColor="background1"/>
                <w:sz w:val="48"/>
                <w:szCs w:val="48"/>
              </w:rPr>
              <w:t>Leapfrog Hospital Survey</w:t>
            </w:r>
            <w:r w:rsidR="005C6B81" w:rsidRPr="009A399D">
              <w:rPr>
                <w:rFonts w:ascii="Arial" w:eastAsia="MS Gothic" w:hAnsi="Arial" w:cs="Arial"/>
                <w:color w:val="FFFFFF" w:themeColor="background1"/>
                <w:sz w:val="48"/>
                <w:szCs w:val="48"/>
              </w:rPr>
              <w:t xml:space="preserve"> </w:t>
            </w:r>
          </w:p>
          <w:p w14:paraId="1C9D3C98" w14:textId="77777777" w:rsidR="00D1257B" w:rsidRPr="00BC2D78" w:rsidRDefault="006E2BE6" w:rsidP="006E2BE6">
            <w:pPr>
              <w:pStyle w:val="NoSpacing"/>
              <w:jc w:val="center"/>
              <w:rPr>
                <w:rFonts w:ascii="Arial" w:eastAsia="MS Gothic" w:hAnsi="Arial" w:cs="Arial"/>
                <w:sz w:val="48"/>
                <w:szCs w:val="48"/>
              </w:rPr>
            </w:pPr>
            <w:r w:rsidRPr="009A399D">
              <w:rPr>
                <w:rFonts w:ascii="Arial" w:eastAsia="MS Gothic" w:hAnsi="Arial" w:cs="Arial"/>
                <w:color w:val="FFFFFF" w:themeColor="background1"/>
                <w:sz w:val="48"/>
                <w:szCs w:val="48"/>
                <w:lang w:eastAsia="ja-JP"/>
              </w:rPr>
              <w:t>Hard Copy</w:t>
            </w:r>
          </w:p>
        </w:tc>
      </w:tr>
    </w:tbl>
    <w:p w14:paraId="10BAF4BB" w14:textId="77777777" w:rsidR="00FE49F2" w:rsidRDefault="00FE49F2" w:rsidP="006B5931">
      <w:pPr>
        <w:rPr>
          <w:b/>
          <w:i/>
          <w:sz w:val="24"/>
          <w:szCs w:val="24"/>
          <w:highlight w:val="yellow"/>
        </w:rPr>
      </w:pPr>
    </w:p>
    <w:p w14:paraId="6F4B559D" w14:textId="77777777" w:rsidR="00505C3D" w:rsidRPr="00F4794D" w:rsidRDefault="009A399D" w:rsidP="00937518">
      <w:pPr>
        <w:jc w:val="center"/>
        <w:rPr>
          <w:b/>
          <w:color w:val="17365D" w:themeColor="text2" w:themeShade="BF"/>
          <w:sz w:val="32"/>
          <w:szCs w:val="32"/>
        </w:rPr>
      </w:pPr>
      <w:r w:rsidRPr="00F4794D">
        <w:rPr>
          <w:b/>
          <w:color w:val="17365D" w:themeColor="text2" w:themeShade="BF"/>
          <w:sz w:val="32"/>
          <w:szCs w:val="32"/>
        </w:rPr>
        <w:t>QUESTIONS</w:t>
      </w:r>
      <w:r w:rsidR="00937518" w:rsidRPr="00F4794D">
        <w:rPr>
          <w:b/>
          <w:color w:val="17365D" w:themeColor="text2" w:themeShade="BF"/>
          <w:sz w:val="32"/>
          <w:szCs w:val="32"/>
        </w:rPr>
        <w:t xml:space="preserve"> &amp; </w:t>
      </w:r>
      <w:r w:rsidRPr="00F4794D">
        <w:rPr>
          <w:b/>
          <w:color w:val="17365D" w:themeColor="text2" w:themeShade="BF"/>
          <w:sz w:val="32"/>
          <w:szCs w:val="32"/>
        </w:rPr>
        <w:t>REPORTING PERIODS</w:t>
      </w:r>
    </w:p>
    <w:p w14:paraId="38206444" w14:textId="77777777" w:rsidR="00FE49F2" w:rsidRPr="00F4794D" w:rsidRDefault="009A399D" w:rsidP="00937518">
      <w:pPr>
        <w:jc w:val="center"/>
        <w:rPr>
          <w:b/>
          <w:color w:val="17365D" w:themeColor="text2" w:themeShade="BF"/>
          <w:sz w:val="32"/>
          <w:szCs w:val="32"/>
        </w:rPr>
      </w:pPr>
      <w:r w:rsidRPr="00F4794D">
        <w:rPr>
          <w:b/>
          <w:color w:val="17365D" w:themeColor="text2" w:themeShade="BF"/>
          <w:sz w:val="32"/>
          <w:szCs w:val="32"/>
        </w:rPr>
        <w:t>ENDNOTES</w:t>
      </w:r>
    </w:p>
    <w:p w14:paraId="4DB364D6" w14:textId="77777777" w:rsidR="00505C3D" w:rsidRPr="00F4794D" w:rsidRDefault="009A399D" w:rsidP="00937518">
      <w:pPr>
        <w:jc w:val="center"/>
        <w:rPr>
          <w:b/>
          <w:color w:val="17365D" w:themeColor="text2" w:themeShade="BF"/>
          <w:sz w:val="32"/>
          <w:szCs w:val="32"/>
        </w:rPr>
      </w:pPr>
      <w:r w:rsidRPr="00F4794D">
        <w:rPr>
          <w:b/>
          <w:color w:val="17365D" w:themeColor="text2" w:themeShade="BF"/>
          <w:sz w:val="32"/>
          <w:szCs w:val="32"/>
        </w:rPr>
        <w:t>MEASURE SPECIFICATIONS</w:t>
      </w:r>
    </w:p>
    <w:p w14:paraId="7630414D" w14:textId="77777777" w:rsidR="00FE49F2" w:rsidRPr="00F4794D" w:rsidRDefault="009A399D" w:rsidP="00937518">
      <w:pPr>
        <w:jc w:val="center"/>
        <w:rPr>
          <w:b/>
          <w:color w:val="17365D" w:themeColor="text2" w:themeShade="BF"/>
          <w:sz w:val="32"/>
          <w:szCs w:val="32"/>
        </w:rPr>
      </w:pPr>
      <w:r w:rsidRPr="00F4794D">
        <w:rPr>
          <w:b/>
          <w:color w:val="17365D" w:themeColor="text2" w:themeShade="BF"/>
          <w:sz w:val="32"/>
          <w:szCs w:val="32"/>
        </w:rPr>
        <w:t>FAQS</w:t>
      </w:r>
    </w:p>
    <w:p w14:paraId="344625D4" w14:textId="77777777" w:rsidR="00FE49F2" w:rsidRPr="009A399D" w:rsidRDefault="00FE49F2" w:rsidP="00937518">
      <w:pPr>
        <w:jc w:val="center"/>
        <w:rPr>
          <w:b/>
          <w:color w:val="4F6228" w:themeColor="accent3" w:themeShade="80"/>
          <w:sz w:val="28"/>
          <w:szCs w:val="28"/>
          <w:highlight w:val="yellow"/>
        </w:rPr>
      </w:pPr>
    </w:p>
    <w:p w14:paraId="0225FD6D" w14:textId="77777777" w:rsidR="00590079" w:rsidRDefault="00590079">
      <w:pPr>
        <w:rPr>
          <w:b/>
          <w:sz w:val="28"/>
          <w:szCs w:val="28"/>
          <w:highlight w:val="yellow"/>
        </w:rPr>
      </w:pPr>
    </w:p>
    <w:p w14:paraId="0677F60C" w14:textId="77777777" w:rsidR="00590079" w:rsidRPr="0050320E" w:rsidRDefault="00590079" w:rsidP="00590079">
      <w:pPr>
        <w:rPr>
          <w:sz w:val="28"/>
          <w:szCs w:val="28"/>
          <w:highlight w:val="yellow"/>
        </w:rPr>
      </w:pPr>
    </w:p>
    <w:p w14:paraId="4326EDB9" w14:textId="77777777" w:rsidR="00590079" w:rsidRPr="0050320E" w:rsidRDefault="00590079" w:rsidP="00590079">
      <w:pPr>
        <w:rPr>
          <w:sz w:val="28"/>
          <w:szCs w:val="28"/>
          <w:highlight w:val="yellow"/>
        </w:rPr>
      </w:pPr>
    </w:p>
    <w:p w14:paraId="477AA7FE" w14:textId="77777777" w:rsidR="00590079" w:rsidRPr="0050320E" w:rsidRDefault="00590079" w:rsidP="00590079">
      <w:pPr>
        <w:rPr>
          <w:sz w:val="28"/>
          <w:szCs w:val="28"/>
          <w:highlight w:val="yellow"/>
        </w:rPr>
      </w:pPr>
    </w:p>
    <w:p w14:paraId="478B8501" w14:textId="77777777" w:rsidR="00590079" w:rsidRPr="0050320E" w:rsidRDefault="00590079" w:rsidP="00590079">
      <w:pPr>
        <w:rPr>
          <w:sz w:val="28"/>
          <w:szCs w:val="28"/>
          <w:highlight w:val="yellow"/>
        </w:rPr>
      </w:pPr>
    </w:p>
    <w:p w14:paraId="4E7A4703" w14:textId="77777777" w:rsidR="00590079" w:rsidRPr="0050320E" w:rsidRDefault="00590079" w:rsidP="00590079">
      <w:pPr>
        <w:rPr>
          <w:sz w:val="28"/>
          <w:szCs w:val="28"/>
          <w:highlight w:val="yellow"/>
        </w:rPr>
      </w:pPr>
    </w:p>
    <w:p w14:paraId="44031B27" w14:textId="77777777" w:rsidR="00590079" w:rsidRPr="0050320E" w:rsidRDefault="00590079" w:rsidP="0050320E">
      <w:pPr>
        <w:rPr>
          <w:sz w:val="28"/>
          <w:szCs w:val="28"/>
          <w:highlight w:val="yellow"/>
        </w:rPr>
      </w:pPr>
    </w:p>
    <w:p w14:paraId="46357192" w14:textId="77777777" w:rsidR="00590079" w:rsidRPr="0050320E" w:rsidRDefault="00590079" w:rsidP="0050320E">
      <w:pPr>
        <w:rPr>
          <w:sz w:val="28"/>
          <w:szCs w:val="28"/>
          <w:highlight w:val="yellow"/>
        </w:rPr>
      </w:pPr>
    </w:p>
    <w:p w14:paraId="0B52D60B" w14:textId="77777777" w:rsidR="00590079" w:rsidRPr="0050320E" w:rsidRDefault="00590079" w:rsidP="0050320E">
      <w:pPr>
        <w:rPr>
          <w:sz w:val="28"/>
          <w:szCs w:val="28"/>
          <w:highlight w:val="yellow"/>
        </w:rPr>
      </w:pPr>
    </w:p>
    <w:p w14:paraId="03EA1BF9" w14:textId="77777777" w:rsidR="00590079" w:rsidRPr="0050320E" w:rsidRDefault="00590079" w:rsidP="0050320E">
      <w:pPr>
        <w:rPr>
          <w:sz w:val="28"/>
          <w:szCs w:val="28"/>
          <w:highlight w:val="yellow"/>
        </w:rPr>
      </w:pPr>
    </w:p>
    <w:p w14:paraId="473FC6DF" w14:textId="77777777" w:rsidR="00590079" w:rsidRPr="0050320E" w:rsidRDefault="00590079" w:rsidP="0050320E">
      <w:pPr>
        <w:rPr>
          <w:sz w:val="28"/>
          <w:szCs w:val="28"/>
          <w:highlight w:val="yellow"/>
        </w:rPr>
      </w:pPr>
    </w:p>
    <w:p w14:paraId="74BD2151" w14:textId="77777777" w:rsidR="00590079" w:rsidRPr="0050320E" w:rsidRDefault="00590079" w:rsidP="00CF0B79">
      <w:pPr>
        <w:rPr>
          <w:sz w:val="28"/>
          <w:szCs w:val="28"/>
          <w:highlight w:val="yellow"/>
        </w:rPr>
      </w:pPr>
    </w:p>
    <w:p w14:paraId="16B40522" w14:textId="77777777" w:rsidR="00590079" w:rsidRPr="0050320E" w:rsidRDefault="00590079" w:rsidP="00CF40BC">
      <w:pPr>
        <w:rPr>
          <w:sz w:val="28"/>
          <w:szCs w:val="28"/>
          <w:highlight w:val="yellow"/>
        </w:rPr>
      </w:pPr>
    </w:p>
    <w:p w14:paraId="1335A1A0" w14:textId="77777777" w:rsidR="00590079" w:rsidRPr="0050320E" w:rsidRDefault="00590079" w:rsidP="007A1594">
      <w:pPr>
        <w:rPr>
          <w:sz w:val="28"/>
          <w:szCs w:val="28"/>
          <w:highlight w:val="yellow"/>
        </w:rPr>
      </w:pPr>
    </w:p>
    <w:p w14:paraId="0B863A6A" w14:textId="77777777" w:rsidR="00590079" w:rsidRPr="0050320E" w:rsidRDefault="00590079" w:rsidP="00B55902">
      <w:pPr>
        <w:rPr>
          <w:sz w:val="28"/>
          <w:szCs w:val="28"/>
          <w:highlight w:val="yellow"/>
        </w:rPr>
      </w:pPr>
    </w:p>
    <w:p w14:paraId="377BAC55" w14:textId="77777777" w:rsidR="00590079" w:rsidRPr="0050320E" w:rsidRDefault="00590079" w:rsidP="00B55902">
      <w:pPr>
        <w:rPr>
          <w:sz w:val="28"/>
          <w:szCs w:val="28"/>
          <w:highlight w:val="yellow"/>
        </w:rPr>
      </w:pPr>
    </w:p>
    <w:p w14:paraId="1E8EF8B8" w14:textId="77777777" w:rsidR="00590079" w:rsidRPr="0050320E" w:rsidRDefault="00590079" w:rsidP="00B55902">
      <w:pPr>
        <w:rPr>
          <w:sz w:val="28"/>
          <w:szCs w:val="28"/>
          <w:highlight w:val="yellow"/>
        </w:rPr>
      </w:pPr>
    </w:p>
    <w:p w14:paraId="6DE87B64" w14:textId="77777777" w:rsidR="00590079" w:rsidRPr="0050320E" w:rsidRDefault="00590079" w:rsidP="00B55902">
      <w:pPr>
        <w:rPr>
          <w:sz w:val="28"/>
          <w:szCs w:val="28"/>
          <w:highlight w:val="yellow"/>
        </w:rPr>
      </w:pPr>
    </w:p>
    <w:p w14:paraId="0AD28F49" w14:textId="071D4707" w:rsidR="00590079" w:rsidRPr="0050320E" w:rsidRDefault="005E1FC5" w:rsidP="005E1FC5">
      <w:pPr>
        <w:jc w:val="center"/>
        <w:rPr>
          <w:sz w:val="28"/>
          <w:szCs w:val="28"/>
          <w:highlight w:val="yellow"/>
        </w:rPr>
      </w:pPr>
      <w:r w:rsidRPr="005E1FC5">
        <w:rPr>
          <w:noProof/>
          <w:sz w:val="28"/>
          <w:szCs w:val="28"/>
        </w:rPr>
        <w:drawing>
          <wp:anchor distT="0" distB="0" distL="114300" distR="114300" simplePos="0" relativeHeight="251681792" behindDoc="0" locked="0" layoutInCell="1" allowOverlap="1" wp14:anchorId="72E9D008" wp14:editId="0E806DEE">
            <wp:simplePos x="2628900" y="6743700"/>
            <wp:positionH relativeFrom="margin">
              <wp:align>center</wp:align>
            </wp:positionH>
            <wp:positionV relativeFrom="margin">
              <wp:align>bottom</wp:align>
            </wp:positionV>
            <wp:extent cx="2507456" cy="1114425"/>
            <wp:effectExtent l="0" t="0" r="7620" b="0"/>
            <wp:wrapSquare wrapText="bothSides"/>
            <wp:docPr id="4" name="Picture 4" descr="C:\Users\mdanforth\My ShareSync\LF-Leapfrog\Leapfrog\Help Desk\Survey Logos\hosp-survey-270x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nforth\My ShareSync\LF-Leapfrog\Leapfrog\Help Desk\Survey Logos\hosp-survey-270x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456" cy="1114425"/>
                    </a:xfrm>
                    <a:prstGeom prst="rect">
                      <a:avLst/>
                    </a:prstGeom>
                    <a:noFill/>
                    <a:ln>
                      <a:noFill/>
                    </a:ln>
                  </pic:spPr>
                </pic:pic>
              </a:graphicData>
            </a:graphic>
          </wp:anchor>
        </w:drawing>
      </w:r>
    </w:p>
    <w:p w14:paraId="4ACFA2FC" w14:textId="77777777" w:rsidR="00590079" w:rsidRPr="0050320E" w:rsidRDefault="00590079" w:rsidP="005B7128">
      <w:pPr>
        <w:rPr>
          <w:sz w:val="28"/>
          <w:szCs w:val="28"/>
          <w:highlight w:val="yellow"/>
        </w:rPr>
      </w:pPr>
    </w:p>
    <w:p w14:paraId="1AAC719E" w14:textId="77777777" w:rsidR="00590079" w:rsidRPr="0050320E" w:rsidRDefault="00590079" w:rsidP="005B7128">
      <w:pPr>
        <w:rPr>
          <w:sz w:val="28"/>
          <w:szCs w:val="28"/>
          <w:highlight w:val="yellow"/>
        </w:rPr>
      </w:pPr>
    </w:p>
    <w:p w14:paraId="383DEFBC" w14:textId="77777777" w:rsidR="00590079" w:rsidRPr="00590079" w:rsidRDefault="00590079" w:rsidP="00590079">
      <w:pPr>
        <w:rPr>
          <w:sz w:val="28"/>
          <w:szCs w:val="28"/>
          <w:highlight w:val="yellow"/>
        </w:rPr>
      </w:pPr>
    </w:p>
    <w:p w14:paraId="3B22BEE9" w14:textId="77777777" w:rsidR="00590079" w:rsidRPr="00590079" w:rsidRDefault="00590079" w:rsidP="00590079">
      <w:pPr>
        <w:rPr>
          <w:sz w:val="28"/>
          <w:szCs w:val="28"/>
          <w:highlight w:val="yellow"/>
        </w:rPr>
      </w:pPr>
    </w:p>
    <w:p w14:paraId="3F02D2A7" w14:textId="77777777" w:rsidR="00590079" w:rsidRPr="00590079" w:rsidRDefault="00590079" w:rsidP="00590079">
      <w:pPr>
        <w:rPr>
          <w:sz w:val="28"/>
          <w:szCs w:val="28"/>
          <w:highlight w:val="yellow"/>
        </w:rPr>
      </w:pPr>
    </w:p>
    <w:p w14:paraId="6A581A9F" w14:textId="77777777" w:rsidR="00590079" w:rsidRDefault="00590079">
      <w:pPr>
        <w:rPr>
          <w:sz w:val="28"/>
          <w:szCs w:val="28"/>
          <w:highlight w:val="yellow"/>
        </w:rPr>
      </w:pPr>
    </w:p>
    <w:p w14:paraId="51022A51" w14:textId="77777777" w:rsidR="00590079" w:rsidRDefault="00590079">
      <w:pPr>
        <w:rPr>
          <w:sz w:val="28"/>
          <w:szCs w:val="28"/>
          <w:highlight w:val="yellow"/>
        </w:rPr>
      </w:pPr>
    </w:p>
    <w:p w14:paraId="5B1E361F" w14:textId="77777777" w:rsidR="001B07B8" w:rsidRPr="002864AF" w:rsidRDefault="00FE49F2">
      <w:pPr>
        <w:rPr>
          <w:rFonts w:cs="Arial"/>
          <w:b/>
          <w:color w:val="17365D" w:themeColor="text2" w:themeShade="BF"/>
          <w:sz w:val="32"/>
          <w:szCs w:val="32"/>
        </w:rPr>
      </w:pPr>
      <w:r w:rsidRPr="0050320E">
        <w:rPr>
          <w:sz w:val="28"/>
          <w:szCs w:val="28"/>
          <w:highlight w:val="yellow"/>
        </w:rPr>
        <w:br w:type="page"/>
      </w:r>
      <w:bookmarkStart w:id="1" w:name="TOC"/>
      <w:r w:rsidR="001B07B8" w:rsidRPr="002864AF">
        <w:rPr>
          <w:rFonts w:cs="Arial"/>
          <w:b/>
          <w:color w:val="17365D" w:themeColor="text2" w:themeShade="BF"/>
          <w:sz w:val="32"/>
          <w:szCs w:val="32"/>
        </w:rPr>
        <w:lastRenderedPageBreak/>
        <w:t xml:space="preserve">Table of Contents </w:t>
      </w:r>
      <w:bookmarkEnd w:id="1"/>
    </w:p>
    <w:p w14:paraId="310F3527" w14:textId="77777777" w:rsidR="00AB61D4" w:rsidRPr="002864AF" w:rsidRDefault="00AB61D4">
      <w:pPr>
        <w:rPr>
          <w:rFonts w:cs="Arial"/>
          <w:b/>
          <w:color w:val="4F6228" w:themeColor="accent3" w:themeShade="80"/>
          <w:sz w:val="32"/>
          <w:szCs w:val="32"/>
          <w:highlight w:val="yellow"/>
        </w:rPr>
      </w:pPr>
    </w:p>
    <w:p w14:paraId="4ECDE9FC" w14:textId="77777777" w:rsidR="002A499B" w:rsidRPr="00C8183B" w:rsidRDefault="004656A6">
      <w:pPr>
        <w:pStyle w:val="TOC1"/>
        <w:rPr>
          <w:rFonts w:eastAsiaTheme="minorEastAsia" w:cs="Arial"/>
          <w:noProof/>
        </w:rPr>
      </w:pPr>
      <w:r w:rsidRPr="00C8183B">
        <w:rPr>
          <w:rFonts w:cs="Arial"/>
          <w:b/>
          <w:i/>
        </w:rPr>
        <w:fldChar w:fldCharType="begin"/>
      </w:r>
      <w:r w:rsidRPr="00C8183B">
        <w:rPr>
          <w:rFonts w:cs="Arial"/>
          <w:b/>
          <w:i/>
        </w:rPr>
        <w:instrText xml:space="preserve"> TOC \h \z \t "Heading 1,3,Heading 2,4,Heading 3,5,Heading 4,6,Title,2,Section Header,1" </w:instrText>
      </w:r>
      <w:r w:rsidRPr="00C8183B">
        <w:rPr>
          <w:rFonts w:cs="Arial"/>
          <w:b/>
          <w:i/>
        </w:rPr>
        <w:fldChar w:fldCharType="separate"/>
      </w:r>
      <w:hyperlink w:anchor="_Toc447194947" w:history="1">
        <w:r w:rsidR="002A499B" w:rsidRPr="00C8183B">
          <w:rPr>
            <w:rStyle w:val="Hyperlink"/>
            <w:rFonts w:cs="Arial"/>
            <w:noProof/>
          </w:rPr>
          <w:t>Welcome to the 2016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6</w:t>
        </w:r>
        <w:r w:rsidR="002A499B" w:rsidRPr="00C8183B">
          <w:rPr>
            <w:rFonts w:cs="Arial"/>
            <w:noProof/>
            <w:webHidden/>
          </w:rPr>
          <w:fldChar w:fldCharType="end"/>
        </w:r>
      </w:hyperlink>
    </w:p>
    <w:p w14:paraId="4C96387F" w14:textId="77777777" w:rsidR="002A499B" w:rsidRPr="00C8183B" w:rsidRDefault="00E9134C">
      <w:pPr>
        <w:pStyle w:val="TOC4"/>
        <w:tabs>
          <w:tab w:val="right" w:leader="dot" w:pos="9350"/>
        </w:tabs>
        <w:rPr>
          <w:rFonts w:eastAsiaTheme="minorEastAsia" w:cs="Arial"/>
          <w:noProof/>
        </w:rPr>
      </w:pPr>
      <w:hyperlink w:anchor="_Toc447194948" w:history="1">
        <w:r w:rsidR="002A499B" w:rsidRPr="00C8183B">
          <w:rPr>
            <w:rStyle w:val="Hyperlink"/>
            <w:rFonts w:cs="Arial"/>
            <w:noProof/>
          </w:rPr>
          <w:t>Important Notes about the 2016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6</w:t>
        </w:r>
        <w:r w:rsidR="002A499B" w:rsidRPr="00C8183B">
          <w:rPr>
            <w:rFonts w:cs="Arial"/>
            <w:noProof/>
            <w:webHidden/>
          </w:rPr>
          <w:fldChar w:fldCharType="end"/>
        </w:r>
      </w:hyperlink>
    </w:p>
    <w:p w14:paraId="3A0232B5" w14:textId="77777777" w:rsidR="002A499B" w:rsidRPr="00C8183B" w:rsidRDefault="00E9134C">
      <w:pPr>
        <w:pStyle w:val="TOC4"/>
        <w:tabs>
          <w:tab w:val="right" w:leader="dot" w:pos="9350"/>
        </w:tabs>
        <w:rPr>
          <w:rFonts w:eastAsiaTheme="minorEastAsia" w:cs="Arial"/>
          <w:noProof/>
        </w:rPr>
      </w:pPr>
      <w:hyperlink w:anchor="_Toc447194949" w:history="1">
        <w:r w:rsidR="002A499B" w:rsidRPr="00C8183B">
          <w:rPr>
            <w:rStyle w:val="Hyperlink"/>
            <w:rFonts w:cs="Arial"/>
            <w:noProof/>
            <w:snapToGrid w:val="0"/>
          </w:rPr>
          <w:t>Overview of the 2016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7</w:t>
        </w:r>
        <w:r w:rsidR="002A499B" w:rsidRPr="00C8183B">
          <w:rPr>
            <w:rFonts w:cs="Arial"/>
            <w:noProof/>
            <w:webHidden/>
          </w:rPr>
          <w:fldChar w:fldCharType="end"/>
        </w:r>
      </w:hyperlink>
    </w:p>
    <w:p w14:paraId="01602A0A" w14:textId="77777777" w:rsidR="002A499B" w:rsidRPr="00C8183B" w:rsidRDefault="00E9134C">
      <w:pPr>
        <w:pStyle w:val="TOC4"/>
        <w:tabs>
          <w:tab w:val="right" w:leader="dot" w:pos="9350"/>
        </w:tabs>
        <w:rPr>
          <w:rFonts w:eastAsiaTheme="minorEastAsia" w:cs="Arial"/>
          <w:noProof/>
        </w:rPr>
      </w:pPr>
      <w:hyperlink w:anchor="_Toc447194950" w:history="1">
        <w:r w:rsidR="002A499B" w:rsidRPr="00C8183B">
          <w:rPr>
            <w:rStyle w:val="Hyperlink"/>
            <w:rFonts w:cs="Arial"/>
            <w:noProof/>
          </w:rPr>
          <w:t>Pre-Submission Checklist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9</w:t>
        </w:r>
        <w:r w:rsidR="002A499B" w:rsidRPr="00C8183B">
          <w:rPr>
            <w:rFonts w:cs="Arial"/>
            <w:noProof/>
            <w:webHidden/>
          </w:rPr>
          <w:fldChar w:fldCharType="end"/>
        </w:r>
      </w:hyperlink>
    </w:p>
    <w:p w14:paraId="613984C4" w14:textId="77777777" w:rsidR="002A499B" w:rsidRPr="00C8183B" w:rsidRDefault="00E9134C">
      <w:pPr>
        <w:pStyle w:val="TOC4"/>
        <w:tabs>
          <w:tab w:val="right" w:leader="dot" w:pos="9350"/>
        </w:tabs>
        <w:rPr>
          <w:rFonts w:eastAsiaTheme="minorEastAsia" w:cs="Arial"/>
          <w:noProof/>
        </w:rPr>
      </w:pPr>
      <w:hyperlink w:anchor="_Toc447194951" w:history="1">
        <w:r w:rsidR="002A499B" w:rsidRPr="00C8183B">
          <w:rPr>
            <w:rStyle w:val="Hyperlink"/>
            <w:rFonts w:cs="Arial"/>
            <w:noProof/>
          </w:rPr>
          <w:t>Instructions for Submitting a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_Toc447194951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10</w:t>
        </w:r>
        <w:r w:rsidR="002A499B" w:rsidRPr="00C8183B">
          <w:rPr>
            <w:rFonts w:cs="Arial"/>
            <w:noProof/>
            <w:webHidden/>
          </w:rPr>
          <w:fldChar w:fldCharType="end"/>
        </w:r>
      </w:hyperlink>
    </w:p>
    <w:p w14:paraId="76A749D0" w14:textId="77777777" w:rsidR="002A499B" w:rsidRPr="00C8183B" w:rsidRDefault="00E9134C">
      <w:pPr>
        <w:pStyle w:val="TOC5"/>
        <w:tabs>
          <w:tab w:val="right" w:leader="dot" w:pos="9350"/>
        </w:tabs>
        <w:rPr>
          <w:rFonts w:ascii="Arial" w:hAnsi="Arial" w:cs="Arial"/>
          <w:noProof/>
          <w:sz w:val="20"/>
          <w:szCs w:val="20"/>
        </w:rPr>
      </w:pPr>
      <w:hyperlink w:anchor="_Toc447194952" w:history="1">
        <w:r w:rsidR="002A499B" w:rsidRPr="00C8183B">
          <w:rPr>
            <w:rStyle w:val="Hyperlink"/>
            <w:rFonts w:ascii="Arial" w:hAnsi="Arial" w:cs="Arial"/>
            <w:noProof/>
            <w:sz w:val="20"/>
            <w:szCs w:val="20"/>
          </w:rPr>
          <w:t>Helpful Tips for Verifying Submission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11</w:t>
        </w:r>
        <w:r w:rsidR="002A499B" w:rsidRPr="00C8183B">
          <w:rPr>
            <w:rFonts w:ascii="Arial" w:hAnsi="Arial" w:cs="Arial"/>
            <w:noProof/>
            <w:webHidden/>
            <w:sz w:val="20"/>
            <w:szCs w:val="20"/>
          </w:rPr>
          <w:fldChar w:fldCharType="end"/>
        </w:r>
      </w:hyperlink>
    </w:p>
    <w:p w14:paraId="0AC7AA79" w14:textId="77777777" w:rsidR="002A499B" w:rsidRPr="00C8183B" w:rsidRDefault="00E9134C">
      <w:pPr>
        <w:pStyle w:val="TOC5"/>
        <w:tabs>
          <w:tab w:val="right" w:leader="dot" w:pos="9350"/>
        </w:tabs>
        <w:rPr>
          <w:rFonts w:ascii="Arial" w:hAnsi="Arial" w:cs="Arial"/>
          <w:noProof/>
          <w:sz w:val="20"/>
          <w:szCs w:val="20"/>
        </w:rPr>
      </w:pPr>
      <w:hyperlink w:anchor="_Toc447194953" w:history="1">
        <w:r w:rsidR="002A499B" w:rsidRPr="00C8183B">
          <w:rPr>
            <w:rStyle w:val="Hyperlink"/>
            <w:rFonts w:ascii="Arial" w:hAnsi="Arial" w:cs="Arial"/>
            <w:noProof/>
            <w:sz w:val="20"/>
            <w:szCs w:val="20"/>
          </w:rPr>
          <w:t>Tips for updating or correcting a previously submitted Leapfrog Hospital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11</w:t>
        </w:r>
        <w:r w:rsidR="002A499B" w:rsidRPr="00C8183B">
          <w:rPr>
            <w:rFonts w:ascii="Arial" w:hAnsi="Arial" w:cs="Arial"/>
            <w:noProof/>
            <w:webHidden/>
            <w:sz w:val="20"/>
            <w:szCs w:val="20"/>
          </w:rPr>
          <w:fldChar w:fldCharType="end"/>
        </w:r>
      </w:hyperlink>
    </w:p>
    <w:p w14:paraId="28E3ABD1" w14:textId="77777777" w:rsidR="002A499B" w:rsidRPr="00C8183B" w:rsidRDefault="00E9134C">
      <w:pPr>
        <w:pStyle w:val="TOC4"/>
        <w:tabs>
          <w:tab w:val="right" w:leader="dot" w:pos="9350"/>
        </w:tabs>
        <w:rPr>
          <w:rFonts w:eastAsiaTheme="minorEastAsia" w:cs="Arial"/>
          <w:noProof/>
        </w:rPr>
      </w:pPr>
      <w:hyperlink w:anchor="_Toc447194954" w:history="1">
        <w:r w:rsidR="002A499B" w:rsidRPr="00C8183B">
          <w:rPr>
            <w:rStyle w:val="Hyperlink"/>
            <w:rFonts w:cs="Arial"/>
            <w:noProof/>
          </w:rPr>
          <w:t>Deadlines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13</w:t>
        </w:r>
        <w:r w:rsidR="002A499B" w:rsidRPr="00C8183B">
          <w:rPr>
            <w:rFonts w:cs="Arial"/>
            <w:noProof/>
            <w:webHidden/>
          </w:rPr>
          <w:fldChar w:fldCharType="end"/>
        </w:r>
      </w:hyperlink>
    </w:p>
    <w:p w14:paraId="41432BD2" w14:textId="77777777" w:rsidR="002A499B" w:rsidRPr="00C8183B" w:rsidRDefault="00E9134C">
      <w:pPr>
        <w:pStyle w:val="TOC5"/>
        <w:tabs>
          <w:tab w:val="right" w:leader="dot" w:pos="9350"/>
        </w:tabs>
        <w:rPr>
          <w:rFonts w:ascii="Arial" w:hAnsi="Arial" w:cs="Arial"/>
          <w:noProof/>
          <w:sz w:val="20"/>
          <w:szCs w:val="20"/>
        </w:rPr>
      </w:pPr>
      <w:hyperlink w:anchor="_Toc447194955" w:history="1">
        <w:r w:rsidR="002A499B" w:rsidRPr="00C8183B">
          <w:rPr>
            <w:rStyle w:val="Hyperlink"/>
            <w:rFonts w:ascii="Arial" w:hAnsi="Arial" w:cs="Arial"/>
            <w:noProof/>
            <w:sz w:val="20"/>
            <w:szCs w:val="20"/>
          </w:rPr>
          <w:t>Deadlines for the 2016 Leapfrog Hospital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13</w:t>
        </w:r>
        <w:r w:rsidR="002A499B" w:rsidRPr="00C8183B">
          <w:rPr>
            <w:rFonts w:ascii="Arial" w:hAnsi="Arial" w:cs="Arial"/>
            <w:noProof/>
            <w:webHidden/>
            <w:sz w:val="20"/>
            <w:szCs w:val="20"/>
          </w:rPr>
          <w:fldChar w:fldCharType="end"/>
        </w:r>
      </w:hyperlink>
    </w:p>
    <w:p w14:paraId="48F4E849" w14:textId="77777777" w:rsidR="002A499B" w:rsidRPr="00C8183B" w:rsidRDefault="00E9134C">
      <w:pPr>
        <w:pStyle w:val="TOC5"/>
        <w:tabs>
          <w:tab w:val="right" w:leader="dot" w:pos="9350"/>
        </w:tabs>
        <w:rPr>
          <w:rFonts w:ascii="Arial" w:hAnsi="Arial" w:cs="Arial"/>
          <w:noProof/>
          <w:sz w:val="20"/>
          <w:szCs w:val="20"/>
        </w:rPr>
      </w:pPr>
      <w:hyperlink w:anchor="_Toc447194956" w:history="1">
        <w:r w:rsidR="002A499B" w:rsidRPr="00C8183B">
          <w:rPr>
            <w:rStyle w:val="Hyperlink"/>
            <w:rFonts w:ascii="Arial" w:hAnsi="Arial" w:cs="Arial"/>
            <w:noProof/>
            <w:sz w:val="20"/>
            <w:szCs w:val="20"/>
          </w:rPr>
          <w:t>Deadlines Related to the Hospital Safety Score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13</w:t>
        </w:r>
        <w:r w:rsidR="002A499B" w:rsidRPr="00C8183B">
          <w:rPr>
            <w:rFonts w:ascii="Arial" w:hAnsi="Arial" w:cs="Arial"/>
            <w:noProof/>
            <w:webHidden/>
            <w:sz w:val="20"/>
            <w:szCs w:val="20"/>
          </w:rPr>
          <w:fldChar w:fldCharType="end"/>
        </w:r>
      </w:hyperlink>
    </w:p>
    <w:p w14:paraId="76801FEB" w14:textId="77777777" w:rsidR="002A499B" w:rsidRPr="00C8183B" w:rsidRDefault="00E9134C">
      <w:pPr>
        <w:pStyle w:val="TOC4"/>
        <w:tabs>
          <w:tab w:val="right" w:leader="dot" w:pos="9350"/>
        </w:tabs>
        <w:rPr>
          <w:rFonts w:eastAsiaTheme="minorEastAsia" w:cs="Arial"/>
          <w:noProof/>
        </w:rPr>
      </w:pPr>
      <w:hyperlink w:anchor="_Toc447194957" w:history="1">
        <w:r w:rsidR="002A499B" w:rsidRPr="00C8183B">
          <w:rPr>
            <w:rStyle w:val="Hyperlink"/>
            <w:rFonts w:cs="Arial"/>
            <w:noProof/>
            <w:snapToGrid w:val="0"/>
          </w:rPr>
          <w:t>Technical Assistance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14</w:t>
        </w:r>
        <w:r w:rsidR="002A499B" w:rsidRPr="00C8183B">
          <w:rPr>
            <w:rFonts w:cs="Arial"/>
            <w:noProof/>
            <w:webHidden/>
          </w:rPr>
          <w:fldChar w:fldCharType="end"/>
        </w:r>
      </w:hyperlink>
    </w:p>
    <w:p w14:paraId="2C556DB0" w14:textId="77777777" w:rsidR="002A499B" w:rsidRPr="00C8183B" w:rsidRDefault="00E9134C">
      <w:pPr>
        <w:pStyle w:val="TOC5"/>
        <w:tabs>
          <w:tab w:val="right" w:leader="dot" w:pos="9350"/>
        </w:tabs>
        <w:rPr>
          <w:rFonts w:ascii="Arial" w:hAnsi="Arial" w:cs="Arial"/>
          <w:noProof/>
          <w:sz w:val="20"/>
          <w:szCs w:val="20"/>
        </w:rPr>
      </w:pPr>
      <w:hyperlink w:anchor="_Toc447194958" w:history="1">
        <w:r w:rsidR="002A499B" w:rsidRPr="00C8183B">
          <w:rPr>
            <w:rStyle w:val="Hyperlink"/>
            <w:rFonts w:ascii="Arial" w:hAnsi="Arial" w:cs="Arial"/>
            <w:noProof/>
            <w:sz w:val="20"/>
            <w:szCs w:val="20"/>
          </w:rPr>
          <w:t>Help Desk</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14</w:t>
        </w:r>
        <w:r w:rsidR="002A499B" w:rsidRPr="00C8183B">
          <w:rPr>
            <w:rFonts w:ascii="Arial" w:hAnsi="Arial" w:cs="Arial"/>
            <w:noProof/>
            <w:webHidden/>
            <w:sz w:val="20"/>
            <w:szCs w:val="20"/>
          </w:rPr>
          <w:fldChar w:fldCharType="end"/>
        </w:r>
      </w:hyperlink>
    </w:p>
    <w:p w14:paraId="645DC164" w14:textId="77777777" w:rsidR="002A499B" w:rsidRPr="00C8183B" w:rsidRDefault="00E9134C">
      <w:pPr>
        <w:pStyle w:val="TOC5"/>
        <w:tabs>
          <w:tab w:val="right" w:leader="dot" w:pos="9350"/>
        </w:tabs>
        <w:rPr>
          <w:rFonts w:ascii="Arial" w:hAnsi="Arial" w:cs="Arial"/>
          <w:noProof/>
          <w:sz w:val="20"/>
          <w:szCs w:val="20"/>
        </w:rPr>
      </w:pPr>
      <w:hyperlink w:anchor="_Toc447194959" w:history="1">
        <w:r w:rsidR="002A499B" w:rsidRPr="00C8183B">
          <w:rPr>
            <w:rStyle w:val="Hyperlink"/>
            <w:rFonts w:ascii="Arial" w:hAnsi="Arial" w:cs="Arial"/>
            <w:noProof/>
            <w:sz w:val="20"/>
            <w:szCs w:val="20"/>
          </w:rPr>
          <w:t>Leapfrog Survey Users Group</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14</w:t>
        </w:r>
        <w:r w:rsidR="002A499B" w:rsidRPr="00C8183B">
          <w:rPr>
            <w:rFonts w:ascii="Arial" w:hAnsi="Arial" w:cs="Arial"/>
            <w:noProof/>
            <w:webHidden/>
            <w:sz w:val="20"/>
            <w:szCs w:val="20"/>
          </w:rPr>
          <w:fldChar w:fldCharType="end"/>
        </w:r>
      </w:hyperlink>
    </w:p>
    <w:p w14:paraId="7BD10BF7" w14:textId="77777777" w:rsidR="002A499B" w:rsidRPr="00C8183B" w:rsidRDefault="00E9134C">
      <w:pPr>
        <w:pStyle w:val="TOC4"/>
        <w:tabs>
          <w:tab w:val="right" w:leader="dot" w:pos="9350"/>
        </w:tabs>
        <w:rPr>
          <w:rFonts w:eastAsiaTheme="minorEastAsia" w:cs="Arial"/>
          <w:noProof/>
        </w:rPr>
      </w:pPr>
      <w:hyperlink w:anchor="_Toc447194960" w:history="1">
        <w:r w:rsidR="002A499B" w:rsidRPr="00C8183B">
          <w:rPr>
            <w:rStyle w:val="Hyperlink"/>
            <w:rFonts w:cs="Arial"/>
            <w:noProof/>
            <w:snapToGrid w:val="0"/>
          </w:rPr>
          <w:t>Reporting Periods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15</w:t>
        </w:r>
        <w:r w:rsidR="002A499B" w:rsidRPr="00C8183B">
          <w:rPr>
            <w:rFonts w:cs="Arial"/>
            <w:noProof/>
            <w:webHidden/>
          </w:rPr>
          <w:fldChar w:fldCharType="end"/>
        </w:r>
      </w:hyperlink>
    </w:p>
    <w:p w14:paraId="1DC4FF7D" w14:textId="77777777" w:rsidR="002A499B" w:rsidRPr="00C8183B" w:rsidRDefault="00E9134C">
      <w:pPr>
        <w:pStyle w:val="TOC1"/>
        <w:rPr>
          <w:rFonts w:eastAsiaTheme="minorEastAsia" w:cs="Arial"/>
          <w:noProof/>
        </w:rPr>
      </w:pPr>
      <w:hyperlink w:anchor="_Toc447194961" w:history="1">
        <w:r w:rsidR="002A499B" w:rsidRPr="00C8183B">
          <w:rPr>
            <w:rStyle w:val="Hyperlink"/>
            <w:rFonts w:cs="Arial"/>
            <w:noProof/>
          </w:rPr>
          <w:t>PROFILE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_Toc447194961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18</w:t>
        </w:r>
        <w:r w:rsidR="002A499B" w:rsidRPr="00C8183B">
          <w:rPr>
            <w:rFonts w:cs="Arial"/>
            <w:noProof/>
            <w:webHidden/>
          </w:rPr>
          <w:fldChar w:fldCharType="end"/>
        </w:r>
      </w:hyperlink>
    </w:p>
    <w:p w14:paraId="298A2286" w14:textId="77777777" w:rsidR="002A499B" w:rsidRPr="00C8183B" w:rsidRDefault="00E9134C">
      <w:pPr>
        <w:pStyle w:val="TOC2"/>
        <w:tabs>
          <w:tab w:val="right" w:leader="dot" w:pos="9350"/>
        </w:tabs>
        <w:rPr>
          <w:rFonts w:eastAsiaTheme="minorEastAsia" w:cs="Arial"/>
          <w:noProof/>
        </w:rPr>
      </w:pPr>
      <w:hyperlink w:anchor="_Toc447194962" w:history="1">
        <w:r w:rsidR="002A499B" w:rsidRPr="00C8183B">
          <w:rPr>
            <w:rStyle w:val="Hyperlink"/>
            <w:rFonts w:cs="Arial"/>
            <w:noProof/>
          </w:rPr>
          <w:t>PROFILE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_Toc447194962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19</w:t>
        </w:r>
        <w:r w:rsidR="002A499B" w:rsidRPr="00C8183B">
          <w:rPr>
            <w:rFonts w:cs="Arial"/>
            <w:noProof/>
            <w:webHidden/>
          </w:rPr>
          <w:fldChar w:fldCharType="end"/>
        </w:r>
      </w:hyperlink>
    </w:p>
    <w:p w14:paraId="335B266D" w14:textId="77777777" w:rsidR="002A499B" w:rsidRPr="00C8183B" w:rsidRDefault="00E9134C">
      <w:pPr>
        <w:pStyle w:val="TOC5"/>
        <w:tabs>
          <w:tab w:val="right" w:leader="dot" w:pos="9350"/>
        </w:tabs>
        <w:rPr>
          <w:rFonts w:ascii="Arial" w:hAnsi="Arial" w:cs="Arial"/>
          <w:noProof/>
          <w:sz w:val="20"/>
          <w:szCs w:val="20"/>
        </w:rPr>
      </w:pPr>
      <w:hyperlink w:anchor="_Toc447194963" w:history="1">
        <w:r w:rsidR="002A499B" w:rsidRPr="00C8183B">
          <w:rPr>
            <w:rStyle w:val="Hyperlink"/>
            <w:rFonts w:ascii="Arial" w:hAnsi="Arial" w:cs="Arial"/>
            <w:noProof/>
            <w:sz w:val="20"/>
            <w:szCs w:val="20"/>
          </w:rPr>
          <w:t>Facility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19</w:t>
        </w:r>
        <w:r w:rsidR="002A499B" w:rsidRPr="00C8183B">
          <w:rPr>
            <w:rFonts w:ascii="Arial" w:hAnsi="Arial" w:cs="Arial"/>
            <w:noProof/>
            <w:webHidden/>
            <w:sz w:val="20"/>
            <w:szCs w:val="20"/>
          </w:rPr>
          <w:fldChar w:fldCharType="end"/>
        </w:r>
      </w:hyperlink>
    </w:p>
    <w:p w14:paraId="4ADE02D5" w14:textId="77777777" w:rsidR="002A499B" w:rsidRPr="00C8183B" w:rsidRDefault="00E9134C">
      <w:pPr>
        <w:pStyle w:val="TOC5"/>
        <w:tabs>
          <w:tab w:val="right" w:leader="dot" w:pos="9350"/>
        </w:tabs>
        <w:rPr>
          <w:rFonts w:ascii="Arial" w:hAnsi="Arial" w:cs="Arial"/>
          <w:noProof/>
          <w:sz w:val="20"/>
          <w:szCs w:val="20"/>
        </w:rPr>
      </w:pPr>
      <w:hyperlink w:anchor="_Toc447194964" w:history="1">
        <w:r w:rsidR="002A499B" w:rsidRPr="00C8183B">
          <w:rPr>
            <w:rStyle w:val="Hyperlink"/>
            <w:rFonts w:ascii="Arial" w:hAnsi="Arial" w:cs="Arial"/>
            <w:noProof/>
            <w:snapToGrid w:val="0"/>
            <w:sz w:val="20"/>
            <w:szCs w:val="20"/>
          </w:rPr>
          <w:t>Demographic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19</w:t>
        </w:r>
        <w:r w:rsidR="002A499B" w:rsidRPr="00C8183B">
          <w:rPr>
            <w:rFonts w:ascii="Arial" w:hAnsi="Arial" w:cs="Arial"/>
            <w:noProof/>
            <w:webHidden/>
            <w:sz w:val="20"/>
            <w:szCs w:val="20"/>
          </w:rPr>
          <w:fldChar w:fldCharType="end"/>
        </w:r>
      </w:hyperlink>
    </w:p>
    <w:p w14:paraId="421F7A0C" w14:textId="77777777" w:rsidR="002A499B" w:rsidRPr="00C8183B" w:rsidRDefault="00E9134C">
      <w:pPr>
        <w:pStyle w:val="TOC5"/>
        <w:tabs>
          <w:tab w:val="right" w:leader="dot" w:pos="9350"/>
        </w:tabs>
        <w:rPr>
          <w:rFonts w:ascii="Arial" w:hAnsi="Arial" w:cs="Arial"/>
          <w:noProof/>
          <w:sz w:val="20"/>
          <w:szCs w:val="20"/>
        </w:rPr>
      </w:pPr>
      <w:hyperlink w:anchor="_Toc447194965" w:history="1">
        <w:r w:rsidR="002A499B" w:rsidRPr="00C8183B">
          <w:rPr>
            <w:rStyle w:val="Hyperlink"/>
            <w:rFonts w:ascii="Arial" w:hAnsi="Arial" w:cs="Arial"/>
            <w:noProof/>
            <w:snapToGrid w:val="0"/>
            <w:sz w:val="20"/>
            <w:szCs w:val="20"/>
          </w:rPr>
          <w:t>Contact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20</w:t>
        </w:r>
        <w:r w:rsidR="002A499B" w:rsidRPr="00C8183B">
          <w:rPr>
            <w:rFonts w:ascii="Arial" w:hAnsi="Arial" w:cs="Arial"/>
            <w:noProof/>
            <w:webHidden/>
            <w:sz w:val="20"/>
            <w:szCs w:val="20"/>
          </w:rPr>
          <w:fldChar w:fldCharType="end"/>
        </w:r>
      </w:hyperlink>
    </w:p>
    <w:p w14:paraId="4C9A01F0" w14:textId="77777777" w:rsidR="002A499B" w:rsidRPr="00C8183B" w:rsidRDefault="00E9134C">
      <w:pPr>
        <w:pStyle w:val="TOC1"/>
        <w:rPr>
          <w:rFonts w:eastAsiaTheme="minorEastAsia" w:cs="Arial"/>
          <w:noProof/>
        </w:rPr>
      </w:pPr>
      <w:hyperlink w:anchor="_Toc447194966" w:history="1">
        <w:r w:rsidR="002A499B" w:rsidRPr="00C8183B">
          <w:rPr>
            <w:rStyle w:val="Hyperlink"/>
            <w:rFonts w:cs="Arial"/>
            <w:noProof/>
          </w:rPr>
          <w:t>SECTION 1: BASIC HOSPITAL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_Toc447194966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22</w:t>
        </w:r>
        <w:r w:rsidR="002A499B" w:rsidRPr="00C8183B">
          <w:rPr>
            <w:rFonts w:cs="Arial"/>
            <w:noProof/>
            <w:webHidden/>
          </w:rPr>
          <w:fldChar w:fldCharType="end"/>
        </w:r>
      </w:hyperlink>
    </w:p>
    <w:p w14:paraId="4B493D63" w14:textId="77777777" w:rsidR="002A499B" w:rsidRPr="00C8183B" w:rsidRDefault="00E9134C">
      <w:pPr>
        <w:pStyle w:val="TOC2"/>
        <w:tabs>
          <w:tab w:val="right" w:leader="dot" w:pos="9350"/>
        </w:tabs>
        <w:rPr>
          <w:rFonts w:eastAsiaTheme="minorEastAsia" w:cs="Arial"/>
          <w:noProof/>
        </w:rPr>
      </w:pPr>
      <w:hyperlink w:anchor="_Toc447194967" w:history="1">
        <w:r w:rsidR="002A499B" w:rsidRPr="00C8183B">
          <w:rPr>
            <w:rStyle w:val="Hyperlink"/>
            <w:rFonts w:cs="Arial"/>
            <w:noProof/>
          </w:rPr>
          <w:t>Section 1: 2016 Basic Hospital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23</w:t>
        </w:r>
        <w:r w:rsidR="002A499B" w:rsidRPr="00C8183B">
          <w:rPr>
            <w:rFonts w:cs="Arial"/>
            <w:noProof/>
            <w:webHidden/>
          </w:rPr>
          <w:fldChar w:fldCharType="end"/>
        </w:r>
      </w:hyperlink>
    </w:p>
    <w:p w14:paraId="53C4D9B4" w14:textId="77777777" w:rsidR="002A499B" w:rsidRPr="00C8183B" w:rsidRDefault="00E9134C">
      <w:pPr>
        <w:pStyle w:val="TOC2"/>
        <w:tabs>
          <w:tab w:val="right" w:leader="dot" w:pos="9350"/>
        </w:tabs>
        <w:rPr>
          <w:rFonts w:eastAsiaTheme="minorEastAsia" w:cs="Arial"/>
          <w:noProof/>
        </w:rPr>
      </w:pPr>
      <w:hyperlink w:anchor="_Toc447194968" w:history="1">
        <w:r w:rsidR="002A499B" w:rsidRPr="00C8183B">
          <w:rPr>
            <w:rStyle w:val="Hyperlink"/>
            <w:rFonts w:cs="Arial"/>
            <w:noProof/>
            <w:lang w:eastAsia="ja-JP"/>
          </w:rPr>
          <w:t>Section 1: 2016 Basic Hospital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24</w:t>
        </w:r>
        <w:r w:rsidR="002A499B" w:rsidRPr="00C8183B">
          <w:rPr>
            <w:rFonts w:cs="Arial"/>
            <w:noProof/>
            <w:webHidden/>
          </w:rPr>
          <w:fldChar w:fldCharType="end"/>
        </w:r>
      </w:hyperlink>
    </w:p>
    <w:p w14:paraId="41E0A6F5" w14:textId="77777777" w:rsidR="002A499B" w:rsidRPr="00C8183B" w:rsidRDefault="00E9134C">
      <w:pPr>
        <w:pStyle w:val="TOC5"/>
        <w:tabs>
          <w:tab w:val="right" w:leader="dot" w:pos="9350"/>
        </w:tabs>
        <w:rPr>
          <w:rFonts w:ascii="Arial" w:hAnsi="Arial" w:cs="Arial"/>
          <w:noProof/>
          <w:sz w:val="20"/>
          <w:szCs w:val="20"/>
        </w:rPr>
      </w:pPr>
      <w:hyperlink w:anchor="_Toc447194969"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24</w:t>
        </w:r>
        <w:r w:rsidR="002A499B" w:rsidRPr="00C8183B">
          <w:rPr>
            <w:rFonts w:ascii="Arial" w:hAnsi="Arial" w:cs="Arial"/>
            <w:noProof/>
            <w:webHidden/>
            <w:sz w:val="20"/>
            <w:szCs w:val="20"/>
          </w:rPr>
          <w:fldChar w:fldCharType="end"/>
        </w:r>
      </w:hyperlink>
    </w:p>
    <w:p w14:paraId="6271D34D" w14:textId="77777777" w:rsidR="002A499B" w:rsidRPr="00C8183B" w:rsidRDefault="00E9134C">
      <w:pPr>
        <w:pStyle w:val="TOC5"/>
        <w:tabs>
          <w:tab w:val="right" w:leader="dot" w:pos="9350"/>
        </w:tabs>
        <w:rPr>
          <w:rFonts w:ascii="Arial" w:hAnsi="Arial" w:cs="Arial"/>
          <w:noProof/>
          <w:sz w:val="20"/>
          <w:szCs w:val="20"/>
        </w:rPr>
      </w:pPr>
      <w:hyperlink w:anchor="_Toc447194970"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24</w:t>
        </w:r>
        <w:r w:rsidR="002A499B" w:rsidRPr="00C8183B">
          <w:rPr>
            <w:rFonts w:ascii="Arial" w:hAnsi="Arial" w:cs="Arial"/>
            <w:noProof/>
            <w:webHidden/>
            <w:sz w:val="20"/>
            <w:szCs w:val="20"/>
          </w:rPr>
          <w:fldChar w:fldCharType="end"/>
        </w:r>
      </w:hyperlink>
    </w:p>
    <w:p w14:paraId="43C42A0F" w14:textId="77777777" w:rsidR="002A499B" w:rsidRPr="00C8183B" w:rsidRDefault="00E9134C">
      <w:pPr>
        <w:pStyle w:val="TOC1"/>
        <w:rPr>
          <w:rFonts w:eastAsiaTheme="minorEastAsia" w:cs="Arial"/>
          <w:noProof/>
        </w:rPr>
      </w:pPr>
      <w:hyperlink w:anchor="_Toc447194971"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_Toc447194971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25</w:t>
        </w:r>
        <w:r w:rsidR="002A499B" w:rsidRPr="00C8183B">
          <w:rPr>
            <w:rFonts w:cs="Arial"/>
            <w:noProof/>
            <w:webHidden/>
          </w:rPr>
          <w:fldChar w:fldCharType="end"/>
        </w:r>
      </w:hyperlink>
    </w:p>
    <w:p w14:paraId="578E494E" w14:textId="77777777" w:rsidR="002A499B" w:rsidRPr="00C8183B" w:rsidRDefault="00E9134C">
      <w:pPr>
        <w:pStyle w:val="TOC1"/>
        <w:rPr>
          <w:rFonts w:eastAsiaTheme="minorEastAsia" w:cs="Arial"/>
          <w:noProof/>
        </w:rPr>
      </w:pPr>
      <w:hyperlink w:anchor="_Toc447194972" w:history="1">
        <w:r w:rsidR="002A499B" w:rsidRPr="00C8183B">
          <w:rPr>
            <w:rStyle w:val="Hyperlink"/>
            <w:rFonts w:cs="Arial"/>
            <w:noProof/>
          </w:rPr>
          <w:t>SECTION 2: COMPUTERIZED PHYSICIAN ORDER ENTRY (CPOE)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_Toc447194972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26</w:t>
        </w:r>
        <w:r w:rsidR="002A499B" w:rsidRPr="00C8183B">
          <w:rPr>
            <w:rFonts w:cs="Arial"/>
            <w:noProof/>
            <w:webHidden/>
          </w:rPr>
          <w:fldChar w:fldCharType="end"/>
        </w:r>
      </w:hyperlink>
    </w:p>
    <w:p w14:paraId="089F1699" w14:textId="77777777" w:rsidR="002A499B" w:rsidRPr="00C8183B" w:rsidRDefault="00E9134C">
      <w:pPr>
        <w:pStyle w:val="TOC2"/>
        <w:tabs>
          <w:tab w:val="right" w:leader="dot" w:pos="9350"/>
        </w:tabs>
        <w:rPr>
          <w:rFonts w:eastAsiaTheme="minorEastAsia" w:cs="Arial"/>
          <w:noProof/>
        </w:rPr>
      </w:pPr>
      <w:hyperlink w:anchor="_Toc447194973" w:history="1">
        <w:r w:rsidR="002A499B" w:rsidRPr="00C8183B">
          <w:rPr>
            <w:rStyle w:val="Hyperlink"/>
            <w:rFonts w:cs="Arial"/>
            <w:noProof/>
          </w:rPr>
          <w:t>Section 2: 2016 Computerized Physician Order Entry (CPOE) Standard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_Toc447194973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27</w:t>
        </w:r>
        <w:r w:rsidR="002A499B" w:rsidRPr="00C8183B">
          <w:rPr>
            <w:rFonts w:cs="Arial"/>
            <w:noProof/>
            <w:webHidden/>
          </w:rPr>
          <w:fldChar w:fldCharType="end"/>
        </w:r>
      </w:hyperlink>
    </w:p>
    <w:p w14:paraId="5A329637" w14:textId="77777777" w:rsidR="002A499B" w:rsidRPr="00C8183B" w:rsidRDefault="00E9134C">
      <w:pPr>
        <w:pStyle w:val="TOC2"/>
        <w:tabs>
          <w:tab w:val="right" w:leader="dot" w:pos="9350"/>
        </w:tabs>
        <w:rPr>
          <w:rFonts w:eastAsiaTheme="minorEastAsia" w:cs="Arial"/>
          <w:noProof/>
        </w:rPr>
      </w:pPr>
      <w:hyperlink w:anchor="_Toc447194974" w:history="1">
        <w:r w:rsidR="002A499B" w:rsidRPr="00C8183B">
          <w:rPr>
            <w:rStyle w:val="Hyperlink"/>
            <w:rFonts w:cs="Arial"/>
            <w:noProof/>
          </w:rPr>
          <w:t>Section 2: Computerized Physician Order Entry (CPOE)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30</w:t>
        </w:r>
        <w:r w:rsidR="002A499B" w:rsidRPr="00C8183B">
          <w:rPr>
            <w:rFonts w:cs="Arial"/>
            <w:noProof/>
            <w:webHidden/>
          </w:rPr>
          <w:fldChar w:fldCharType="end"/>
        </w:r>
      </w:hyperlink>
    </w:p>
    <w:p w14:paraId="61B9A361" w14:textId="77777777" w:rsidR="002A499B" w:rsidRPr="00C8183B" w:rsidRDefault="00E9134C">
      <w:pPr>
        <w:pStyle w:val="TOC5"/>
        <w:tabs>
          <w:tab w:val="right" w:leader="dot" w:pos="9350"/>
        </w:tabs>
        <w:rPr>
          <w:rFonts w:ascii="Arial" w:hAnsi="Arial" w:cs="Arial"/>
          <w:noProof/>
          <w:sz w:val="20"/>
          <w:szCs w:val="20"/>
        </w:rPr>
      </w:pPr>
      <w:hyperlink w:anchor="_Toc447194975"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30</w:t>
        </w:r>
        <w:r w:rsidR="002A499B" w:rsidRPr="00C8183B">
          <w:rPr>
            <w:rFonts w:ascii="Arial" w:hAnsi="Arial" w:cs="Arial"/>
            <w:noProof/>
            <w:webHidden/>
            <w:sz w:val="20"/>
            <w:szCs w:val="20"/>
          </w:rPr>
          <w:fldChar w:fldCharType="end"/>
        </w:r>
      </w:hyperlink>
    </w:p>
    <w:p w14:paraId="29BDB38E" w14:textId="77777777" w:rsidR="002A499B" w:rsidRPr="00C8183B" w:rsidRDefault="00E9134C">
      <w:pPr>
        <w:pStyle w:val="TOC5"/>
        <w:tabs>
          <w:tab w:val="right" w:leader="dot" w:pos="9350"/>
        </w:tabs>
        <w:rPr>
          <w:rFonts w:ascii="Arial" w:hAnsi="Arial" w:cs="Arial"/>
          <w:noProof/>
          <w:sz w:val="20"/>
          <w:szCs w:val="20"/>
        </w:rPr>
      </w:pPr>
      <w:hyperlink w:anchor="_Toc447194976"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30</w:t>
        </w:r>
        <w:r w:rsidR="002A499B" w:rsidRPr="00C8183B">
          <w:rPr>
            <w:rFonts w:ascii="Arial" w:hAnsi="Arial" w:cs="Arial"/>
            <w:noProof/>
            <w:webHidden/>
            <w:sz w:val="20"/>
            <w:szCs w:val="20"/>
          </w:rPr>
          <w:fldChar w:fldCharType="end"/>
        </w:r>
      </w:hyperlink>
    </w:p>
    <w:p w14:paraId="6D9E16F7" w14:textId="77777777" w:rsidR="002A499B" w:rsidRPr="00C8183B" w:rsidRDefault="00E9134C">
      <w:pPr>
        <w:pStyle w:val="TOC4"/>
        <w:tabs>
          <w:tab w:val="right" w:leader="dot" w:pos="9350"/>
        </w:tabs>
        <w:rPr>
          <w:rFonts w:eastAsiaTheme="minorEastAsia" w:cs="Arial"/>
          <w:noProof/>
        </w:rPr>
      </w:pPr>
      <w:hyperlink w:anchor="_Toc447194977" w:history="1">
        <w:r w:rsidR="002A499B" w:rsidRPr="00C8183B">
          <w:rPr>
            <w:rStyle w:val="Hyperlink"/>
            <w:rFonts w:cs="Arial"/>
            <w:noProof/>
          </w:rPr>
          <w:t>CPOE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31</w:t>
        </w:r>
        <w:r w:rsidR="002A499B" w:rsidRPr="00C8183B">
          <w:rPr>
            <w:rFonts w:cs="Arial"/>
            <w:noProof/>
            <w:webHidden/>
          </w:rPr>
          <w:fldChar w:fldCharType="end"/>
        </w:r>
      </w:hyperlink>
    </w:p>
    <w:p w14:paraId="64E3ED67" w14:textId="77777777" w:rsidR="002A499B" w:rsidRPr="00C8183B" w:rsidRDefault="00E9134C">
      <w:pPr>
        <w:pStyle w:val="TOC1"/>
        <w:rPr>
          <w:rFonts w:eastAsiaTheme="minorEastAsia" w:cs="Arial"/>
          <w:noProof/>
        </w:rPr>
      </w:pPr>
      <w:hyperlink w:anchor="_Toc447194978" w:history="1">
        <w:r w:rsidR="002A499B" w:rsidRPr="00C8183B">
          <w:rPr>
            <w:rStyle w:val="Hyperlink"/>
            <w:rFonts w:cs="Arial"/>
            <w:noProof/>
          </w:rPr>
          <w:t>SECTION 3: EVIDENCE-BASED HOSPITAL REFERRAL (EBHR)</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33</w:t>
        </w:r>
        <w:r w:rsidR="002A499B" w:rsidRPr="00C8183B">
          <w:rPr>
            <w:rFonts w:cs="Arial"/>
            <w:noProof/>
            <w:webHidden/>
          </w:rPr>
          <w:fldChar w:fldCharType="end"/>
        </w:r>
      </w:hyperlink>
    </w:p>
    <w:p w14:paraId="17176302" w14:textId="77777777" w:rsidR="002A499B" w:rsidRPr="00C8183B" w:rsidRDefault="00E9134C">
      <w:pPr>
        <w:pStyle w:val="TOC2"/>
        <w:tabs>
          <w:tab w:val="right" w:leader="dot" w:pos="9350"/>
        </w:tabs>
        <w:rPr>
          <w:rFonts w:eastAsiaTheme="minorEastAsia" w:cs="Arial"/>
          <w:noProof/>
        </w:rPr>
      </w:pPr>
      <w:hyperlink w:anchor="_Toc447194979" w:history="1">
        <w:r w:rsidR="002A499B" w:rsidRPr="00C8183B">
          <w:rPr>
            <w:rStyle w:val="Hyperlink"/>
            <w:rFonts w:cs="Arial"/>
            <w:noProof/>
          </w:rPr>
          <w:t>Section 3: 2016 Evidence-Based Hospital Referral</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34</w:t>
        </w:r>
        <w:r w:rsidR="002A499B" w:rsidRPr="00C8183B">
          <w:rPr>
            <w:rFonts w:cs="Arial"/>
            <w:noProof/>
            <w:webHidden/>
          </w:rPr>
          <w:fldChar w:fldCharType="end"/>
        </w:r>
      </w:hyperlink>
    </w:p>
    <w:p w14:paraId="773E0E5A" w14:textId="77777777" w:rsidR="002A499B" w:rsidRPr="00C8183B" w:rsidRDefault="00E9134C">
      <w:pPr>
        <w:pStyle w:val="TOC4"/>
        <w:tabs>
          <w:tab w:val="right" w:leader="dot" w:pos="9350"/>
        </w:tabs>
        <w:rPr>
          <w:rFonts w:eastAsiaTheme="minorEastAsia" w:cs="Arial"/>
          <w:noProof/>
        </w:rPr>
      </w:pPr>
      <w:hyperlink w:anchor="_Toc447194980" w:history="1">
        <w:r w:rsidR="002A499B" w:rsidRPr="00C8183B">
          <w:rPr>
            <w:rStyle w:val="Hyperlink"/>
            <w:rFonts w:cs="Arial"/>
            <w:noProof/>
            <w:snapToGrid w:val="0"/>
          </w:rPr>
          <w:t>3A High-Risk Surgical Procedures Provided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35</w:t>
        </w:r>
        <w:r w:rsidR="002A499B" w:rsidRPr="00C8183B">
          <w:rPr>
            <w:rFonts w:cs="Arial"/>
            <w:noProof/>
            <w:webHidden/>
          </w:rPr>
          <w:fldChar w:fldCharType="end"/>
        </w:r>
      </w:hyperlink>
    </w:p>
    <w:p w14:paraId="22B98F9A" w14:textId="77777777" w:rsidR="002A499B" w:rsidRPr="00C8183B" w:rsidRDefault="00E9134C">
      <w:pPr>
        <w:pStyle w:val="TOC4"/>
        <w:tabs>
          <w:tab w:val="right" w:leader="dot" w:pos="9350"/>
        </w:tabs>
        <w:rPr>
          <w:rFonts w:eastAsiaTheme="minorEastAsia" w:cs="Arial"/>
          <w:noProof/>
        </w:rPr>
      </w:pPr>
      <w:hyperlink w:anchor="_Toc447194981" w:history="1">
        <w:r w:rsidR="002A499B" w:rsidRPr="00C8183B">
          <w:rPr>
            <w:rStyle w:val="Hyperlink"/>
            <w:rFonts w:cs="Arial"/>
            <w:noProof/>
            <w:snapToGrid w:val="0"/>
          </w:rPr>
          <w:t>3B: Aortic Valve Replacement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_Toc447194981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36</w:t>
        </w:r>
        <w:r w:rsidR="002A499B" w:rsidRPr="00C8183B">
          <w:rPr>
            <w:rFonts w:cs="Arial"/>
            <w:noProof/>
            <w:webHidden/>
          </w:rPr>
          <w:fldChar w:fldCharType="end"/>
        </w:r>
      </w:hyperlink>
    </w:p>
    <w:p w14:paraId="43C6D8FE" w14:textId="77777777" w:rsidR="002A499B" w:rsidRPr="00C8183B" w:rsidRDefault="00E9134C">
      <w:pPr>
        <w:pStyle w:val="TOC5"/>
        <w:tabs>
          <w:tab w:val="right" w:leader="dot" w:pos="9350"/>
        </w:tabs>
        <w:rPr>
          <w:rFonts w:ascii="Arial" w:hAnsi="Arial" w:cs="Arial"/>
          <w:noProof/>
          <w:sz w:val="20"/>
          <w:szCs w:val="20"/>
        </w:rPr>
      </w:pPr>
      <w:hyperlink w:anchor="_Toc447194982" w:history="1">
        <w:r w:rsidR="002A499B" w:rsidRPr="00C8183B">
          <w:rPr>
            <w:rStyle w:val="Hyperlink"/>
            <w:rFonts w:ascii="Arial" w:hAnsi="Arial" w:cs="Arial"/>
            <w:noProof/>
            <w:snapToGrid w:val="0"/>
            <w:sz w:val="20"/>
            <w:szCs w:val="20"/>
          </w:rPr>
          <w:t>Aortic Valve Replacement (AVR)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36</w:t>
        </w:r>
        <w:r w:rsidR="002A499B" w:rsidRPr="00C8183B">
          <w:rPr>
            <w:rFonts w:ascii="Arial" w:hAnsi="Arial" w:cs="Arial"/>
            <w:noProof/>
            <w:webHidden/>
            <w:sz w:val="20"/>
            <w:szCs w:val="20"/>
          </w:rPr>
          <w:fldChar w:fldCharType="end"/>
        </w:r>
      </w:hyperlink>
    </w:p>
    <w:p w14:paraId="3E7F5E24" w14:textId="77777777" w:rsidR="002A499B" w:rsidRPr="00C8183B" w:rsidRDefault="00E9134C">
      <w:pPr>
        <w:pStyle w:val="TOC5"/>
        <w:tabs>
          <w:tab w:val="right" w:leader="dot" w:pos="9350"/>
        </w:tabs>
        <w:rPr>
          <w:rFonts w:ascii="Arial" w:hAnsi="Arial" w:cs="Arial"/>
          <w:noProof/>
          <w:sz w:val="20"/>
          <w:szCs w:val="20"/>
        </w:rPr>
      </w:pPr>
      <w:hyperlink w:anchor="_Toc447194983" w:history="1">
        <w:r w:rsidR="002A499B" w:rsidRPr="00C8183B">
          <w:rPr>
            <w:rStyle w:val="Hyperlink"/>
            <w:rFonts w:ascii="Arial" w:hAnsi="Arial" w:cs="Arial"/>
            <w:noProof/>
            <w:snapToGrid w:val="0"/>
            <w:sz w:val="20"/>
            <w:szCs w:val="20"/>
          </w:rPr>
          <w:t>Aortic Valve Replacement (AVR) – National Performance Measurement</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37</w:t>
        </w:r>
        <w:r w:rsidR="002A499B" w:rsidRPr="00C8183B">
          <w:rPr>
            <w:rFonts w:ascii="Arial" w:hAnsi="Arial" w:cs="Arial"/>
            <w:noProof/>
            <w:webHidden/>
            <w:sz w:val="20"/>
            <w:szCs w:val="20"/>
          </w:rPr>
          <w:fldChar w:fldCharType="end"/>
        </w:r>
      </w:hyperlink>
    </w:p>
    <w:p w14:paraId="374B6B10" w14:textId="77777777" w:rsidR="002A499B" w:rsidRPr="00C8183B" w:rsidRDefault="00E9134C">
      <w:pPr>
        <w:pStyle w:val="TOC5"/>
        <w:tabs>
          <w:tab w:val="right" w:leader="dot" w:pos="9350"/>
        </w:tabs>
        <w:rPr>
          <w:rFonts w:ascii="Arial" w:hAnsi="Arial" w:cs="Arial"/>
          <w:noProof/>
          <w:sz w:val="20"/>
          <w:szCs w:val="20"/>
        </w:rPr>
      </w:pPr>
      <w:hyperlink w:anchor="_Toc447194984" w:history="1">
        <w:r w:rsidR="002A499B" w:rsidRPr="00C8183B">
          <w:rPr>
            <w:rStyle w:val="Hyperlink"/>
            <w:rFonts w:ascii="Arial" w:hAnsi="Arial" w:cs="Arial"/>
            <w:noProof/>
            <w:snapToGrid w:val="0"/>
            <w:sz w:val="20"/>
            <w:szCs w:val="20"/>
          </w:rPr>
          <w:t>Aortic Valve Replacement (AVR) – Regional Registries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38</w:t>
        </w:r>
        <w:r w:rsidR="002A499B" w:rsidRPr="00C8183B">
          <w:rPr>
            <w:rFonts w:ascii="Arial" w:hAnsi="Arial" w:cs="Arial"/>
            <w:noProof/>
            <w:webHidden/>
            <w:sz w:val="20"/>
            <w:szCs w:val="20"/>
          </w:rPr>
          <w:fldChar w:fldCharType="end"/>
        </w:r>
      </w:hyperlink>
    </w:p>
    <w:p w14:paraId="63571270" w14:textId="77777777" w:rsidR="002A499B" w:rsidRPr="00C8183B" w:rsidRDefault="00E9134C">
      <w:pPr>
        <w:pStyle w:val="TOC4"/>
        <w:tabs>
          <w:tab w:val="right" w:leader="dot" w:pos="9350"/>
        </w:tabs>
        <w:rPr>
          <w:rFonts w:eastAsiaTheme="minorEastAsia" w:cs="Arial"/>
          <w:noProof/>
        </w:rPr>
      </w:pPr>
      <w:hyperlink w:anchor="_Toc447194985" w:history="1">
        <w:r w:rsidR="002A499B" w:rsidRPr="00C8183B">
          <w:rPr>
            <w:rStyle w:val="Hyperlink"/>
            <w:rFonts w:cs="Arial"/>
            <w:noProof/>
            <w:snapToGrid w:val="0"/>
          </w:rPr>
          <w:t>3C: Abdominal Aortic Aneurysm (AAA) Repair</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39</w:t>
        </w:r>
        <w:r w:rsidR="002A499B" w:rsidRPr="00C8183B">
          <w:rPr>
            <w:rFonts w:cs="Arial"/>
            <w:noProof/>
            <w:webHidden/>
          </w:rPr>
          <w:fldChar w:fldCharType="end"/>
        </w:r>
      </w:hyperlink>
    </w:p>
    <w:p w14:paraId="1E6B336C" w14:textId="77777777" w:rsidR="002A499B" w:rsidRPr="00C8183B" w:rsidRDefault="00E9134C">
      <w:pPr>
        <w:pStyle w:val="TOC5"/>
        <w:tabs>
          <w:tab w:val="right" w:leader="dot" w:pos="9350"/>
        </w:tabs>
        <w:rPr>
          <w:rFonts w:ascii="Arial" w:hAnsi="Arial" w:cs="Arial"/>
          <w:noProof/>
          <w:sz w:val="20"/>
          <w:szCs w:val="20"/>
        </w:rPr>
      </w:pPr>
      <w:hyperlink w:anchor="_Toc447194986" w:history="1">
        <w:r w:rsidR="002A499B" w:rsidRPr="00C8183B">
          <w:rPr>
            <w:rStyle w:val="Hyperlink"/>
            <w:rFonts w:ascii="Arial" w:hAnsi="Arial" w:cs="Arial"/>
            <w:noProof/>
            <w:snapToGrid w:val="0"/>
            <w:sz w:val="20"/>
            <w:szCs w:val="20"/>
          </w:rPr>
          <w:t>Abdominal Aortic Aneurysm (AAA) Repair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39</w:t>
        </w:r>
        <w:r w:rsidR="002A499B" w:rsidRPr="00C8183B">
          <w:rPr>
            <w:rFonts w:ascii="Arial" w:hAnsi="Arial" w:cs="Arial"/>
            <w:noProof/>
            <w:webHidden/>
            <w:sz w:val="20"/>
            <w:szCs w:val="20"/>
          </w:rPr>
          <w:fldChar w:fldCharType="end"/>
        </w:r>
      </w:hyperlink>
    </w:p>
    <w:p w14:paraId="11A07CD2" w14:textId="77777777" w:rsidR="002A499B" w:rsidRPr="00C8183B" w:rsidRDefault="00E9134C">
      <w:pPr>
        <w:pStyle w:val="TOC4"/>
        <w:tabs>
          <w:tab w:val="right" w:leader="dot" w:pos="9350"/>
        </w:tabs>
        <w:rPr>
          <w:rFonts w:eastAsiaTheme="minorEastAsia" w:cs="Arial"/>
          <w:noProof/>
        </w:rPr>
      </w:pPr>
      <w:hyperlink w:anchor="_Toc447194987" w:history="1">
        <w:r w:rsidR="002A499B" w:rsidRPr="00C8183B">
          <w:rPr>
            <w:rStyle w:val="Hyperlink"/>
            <w:rFonts w:cs="Arial"/>
            <w:noProof/>
            <w:snapToGrid w:val="0"/>
          </w:rPr>
          <w:t>3D: Pancreatic Resections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40</w:t>
        </w:r>
        <w:r w:rsidR="002A499B" w:rsidRPr="00C8183B">
          <w:rPr>
            <w:rFonts w:cs="Arial"/>
            <w:noProof/>
            <w:webHidden/>
          </w:rPr>
          <w:fldChar w:fldCharType="end"/>
        </w:r>
      </w:hyperlink>
    </w:p>
    <w:p w14:paraId="54E13BCF" w14:textId="77777777" w:rsidR="002A499B" w:rsidRPr="00C8183B" w:rsidRDefault="00E9134C">
      <w:pPr>
        <w:pStyle w:val="TOC5"/>
        <w:tabs>
          <w:tab w:val="right" w:leader="dot" w:pos="9350"/>
        </w:tabs>
        <w:rPr>
          <w:rFonts w:ascii="Arial" w:hAnsi="Arial" w:cs="Arial"/>
          <w:noProof/>
          <w:sz w:val="20"/>
          <w:szCs w:val="20"/>
        </w:rPr>
      </w:pPr>
      <w:hyperlink w:anchor="_Toc447194988" w:history="1">
        <w:r w:rsidR="002A499B" w:rsidRPr="00C8183B">
          <w:rPr>
            <w:rStyle w:val="Hyperlink"/>
            <w:rFonts w:ascii="Arial" w:hAnsi="Arial" w:cs="Arial"/>
            <w:noProof/>
            <w:snapToGrid w:val="0"/>
            <w:sz w:val="20"/>
            <w:szCs w:val="20"/>
          </w:rPr>
          <w:t>Pancreatic Resections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40</w:t>
        </w:r>
        <w:r w:rsidR="002A499B" w:rsidRPr="00C8183B">
          <w:rPr>
            <w:rFonts w:ascii="Arial" w:hAnsi="Arial" w:cs="Arial"/>
            <w:noProof/>
            <w:webHidden/>
            <w:sz w:val="20"/>
            <w:szCs w:val="20"/>
          </w:rPr>
          <w:fldChar w:fldCharType="end"/>
        </w:r>
      </w:hyperlink>
    </w:p>
    <w:p w14:paraId="5FC064E4" w14:textId="77777777" w:rsidR="002A499B" w:rsidRPr="00C8183B" w:rsidRDefault="00E9134C">
      <w:pPr>
        <w:pStyle w:val="TOC4"/>
        <w:tabs>
          <w:tab w:val="right" w:leader="dot" w:pos="9350"/>
        </w:tabs>
        <w:rPr>
          <w:rFonts w:eastAsiaTheme="minorEastAsia" w:cs="Arial"/>
          <w:noProof/>
        </w:rPr>
      </w:pPr>
      <w:hyperlink w:anchor="_Toc447194989" w:history="1">
        <w:r w:rsidR="002A499B" w:rsidRPr="00C8183B">
          <w:rPr>
            <w:rStyle w:val="Hyperlink"/>
            <w:rFonts w:cs="Arial"/>
            <w:noProof/>
            <w:snapToGrid w:val="0"/>
          </w:rPr>
          <w:t>3E: Esophagectomy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41</w:t>
        </w:r>
        <w:r w:rsidR="002A499B" w:rsidRPr="00C8183B">
          <w:rPr>
            <w:rFonts w:cs="Arial"/>
            <w:noProof/>
            <w:webHidden/>
          </w:rPr>
          <w:fldChar w:fldCharType="end"/>
        </w:r>
      </w:hyperlink>
    </w:p>
    <w:p w14:paraId="72EB5FDC" w14:textId="77777777" w:rsidR="002A499B" w:rsidRPr="00C8183B" w:rsidRDefault="00E9134C">
      <w:pPr>
        <w:pStyle w:val="TOC5"/>
        <w:tabs>
          <w:tab w:val="right" w:leader="dot" w:pos="9350"/>
        </w:tabs>
        <w:rPr>
          <w:rFonts w:ascii="Arial" w:hAnsi="Arial" w:cs="Arial"/>
          <w:noProof/>
          <w:sz w:val="20"/>
          <w:szCs w:val="20"/>
        </w:rPr>
      </w:pPr>
      <w:hyperlink w:anchor="_Toc447194990" w:history="1">
        <w:r w:rsidR="002A499B" w:rsidRPr="00C8183B">
          <w:rPr>
            <w:rStyle w:val="Hyperlink"/>
            <w:rFonts w:ascii="Arial" w:hAnsi="Arial" w:cs="Arial"/>
            <w:noProof/>
            <w:snapToGrid w:val="0"/>
            <w:sz w:val="20"/>
            <w:szCs w:val="20"/>
          </w:rPr>
          <w:t>Esophagectomy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41</w:t>
        </w:r>
        <w:r w:rsidR="002A499B" w:rsidRPr="00C8183B">
          <w:rPr>
            <w:rFonts w:ascii="Arial" w:hAnsi="Arial" w:cs="Arial"/>
            <w:noProof/>
            <w:webHidden/>
            <w:sz w:val="20"/>
            <w:szCs w:val="20"/>
          </w:rPr>
          <w:fldChar w:fldCharType="end"/>
        </w:r>
      </w:hyperlink>
    </w:p>
    <w:p w14:paraId="4AC95D61" w14:textId="77777777" w:rsidR="002A499B" w:rsidRPr="00C8183B" w:rsidRDefault="00E9134C">
      <w:pPr>
        <w:pStyle w:val="TOC2"/>
        <w:tabs>
          <w:tab w:val="right" w:leader="dot" w:pos="9350"/>
        </w:tabs>
        <w:rPr>
          <w:rFonts w:eastAsiaTheme="minorEastAsia" w:cs="Arial"/>
          <w:noProof/>
        </w:rPr>
      </w:pPr>
      <w:hyperlink w:anchor="_Toc447194991" w:history="1">
        <w:r w:rsidR="002A499B" w:rsidRPr="00C8183B">
          <w:rPr>
            <w:rStyle w:val="Hyperlink"/>
            <w:rFonts w:cs="Arial"/>
            <w:noProof/>
          </w:rPr>
          <w:t>Section 3: 2015 Evidence-Based Hospital Referral (EBHR)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_Toc447194991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43</w:t>
        </w:r>
        <w:r w:rsidR="002A499B" w:rsidRPr="00C8183B">
          <w:rPr>
            <w:rFonts w:cs="Arial"/>
            <w:noProof/>
            <w:webHidden/>
          </w:rPr>
          <w:fldChar w:fldCharType="end"/>
        </w:r>
      </w:hyperlink>
    </w:p>
    <w:p w14:paraId="2A101FCA" w14:textId="77777777" w:rsidR="002A499B" w:rsidRPr="00C8183B" w:rsidRDefault="00E9134C">
      <w:pPr>
        <w:pStyle w:val="TOC5"/>
        <w:tabs>
          <w:tab w:val="right" w:leader="dot" w:pos="9350"/>
        </w:tabs>
        <w:rPr>
          <w:rFonts w:ascii="Arial" w:hAnsi="Arial" w:cs="Arial"/>
          <w:noProof/>
          <w:sz w:val="20"/>
          <w:szCs w:val="20"/>
        </w:rPr>
      </w:pPr>
      <w:hyperlink w:anchor="_Toc447194992"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43</w:t>
        </w:r>
        <w:r w:rsidR="002A499B" w:rsidRPr="00C8183B">
          <w:rPr>
            <w:rFonts w:ascii="Arial" w:hAnsi="Arial" w:cs="Arial"/>
            <w:noProof/>
            <w:webHidden/>
            <w:sz w:val="20"/>
            <w:szCs w:val="20"/>
          </w:rPr>
          <w:fldChar w:fldCharType="end"/>
        </w:r>
      </w:hyperlink>
    </w:p>
    <w:p w14:paraId="47A06226" w14:textId="77777777" w:rsidR="002A499B" w:rsidRPr="00C8183B" w:rsidRDefault="00E9134C">
      <w:pPr>
        <w:pStyle w:val="TOC5"/>
        <w:tabs>
          <w:tab w:val="right" w:leader="dot" w:pos="9350"/>
        </w:tabs>
        <w:rPr>
          <w:rFonts w:ascii="Arial" w:hAnsi="Arial" w:cs="Arial"/>
          <w:noProof/>
          <w:sz w:val="20"/>
          <w:szCs w:val="20"/>
        </w:rPr>
      </w:pPr>
      <w:hyperlink w:anchor="_Toc447194993"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43</w:t>
        </w:r>
        <w:r w:rsidR="002A499B" w:rsidRPr="00C8183B">
          <w:rPr>
            <w:rFonts w:ascii="Arial" w:hAnsi="Arial" w:cs="Arial"/>
            <w:noProof/>
            <w:webHidden/>
            <w:sz w:val="20"/>
            <w:szCs w:val="20"/>
          </w:rPr>
          <w:fldChar w:fldCharType="end"/>
        </w:r>
      </w:hyperlink>
    </w:p>
    <w:p w14:paraId="6EE21681" w14:textId="77777777" w:rsidR="002A499B" w:rsidRPr="00C8183B" w:rsidRDefault="00E9134C">
      <w:pPr>
        <w:pStyle w:val="TOC4"/>
        <w:tabs>
          <w:tab w:val="right" w:leader="dot" w:pos="9350"/>
        </w:tabs>
        <w:rPr>
          <w:rFonts w:eastAsiaTheme="minorEastAsia" w:cs="Arial"/>
          <w:noProof/>
        </w:rPr>
      </w:pPr>
      <w:hyperlink w:anchor="_Toc447194994" w:history="1">
        <w:r w:rsidR="002A499B" w:rsidRPr="00C8183B">
          <w:rPr>
            <w:rStyle w:val="Hyperlink"/>
            <w:rFonts w:cs="Arial"/>
            <w:noProof/>
          </w:rPr>
          <w:t>EBHR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44</w:t>
        </w:r>
        <w:r w:rsidR="002A499B" w:rsidRPr="00C8183B">
          <w:rPr>
            <w:rFonts w:cs="Arial"/>
            <w:noProof/>
            <w:webHidden/>
          </w:rPr>
          <w:fldChar w:fldCharType="end"/>
        </w:r>
      </w:hyperlink>
    </w:p>
    <w:p w14:paraId="728656BC" w14:textId="77777777" w:rsidR="002A499B" w:rsidRPr="00C8183B" w:rsidRDefault="00E9134C">
      <w:pPr>
        <w:pStyle w:val="TOC4"/>
        <w:tabs>
          <w:tab w:val="right" w:leader="dot" w:pos="9350"/>
        </w:tabs>
        <w:rPr>
          <w:rFonts w:eastAsiaTheme="minorEastAsia" w:cs="Arial"/>
          <w:noProof/>
        </w:rPr>
      </w:pPr>
      <w:hyperlink w:anchor="_Toc447194995" w:history="1">
        <w:r w:rsidR="002A499B" w:rsidRPr="00C8183B">
          <w:rPr>
            <w:rStyle w:val="Hyperlink"/>
            <w:rFonts w:cs="Arial"/>
            <w:noProof/>
          </w:rPr>
          <w:t>AVR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45</w:t>
        </w:r>
        <w:r w:rsidR="002A499B" w:rsidRPr="00C8183B">
          <w:rPr>
            <w:rFonts w:cs="Arial"/>
            <w:noProof/>
            <w:webHidden/>
          </w:rPr>
          <w:fldChar w:fldCharType="end"/>
        </w:r>
      </w:hyperlink>
    </w:p>
    <w:p w14:paraId="26BA5E83" w14:textId="77777777" w:rsidR="002A499B" w:rsidRPr="00C8183B" w:rsidRDefault="00E9134C">
      <w:pPr>
        <w:pStyle w:val="TOC5"/>
        <w:tabs>
          <w:tab w:val="right" w:leader="dot" w:pos="9350"/>
        </w:tabs>
        <w:rPr>
          <w:rFonts w:ascii="Arial" w:hAnsi="Arial" w:cs="Arial"/>
          <w:noProof/>
          <w:sz w:val="20"/>
          <w:szCs w:val="20"/>
        </w:rPr>
      </w:pPr>
      <w:hyperlink w:anchor="_Toc447194996" w:history="1">
        <w:r w:rsidR="002A499B" w:rsidRPr="00C8183B">
          <w:rPr>
            <w:rStyle w:val="Hyperlink"/>
            <w:rFonts w:ascii="Arial" w:hAnsi="Arial" w:cs="Arial"/>
            <w:noProof/>
            <w:sz w:val="20"/>
            <w:szCs w:val="20"/>
          </w:rPr>
          <w:t>AVR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45</w:t>
        </w:r>
        <w:r w:rsidR="002A499B" w:rsidRPr="00C8183B">
          <w:rPr>
            <w:rFonts w:ascii="Arial" w:hAnsi="Arial" w:cs="Arial"/>
            <w:noProof/>
            <w:webHidden/>
            <w:sz w:val="20"/>
            <w:szCs w:val="20"/>
          </w:rPr>
          <w:fldChar w:fldCharType="end"/>
        </w:r>
      </w:hyperlink>
    </w:p>
    <w:p w14:paraId="56C896F0" w14:textId="77777777" w:rsidR="002A499B" w:rsidRPr="00C8183B" w:rsidRDefault="00E9134C">
      <w:pPr>
        <w:pStyle w:val="TOC5"/>
        <w:tabs>
          <w:tab w:val="right" w:leader="dot" w:pos="9350"/>
        </w:tabs>
        <w:rPr>
          <w:rFonts w:ascii="Arial" w:hAnsi="Arial" w:cs="Arial"/>
          <w:noProof/>
          <w:sz w:val="20"/>
          <w:szCs w:val="20"/>
        </w:rPr>
      </w:pPr>
      <w:hyperlink w:anchor="_Toc447194997" w:history="1">
        <w:r w:rsidR="002A499B" w:rsidRPr="00C8183B">
          <w:rPr>
            <w:rStyle w:val="Hyperlink"/>
            <w:rFonts w:ascii="Arial" w:hAnsi="Arial" w:cs="Arial"/>
            <w:noProof/>
            <w:sz w:val="20"/>
            <w:szCs w:val="20"/>
          </w:rPr>
          <w:t>AVR Outcomes Specifications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46</w:t>
        </w:r>
        <w:r w:rsidR="002A499B" w:rsidRPr="00C8183B">
          <w:rPr>
            <w:rFonts w:ascii="Arial" w:hAnsi="Arial" w:cs="Arial"/>
            <w:noProof/>
            <w:webHidden/>
            <w:sz w:val="20"/>
            <w:szCs w:val="20"/>
          </w:rPr>
          <w:fldChar w:fldCharType="end"/>
        </w:r>
      </w:hyperlink>
    </w:p>
    <w:p w14:paraId="68535CBC" w14:textId="77777777" w:rsidR="002A499B" w:rsidRPr="00C8183B" w:rsidRDefault="00E9134C">
      <w:pPr>
        <w:pStyle w:val="TOC4"/>
        <w:tabs>
          <w:tab w:val="right" w:leader="dot" w:pos="9350"/>
        </w:tabs>
        <w:rPr>
          <w:rFonts w:eastAsiaTheme="minorEastAsia" w:cs="Arial"/>
          <w:noProof/>
        </w:rPr>
      </w:pPr>
      <w:hyperlink w:anchor="_Toc447194998" w:history="1">
        <w:r w:rsidR="002A499B" w:rsidRPr="00C8183B">
          <w:rPr>
            <w:rStyle w:val="Hyperlink"/>
            <w:rFonts w:cs="Arial"/>
            <w:noProof/>
          </w:rPr>
          <w:t>AAA Repair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47</w:t>
        </w:r>
        <w:r w:rsidR="002A499B" w:rsidRPr="00C8183B">
          <w:rPr>
            <w:rFonts w:cs="Arial"/>
            <w:noProof/>
            <w:webHidden/>
          </w:rPr>
          <w:fldChar w:fldCharType="end"/>
        </w:r>
      </w:hyperlink>
    </w:p>
    <w:p w14:paraId="6119998C" w14:textId="77777777" w:rsidR="002A499B" w:rsidRPr="00C8183B" w:rsidRDefault="00E9134C">
      <w:pPr>
        <w:pStyle w:val="TOC5"/>
        <w:tabs>
          <w:tab w:val="right" w:leader="dot" w:pos="9350"/>
        </w:tabs>
        <w:rPr>
          <w:rFonts w:ascii="Arial" w:hAnsi="Arial" w:cs="Arial"/>
          <w:noProof/>
          <w:sz w:val="20"/>
          <w:szCs w:val="20"/>
        </w:rPr>
      </w:pPr>
      <w:hyperlink w:anchor="_Toc447194999" w:history="1">
        <w:r w:rsidR="002A499B" w:rsidRPr="00C8183B">
          <w:rPr>
            <w:rStyle w:val="Hyperlink"/>
            <w:rFonts w:ascii="Arial" w:hAnsi="Arial" w:cs="Arial"/>
            <w:noProof/>
            <w:sz w:val="20"/>
            <w:szCs w:val="20"/>
          </w:rPr>
          <w:t>AAA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47</w:t>
        </w:r>
        <w:r w:rsidR="002A499B" w:rsidRPr="00C8183B">
          <w:rPr>
            <w:rFonts w:ascii="Arial" w:hAnsi="Arial" w:cs="Arial"/>
            <w:noProof/>
            <w:webHidden/>
            <w:sz w:val="20"/>
            <w:szCs w:val="20"/>
          </w:rPr>
          <w:fldChar w:fldCharType="end"/>
        </w:r>
      </w:hyperlink>
    </w:p>
    <w:p w14:paraId="2E24765D" w14:textId="77777777" w:rsidR="002A499B" w:rsidRPr="00C8183B" w:rsidRDefault="00E9134C">
      <w:pPr>
        <w:pStyle w:val="TOC4"/>
        <w:tabs>
          <w:tab w:val="right" w:leader="dot" w:pos="9350"/>
        </w:tabs>
        <w:rPr>
          <w:rFonts w:eastAsiaTheme="minorEastAsia" w:cs="Arial"/>
          <w:noProof/>
        </w:rPr>
      </w:pPr>
      <w:hyperlink w:anchor="_Toc447195000" w:history="1">
        <w:r w:rsidR="002A499B" w:rsidRPr="00C8183B">
          <w:rPr>
            <w:rStyle w:val="Hyperlink"/>
            <w:rFonts w:cs="Arial"/>
            <w:noProof/>
          </w:rPr>
          <w:t>Pancreatectomy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48</w:t>
        </w:r>
        <w:r w:rsidR="002A499B" w:rsidRPr="00C8183B">
          <w:rPr>
            <w:rFonts w:cs="Arial"/>
            <w:noProof/>
            <w:webHidden/>
          </w:rPr>
          <w:fldChar w:fldCharType="end"/>
        </w:r>
      </w:hyperlink>
    </w:p>
    <w:p w14:paraId="47DD93D8" w14:textId="77777777" w:rsidR="002A499B" w:rsidRPr="00C8183B" w:rsidRDefault="00E9134C">
      <w:pPr>
        <w:pStyle w:val="TOC5"/>
        <w:tabs>
          <w:tab w:val="right" w:leader="dot" w:pos="9350"/>
        </w:tabs>
        <w:rPr>
          <w:rFonts w:ascii="Arial" w:hAnsi="Arial" w:cs="Arial"/>
          <w:noProof/>
          <w:sz w:val="20"/>
          <w:szCs w:val="20"/>
        </w:rPr>
      </w:pPr>
      <w:hyperlink w:anchor="_Toc447195001" w:history="1">
        <w:r w:rsidR="002A499B" w:rsidRPr="00C8183B">
          <w:rPr>
            <w:rStyle w:val="Hyperlink"/>
            <w:rFonts w:ascii="Arial" w:hAnsi="Arial" w:cs="Arial"/>
            <w:noProof/>
            <w:sz w:val="20"/>
            <w:szCs w:val="20"/>
          </w:rPr>
          <w:t>Pancreatectomy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_Toc447195001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48</w:t>
        </w:r>
        <w:r w:rsidR="002A499B" w:rsidRPr="00C8183B">
          <w:rPr>
            <w:rFonts w:ascii="Arial" w:hAnsi="Arial" w:cs="Arial"/>
            <w:noProof/>
            <w:webHidden/>
            <w:sz w:val="20"/>
            <w:szCs w:val="20"/>
          </w:rPr>
          <w:fldChar w:fldCharType="end"/>
        </w:r>
      </w:hyperlink>
    </w:p>
    <w:p w14:paraId="1A7D98F1" w14:textId="77777777" w:rsidR="002A499B" w:rsidRPr="00C8183B" w:rsidRDefault="00E9134C">
      <w:pPr>
        <w:pStyle w:val="TOC4"/>
        <w:tabs>
          <w:tab w:val="right" w:leader="dot" w:pos="9350"/>
        </w:tabs>
        <w:rPr>
          <w:rFonts w:eastAsiaTheme="minorEastAsia" w:cs="Arial"/>
          <w:noProof/>
        </w:rPr>
      </w:pPr>
      <w:hyperlink w:anchor="_Toc447195002" w:history="1">
        <w:r w:rsidR="002A499B" w:rsidRPr="00C8183B">
          <w:rPr>
            <w:rStyle w:val="Hyperlink"/>
            <w:rFonts w:cs="Arial"/>
            <w:noProof/>
          </w:rPr>
          <w:t>Esophagectomy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_Toc447195002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50</w:t>
        </w:r>
        <w:r w:rsidR="002A499B" w:rsidRPr="00C8183B">
          <w:rPr>
            <w:rFonts w:cs="Arial"/>
            <w:noProof/>
            <w:webHidden/>
          </w:rPr>
          <w:fldChar w:fldCharType="end"/>
        </w:r>
      </w:hyperlink>
    </w:p>
    <w:p w14:paraId="5F61165D" w14:textId="77777777" w:rsidR="002A499B" w:rsidRPr="00C8183B" w:rsidRDefault="00E9134C">
      <w:pPr>
        <w:pStyle w:val="TOC5"/>
        <w:tabs>
          <w:tab w:val="right" w:leader="dot" w:pos="9350"/>
        </w:tabs>
        <w:rPr>
          <w:rFonts w:ascii="Arial" w:hAnsi="Arial" w:cs="Arial"/>
          <w:noProof/>
          <w:sz w:val="20"/>
          <w:szCs w:val="20"/>
        </w:rPr>
      </w:pPr>
      <w:hyperlink w:anchor="_Toc447195003" w:history="1">
        <w:r w:rsidR="002A499B" w:rsidRPr="00C8183B">
          <w:rPr>
            <w:rStyle w:val="Hyperlink"/>
            <w:rFonts w:ascii="Arial" w:hAnsi="Arial" w:cs="Arial"/>
            <w:noProof/>
            <w:sz w:val="20"/>
            <w:szCs w:val="20"/>
          </w:rPr>
          <w:t>Esophagectomy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_Toc447195003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50</w:t>
        </w:r>
        <w:r w:rsidR="002A499B" w:rsidRPr="00C8183B">
          <w:rPr>
            <w:rFonts w:ascii="Arial" w:hAnsi="Arial" w:cs="Arial"/>
            <w:noProof/>
            <w:webHidden/>
            <w:sz w:val="20"/>
            <w:szCs w:val="20"/>
          </w:rPr>
          <w:fldChar w:fldCharType="end"/>
        </w:r>
      </w:hyperlink>
    </w:p>
    <w:p w14:paraId="2AA3CC32" w14:textId="77777777" w:rsidR="002A499B" w:rsidRPr="00C8183B" w:rsidRDefault="00E9134C">
      <w:pPr>
        <w:pStyle w:val="TOC1"/>
        <w:rPr>
          <w:rFonts w:eastAsiaTheme="minorEastAsia" w:cs="Arial"/>
          <w:noProof/>
        </w:rPr>
      </w:pPr>
      <w:hyperlink w:anchor="_Toc447195004"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51</w:t>
        </w:r>
        <w:r w:rsidR="002A499B" w:rsidRPr="00C8183B">
          <w:rPr>
            <w:rFonts w:cs="Arial"/>
            <w:noProof/>
            <w:webHidden/>
          </w:rPr>
          <w:fldChar w:fldCharType="end"/>
        </w:r>
      </w:hyperlink>
    </w:p>
    <w:p w14:paraId="68DD6EE8" w14:textId="77777777" w:rsidR="002A499B" w:rsidRPr="00C8183B" w:rsidRDefault="00E9134C">
      <w:pPr>
        <w:pStyle w:val="TOC1"/>
        <w:rPr>
          <w:rFonts w:eastAsiaTheme="minorEastAsia" w:cs="Arial"/>
          <w:noProof/>
        </w:rPr>
      </w:pPr>
      <w:hyperlink w:anchor="_Toc447195005" w:history="1">
        <w:r w:rsidR="002A499B" w:rsidRPr="00C8183B">
          <w:rPr>
            <w:rStyle w:val="Hyperlink"/>
            <w:rFonts w:cs="Arial"/>
            <w:noProof/>
          </w:rPr>
          <w:t>SECTION 4: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52</w:t>
        </w:r>
        <w:r w:rsidR="002A499B" w:rsidRPr="00C8183B">
          <w:rPr>
            <w:rFonts w:cs="Arial"/>
            <w:noProof/>
            <w:webHidden/>
          </w:rPr>
          <w:fldChar w:fldCharType="end"/>
        </w:r>
      </w:hyperlink>
    </w:p>
    <w:p w14:paraId="11F4A4D5" w14:textId="77777777" w:rsidR="002A499B" w:rsidRPr="00C8183B" w:rsidRDefault="00E9134C">
      <w:pPr>
        <w:pStyle w:val="TOC2"/>
        <w:tabs>
          <w:tab w:val="right" w:leader="dot" w:pos="9350"/>
        </w:tabs>
        <w:rPr>
          <w:rFonts w:eastAsiaTheme="minorEastAsia" w:cs="Arial"/>
          <w:noProof/>
        </w:rPr>
      </w:pPr>
      <w:hyperlink w:anchor="_Toc447195006" w:history="1">
        <w:r w:rsidR="002A499B" w:rsidRPr="00C8183B">
          <w:rPr>
            <w:rStyle w:val="Hyperlink"/>
            <w:rFonts w:cs="Arial"/>
            <w:noProof/>
            <w:snapToGrid w:val="0"/>
          </w:rPr>
          <w:t>Section 4: 2016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_Toc447195006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53</w:t>
        </w:r>
        <w:r w:rsidR="002A499B" w:rsidRPr="00C8183B">
          <w:rPr>
            <w:rFonts w:cs="Arial"/>
            <w:noProof/>
            <w:webHidden/>
          </w:rPr>
          <w:fldChar w:fldCharType="end"/>
        </w:r>
      </w:hyperlink>
    </w:p>
    <w:p w14:paraId="71643E17" w14:textId="77777777" w:rsidR="002A499B" w:rsidRPr="00C8183B" w:rsidRDefault="00E9134C">
      <w:pPr>
        <w:pStyle w:val="TOC4"/>
        <w:tabs>
          <w:tab w:val="right" w:leader="dot" w:pos="9350"/>
        </w:tabs>
        <w:rPr>
          <w:rFonts w:eastAsiaTheme="minorEastAsia" w:cs="Arial"/>
          <w:noProof/>
        </w:rPr>
      </w:pPr>
      <w:hyperlink w:anchor="_Toc447195007" w:history="1">
        <w:r w:rsidR="002A499B" w:rsidRPr="00C8183B">
          <w:rPr>
            <w:rStyle w:val="Hyperlink"/>
            <w:rFonts w:cs="Arial"/>
            <w:noProof/>
            <w:snapToGrid w:val="0"/>
          </w:rPr>
          <w:t>4A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54</w:t>
        </w:r>
        <w:r w:rsidR="002A499B" w:rsidRPr="00C8183B">
          <w:rPr>
            <w:rFonts w:cs="Arial"/>
            <w:noProof/>
            <w:webHidden/>
          </w:rPr>
          <w:fldChar w:fldCharType="end"/>
        </w:r>
      </w:hyperlink>
    </w:p>
    <w:p w14:paraId="2DAEF9D5" w14:textId="77777777" w:rsidR="002A499B" w:rsidRPr="00C8183B" w:rsidRDefault="00E9134C">
      <w:pPr>
        <w:pStyle w:val="TOC4"/>
        <w:tabs>
          <w:tab w:val="right" w:leader="dot" w:pos="9350"/>
        </w:tabs>
        <w:rPr>
          <w:rFonts w:eastAsiaTheme="minorEastAsia" w:cs="Arial"/>
          <w:noProof/>
        </w:rPr>
      </w:pPr>
      <w:hyperlink w:anchor="_Toc447195008" w:history="1">
        <w:r w:rsidR="002A499B" w:rsidRPr="00C8183B">
          <w:rPr>
            <w:rStyle w:val="Hyperlink"/>
            <w:rFonts w:cs="Arial"/>
            <w:noProof/>
            <w:snapToGrid w:val="0"/>
          </w:rPr>
          <w:t>4B: Early Elective Deliveries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55</w:t>
        </w:r>
        <w:r w:rsidR="002A499B" w:rsidRPr="00C8183B">
          <w:rPr>
            <w:rFonts w:cs="Arial"/>
            <w:noProof/>
            <w:webHidden/>
          </w:rPr>
          <w:fldChar w:fldCharType="end"/>
        </w:r>
      </w:hyperlink>
    </w:p>
    <w:p w14:paraId="2CB3356D" w14:textId="77777777" w:rsidR="002A499B" w:rsidRPr="00C8183B" w:rsidRDefault="00E9134C">
      <w:pPr>
        <w:pStyle w:val="TOC4"/>
        <w:tabs>
          <w:tab w:val="right" w:leader="dot" w:pos="9350"/>
        </w:tabs>
        <w:rPr>
          <w:rFonts w:eastAsiaTheme="minorEastAsia" w:cs="Arial"/>
          <w:noProof/>
        </w:rPr>
      </w:pPr>
      <w:hyperlink w:anchor="_Toc447195009" w:history="1">
        <w:r w:rsidR="002A499B" w:rsidRPr="00C8183B">
          <w:rPr>
            <w:rStyle w:val="Hyperlink"/>
            <w:rFonts w:cs="Arial"/>
            <w:noProof/>
            <w:snapToGrid w:val="0"/>
          </w:rPr>
          <w:t>4C: Cesarean Section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56</w:t>
        </w:r>
        <w:r w:rsidR="002A499B" w:rsidRPr="00C8183B">
          <w:rPr>
            <w:rFonts w:cs="Arial"/>
            <w:noProof/>
            <w:webHidden/>
          </w:rPr>
          <w:fldChar w:fldCharType="end"/>
        </w:r>
      </w:hyperlink>
    </w:p>
    <w:p w14:paraId="7215504A" w14:textId="77777777" w:rsidR="002A499B" w:rsidRPr="00C8183B" w:rsidRDefault="00E9134C">
      <w:pPr>
        <w:pStyle w:val="TOC4"/>
        <w:tabs>
          <w:tab w:val="right" w:leader="dot" w:pos="9350"/>
        </w:tabs>
        <w:rPr>
          <w:rFonts w:eastAsiaTheme="minorEastAsia" w:cs="Arial"/>
          <w:noProof/>
        </w:rPr>
      </w:pPr>
      <w:hyperlink w:anchor="_Toc447195010" w:history="1">
        <w:r w:rsidR="002A499B" w:rsidRPr="00C8183B">
          <w:rPr>
            <w:rStyle w:val="Hyperlink"/>
            <w:rFonts w:cs="Arial"/>
            <w:noProof/>
            <w:snapToGrid w:val="0"/>
          </w:rPr>
          <w:t>4D: Episiotomy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57</w:t>
        </w:r>
        <w:r w:rsidR="002A499B" w:rsidRPr="00C8183B">
          <w:rPr>
            <w:rFonts w:cs="Arial"/>
            <w:noProof/>
            <w:webHidden/>
          </w:rPr>
          <w:fldChar w:fldCharType="end"/>
        </w:r>
      </w:hyperlink>
    </w:p>
    <w:p w14:paraId="36B621D7" w14:textId="77777777" w:rsidR="002A499B" w:rsidRPr="00C8183B" w:rsidRDefault="00E9134C">
      <w:pPr>
        <w:pStyle w:val="TOC4"/>
        <w:tabs>
          <w:tab w:val="right" w:leader="dot" w:pos="9350"/>
        </w:tabs>
        <w:rPr>
          <w:rFonts w:eastAsiaTheme="minorEastAsia" w:cs="Arial"/>
          <w:noProof/>
        </w:rPr>
      </w:pPr>
      <w:hyperlink w:anchor="_Toc447195011" w:history="1">
        <w:r w:rsidR="002A499B" w:rsidRPr="00C8183B">
          <w:rPr>
            <w:rStyle w:val="Hyperlink"/>
            <w:rFonts w:cs="Arial"/>
            <w:noProof/>
            <w:snapToGrid w:val="0"/>
          </w:rPr>
          <w:t>4E: Process Measures of Quality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_Toc447195011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58</w:t>
        </w:r>
        <w:r w:rsidR="002A499B" w:rsidRPr="00C8183B">
          <w:rPr>
            <w:rFonts w:cs="Arial"/>
            <w:noProof/>
            <w:webHidden/>
          </w:rPr>
          <w:fldChar w:fldCharType="end"/>
        </w:r>
      </w:hyperlink>
    </w:p>
    <w:p w14:paraId="043D11CC" w14:textId="77777777" w:rsidR="002A499B" w:rsidRPr="00C8183B" w:rsidRDefault="00E9134C">
      <w:pPr>
        <w:pStyle w:val="TOC4"/>
        <w:tabs>
          <w:tab w:val="right" w:leader="dot" w:pos="9350"/>
        </w:tabs>
        <w:rPr>
          <w:rFonts w:eastAsiaTheme="minorEastAsia" w:cs="Arial"/>
          <w:noProof/>
        </w:rPr>
      </w:pPr>
      <w:hyperlink w:anchor="_Toc447195012" w:history="1">
        <w:r w:rsidR="002A499B" w:rsidRPr="00C8183B">
          <w:rPr>
            <w:rStyle w:val="Hyperlink"/>
            <w:rFonts w:cs="Arial"/>
            <w:noProof/>
            <w:snapToGrid w:val="0"/>
          </w:rPr>
          <w:t>4F:High-Risk Deliveries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_Toc447195012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59</w:t>
        </w:r>
        <w:r w:rsidR="002A499B" w:rsidRPr="00C8183B">
          <w:rPr>
            <w:rFonts w:cs="Arial"/>
            <w:noProof/>
            <w:webHidden/>
          </w:rPr>
          <w:fldChar w:fldCharType="end"/>
        </w:r>
      </w:hyperlink>
    </w:p>
    <w:p w14:paraId="35E066AC" w14:textId="77777777" w:rsidR="002A499B" w:rsidRPr="00C8183B" w:rsidRDefault="00E9134C">
      <w:pPr>
        <w:pStyle w:val="TOC5"/>
        <w:tabs>
          <w:tab w:val="right" w:leader="dot" w:pos="9350"/>
        </w:tabs>
        <w:rPr>
          <w:rFonts w:ascii="Arial" w:hAnsi="Arial" w:cs="Arial"/>
          <w:noProof/>
          <w:sz w:val="20"/>
          <w:szCs w:val="20"/>
        </w:rPr>
      </w:pPr>
      <w:hyperlink w:anchor="_Toc447195013" w:history="1">
        <w:r w:rsidR="002A499B" w:rsidRPr="00C8183B">
          <w:rPr>
            <w:rStyle w:val="Hyperlink"/>
            <w:rFonts w:ascii="Arial" w:hAnsi="Arial" w:cs="Arial"/>
            <w:noProof/>
            <w:snapToGrid w:val="0"/>
            <w:sz w:val="20"/>
            <w:szCs w:val="20"/>
          </w:rPr>
          <w:t>High-Risk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59</w:t>
        </w:r>
        <w:r w:rsidR="002A499B" w:rsidRPr="00C8183B">
          <w:rPr>
            <w:rFonts w:ascii="Arial" w:hAnsi="Arial" w:cs="Arial"/>
            <w:noProof/>
            <w:webHidden/>
            <w:sz w:val="20"/>
            <w:szCs w:val="20"/>
          </w:rPr>
          <w:fldChar w:fldCharType="end"/>
        </w:r>
      </w:hyperlink>
    </w:p>
    <w:p w14:paraId="7CCFAAB9" w14:textId="77777777" w:rsidR="002A499B" w:rsidRPr="00C8183B" w:rsidRDefault="00E9134C">
      <w:pPr>
        <w:pStyle w:val="TOC5"/>
        <w:tabs>
          <w:tab w:val="right" w:leader="dot" w:pos="9350"/>
        </w:tabs>
        <w:rPr>
          <w:rFonts w:ascii="Arial" w:hAnsi="Arial" w:cs="Arial"/>
          <w:noProof/>
          <w:sz w:val="20"/>
          <w:szCs w:val="20"/>
        </w:rPr>
      </w:pPr>
      <w:hyperlink w:anchor="_Toc447195014" w:history="1">
        <w:r w:rsidR="002A499B" w:rsidRPr="00C8183B">
          <w:rPr>
            <w:rStyle w:val="Hyperlink"/>
            <w:rFonts w:ascii="Arial" w:hAnsi="Arial" w:cs="Arial"/>
            <w:noProof/>
            <w:snapToGrid w:val="0"/>
            <w:sz w:val="20"/>
            <w:szCs w:val="20"/>
          </w:rPr>
          <w:t>Neonatal Intensive Care Unit(s)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60</w:t>
        </w:r>
        <w:r w:rsidR="002A499B" w:rsidRPr="00C8183B">
          <w:rPr>
            <w:rFonts w:ascii="Arial" w:hAnsi="Arial" w:cs="Arial"/>
            <w:noProof/>
            <w:webHidden/>
            <w:sz w:val="20"/>
            <w:szCs w:val="20"/>
          </w:rPr>
          <w:fldChar w:fldCharType="end"/>
        </w:r>
      </w:hyperlink>
    </w:p>
    <w:p w14:paraId="45D57E08" w14:textId="77777777" w:rsidR="002A499B" w:rsidRPr="00C8183B" w:rsidRDefault="00E9134C">
      <w:pPr>
        <w:pStyle w:val="TOC5"/>
        <w:tabs>
          <w:tab w:val="right" w:leader="dot" w:pos="9350"/>
        </w:tabs>
        <w:rPr>
          <w:rFonts w:ascii="Arial" w:hAnsi="Arial" w:cs="Arial"/>
          <w:noProof/>
          <w:sz w:val="20"/>
          <w:szCs w:val="20"/>
        </w:rPr>
      </w:pPr>
      <w:hyperlink w:anchor="_Toc447195015" w:history="1">
        <w:r w:rsidR="002A499B" w:rsidRPr="00C8183B">
          <w:rPr>
            <w:rStyle w:val="Hyperlink"/>
            <w:rFonts w:ascii="Arial" w:hAnsi="Arial" w:cs="Arial"/>
            <w:noProof/>
            <w:snapToGrid w:val="0"/>
            <w:sz w:val="20"/>
            <w:szCs w:val="20"/>
          </w:rPr>
          <w:t>Neonatal Intensive Care Unit(s) – National Performance Measurement</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60</w:t>
        </w:r>
        <w:r w:rsidR="002A499B" w:rsidRPr="00C8183B">
          <w:rPr>
            <w:rFonts w:ascii="Arial" w:hAnsi="Arial" w:cs="Arial"/>
            <w:noProof/>
            <w:webHidden/>
            <w:sz w:val="20"/>
            <w:szCs w:val="20"/>
          </w:rPr>
          <w:fldChar w:fldCharType="end"/>
        </w:r>
      </w:hyperlink>
    </w:p>
    <w:p w14:paraId="2A50D871" w14:textId="77777777" w:rsidR="002A499B" w:rsidRPr="00C8183B" w:rsidRDefault="00E9134C">
      <w:pPr>
        <w:pStyle w:val="TOC5"/>
        <w:tabs>
          <w:tab w:val="right" w:leader="dot" w:pos="9350"/>
        </w:tabs>
        <w:rPr>
          <w:rFonts w:ascii="Arial" w:hAnsi="Arial" w:cs="Arial"/>
          <w:noProof/>
          <w:sz w:val="20"/>
          <w:szCs w:val="20"/>
        </w:rPr>
      </w:pPr>
      <w:hyperlink w:anchor="_Toc447195016" w:history="1">
        <w:r w:rsidR="002A499B" w:rsidRPr="00C8183B">
          <w:rPr>
            <w:rStyle w:val="Hyperlink"/>
            <w:rFonts w:ascii="Arial" w:hAnsi="Arial" w:cs="Arial"/>
            <w:noProof/>
            <w:snapToGrid w:val="0"/>
            <w:sz w:val="20"/>
            <w:szCs w:val="20"/>
          </w:rPr>
          <w:t>Process Measure of Quality – Antenatal Steroids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61</w:t>
        </w:r>
        <w:r w:rsidR="002A499B" w:rsidRPr="00C8183B">
          <w:rPr>
            <w:rFonts w:ascii="Arial" w:hAnsi="Arial" w:cs="Arial"/>
            <w:noProof/>
            <w:webHidden/>
            <w:sz w:val="20"/>
            <w:szCs w:val="20"/>
          </w:rPr>
          <w:fldChar w:fldCharType="end"/>
        </w:r>
      </w:hyperlink>
    </w:p>
    <w:p w14:paraId="7A8C313A" w14:textId="77777777" w:rsidR="002A499B" w:rsidRPr="00C8183B" w:rsidRDefault="00E9134C">
      <w:pPr>
        <w:pStyle w:val="TOC2"/>
        <w:tabs>
          <w:tab w:val="right" w:leader="dot" w:pos="9350"/>
        </w:tabs>
        <w:rPr>
          <w:rFonts w:eastAsiaTheme="minorEastAsia" w:cs="Arial"/>
          <w:noProof/>
        </w:rPr>
      </w:pPr>
      <w:hyperlink w:anchor="_Toc447195017" w:history="1">
        <w:r w:rsidR="002A499B" w:rsidRPr="00C8183B">
          <w:rPr>
            <w:rStyle w:val="Hyperlink"/>
            <w:rFonts w:cs="Arial"/>
            <w:noProof/>
          </w:rPr>
          <w:t>Section 4: 2016 Maternity Care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63</w:t>
        </w:r>
        <w:r w:rsidR="002A499B" w:rsidRPr="00C8183B">
          <w:rPr>
            <w:rFonts w:cs="Arial"/>
            <w:noProof/>
            <w:webHidden/>
          </w:rPr>
          <w:fldChar w:fldCharType="end"/>
        </w:r>
      </w:hyperlink>
    </w:p>
    <w:p w14:paraId="6F497787" w14:textId="77777777" w:rsidR="002A499B" w:rsidRPr="00C8183B" w:rsidRDefault="00E9134C">
      <w:pPr>
        <w:pStyle w:val="TOC5"/>
        <w:tabs>
          <w:tab w:val="right" w:leader="dot" w:pos="9350"/>
        </w:tabs>
        <w:rPr>
          <w:rFonts w:ascii="Arial" w:hAnsi="Arial" w:cs="Arial"/>
          <w:noProof/>
          <w:sz w:val="20"/>
          <w:szCs w:val="20"/>
        </w:rPr>
      </w:pPr>
      <w:hyperlink w:anchor="_Toc447195018"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63</w:t>
        </w:r>
        <w:r w:rsidR="002A499B" w:rsidRPr="00C8183B">
          <w:rPr>
            <w:rFonts w:ascii="Arial" w:hAnsi="Arial" w:cs="Arial"/>
            <w:noProof/>
            <w:webHidden/>
            <w:sz w:val="20"/>
            <w:szCs w:val="20"/>
          </w:rPr>
          <w:fldChar w:fldCharType="end"/>
        </w:r>
      </w:hyperlink>
    </w:p>
    <w:p w14:paraId="707B60D0" w14:textId="77777777" w:rsidR="002A499B" w:rsidRPr="00C8183B" w:rsidRDefault="00E9134C">
      <w:pPr>
        <w:pStyle w:val="TOC5"/>
        <w:tabs>
          <w:tab w:val="right" w:leader="dot" w:pos="9350"/>
        </w:tabs>
        <w:rPr>
          <w:rFonts w:ascii="Arial" w:hAnsi="Arial" w:cs="Arial"/>
          <w:noProof/>
          <w:sz w:val="20"/>
          <w:szCs w:val="20"/>
        </w:rPr>
      </w:pPr>
      <w:hyperlink w:anchor="_Toc447195019"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63</w:t>
        </w:r>
        <w:r w:rsidR="002A499B" w:rsidRPr="00C8183B">
          <w:rPr>
            <w:rFonts w:ascii="Arial" w:hAnsi="Arial" w:cs="Arial"/>
            <w:noProof/>
            <w:webHidden/>
            <w:sz w:val="20"/>
            <w:szCs w:val="20"/>
          </w:rPr>
          <w:fldChar w:fldCharType="end"/>
        </w:r>
      </w:hyperlink>
    </w:p>
    <w:p w14:paraId="483E059F" w14:textId="77777777" w:rsidR="002A499B" w:rsidRPr="00C8183B" w:rsidRDefault="00E9134C">
      <w:pPr>
        <w:pStyle w:val="TOC4"/>
        <w:tabs>
          <w:tab w:val="right" w:leader="dot" w:pos="9350"/>
        </w:tabs>
        <w:rPr>
          <w:rFonts w:eastAsiaTheme="minorEastAsia" w:cs="Arial"/>
          <w:noProof/>
        </w:rPr>
      </w:pPr>
      <w:hyperlink w:anchor="_Toc447195020" w:history="1">
        <w:r w:rsidR="002A499B" w:rsidRPr="00C8183B">
          <w:rPr>
            <w:rStyle w:val="Hyperlink"/>
            <w:rFonts w:cs="Arial"/>
            <w:noProof/>
          </w:rPr>
          <w:t>Maternity Care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64</w:t>
        </w:r>
        <w:r w:rsidR="002A499B" w:rsidRPr="00C8183B">
          <w:rPr>
            <w:rFonts w:cs="Arial"/>
            <w:noProof/>
            <w:webHidden/>
          </w:rPr>
          <w:fldChar w:fldCharType="end"/>
        </w:r>
      </w:hyperlink>
    </w:p>
    <w:p w14:paraId="0E6A7A8F" w14:textId="77777777" w:rsidR="002A499B" w:rsidRPr="00C8183B" w:rsidRDefault="00E9134C">
      <w:pPr>
        <w:pStyle w:val="TOC5"/>
        <w:tabs>
          <w:tab w:val="right" w:leader="dot" w:pos="9350"/>
        </w:tabs>
        <w:rPr>
          <w:rFonts w:ascii="Arial" w:hAnsi="Arial" w:cs="Arial"/>
          <w:noProof/>
          <w:sz w:val="20"/>
          <w:szCs w:val="20"/>
        </w:rPr>
      </w:pPr>
      <w:hyperlink w:anchor="_Toc447195021" w:history="1">
        <w:r w:rsidR="002A499B" w:rsidRPr="00C8183B">
          <w:rPr>
            <w:rStyle w:val="Hyperlink"/>
            <w:rFonts w:ascii="Arial" w:hAnsi="Arial" w:cs="Arial"/>
            <w:noProof/>
            <w:sz w:val="20"/>
            <w:szCs w:val="20"/>
          </w:rPr>
          <w:t>Maternity Care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64</w:t>
        </w:r>
        <w:r w:rsidR="002A499B" w:rsidRPr="00C8183B">
          <w:rPr>
            <w:rFonts w:ascii="Arial" w:hAnsi="Arial" w:cs="Arial"/>
            <w:noProof/>
            <w:webHidden/>
            <w:sz w:val="20"/>
            <w:szCs w:val="20"/>
          </w:rPr>
          <w:fldChar w:fldCharType="end"/>
        </w:r>
      </w:hyperlink>
    </w:p>
    <w:p w14:paraId="25EC729A" w14:textId="77777777" w:rsidR="002A499B" w:rsidRPr="00C8183B" w:rsidRDefault="00E9134C">
      <w:pPr>
        <w:pStyle w:val="TOC5"/>
        <w:tabs>
          <w:tab w:val="right" w:leader="dot" w:pos="9350"/>
        </w:tabs>
        <w:rPr>
          <w:rFonts w:ascii="Arial" w:hAnsi="Arial" w:cs="Arial"/>
          <w:noProof/>
          <w:sz w:val="20"/>
          <w:szCs w:val="20"/>
        </w:rPr>
      </w:pPr>
      <w:hyperlink w:anchor="_Toc447195022" w:history="1">
        <w:r w:rsidR="002A499B" w:rsidRPr="00C8183B">
          <w:rPr>
            <w:rStyle w:val="Hyperlink"/>
            <w:rFonts w:ascii="Arial" w:hAnsi="Arial" w:cs="Arial"/>
            <w:noProof/>
            <w:sz w:val="20"/>
            <w:szCs w:val="20"/>
          </w:rPr>
          <w:t>Early Elective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65</w:t>
        </w:r>
        <w:r w:rsidR="002A499B" w:rsidRPr="00C8183B">
          <w:rPr>
            <w:rFonts w:ascii="Arial" w:hAnsi="Arial" w:cs="Arial"/>
            <w:noProof/>
            <w:webHidden/>
            <w:sz w:val="20"/>
            <w:szCs w:val="20"/>
          </w:rPr>
          <w:fldChar w:fldCharType="end"/>
        </w:r>
      </w:hyperlink>
    </w:p>
    <w:p w14:paraId="7AF54FB0" w14:textId="77777777" w:rsidR="002A499B" w:rsidRPr="00C8183B" w:rsidRDefault="00E9134C">
      <w:pPr>
        <w:pStyle w:val="TOC5"/>
        <w:tabs>
          <w:tab w:val="right" w:leader="dot" w:pos="9350"/>
        </w:tabs>
        <w:rPr>
          <w:rFonts w:ascii="Arial" w:hAnsi="Arial" w:cs="Arial"/>
          <w:noProof/>
          <w:sz w:val="20"/>
          <w:szCs w:val="20"/>
        </w:rPr>
      </w:pPr>
      <w:hyperlink w:anchor="_Toc447195023" w:history="1">
        <w:r w:rsidR="002A499B" w:rsidRPr="00C8183B">
          <w:rPr>
            <w:rStyle w:val="Hyperlink"/>
            <w:rFonts w:ascii="Arial" w:hAnsi="Arial" w:cs="Arial"/>
            <w:noProof/>
            <w:sz w:val="20"/>
            <w:szCs w:val="20"/>
          </w:rPr>
          <w:t>NTSV Cesarean Sections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67</w:t>
        </w:r>
        <w:r w:rsidR="002A499B" w:rsidRPr="00C8183B">
          <w:rPr>
            <w:rFonts w:ascii="Arial" w:hAnsi="Arial" w:cs="Arial"/>
            <w:noProof/>
            <w:webHidden/>
            <w:sz w:val="20"/>
            <w:szCs w:val="20"/>
          </w:rPr>
          <w:fldChar w:fldCharType="end"/>
        </w:r>
      </w:hyperlink>
    </w:p>
    <w:p w14:paraId="2FFF19A9" w14:textId="77777777" w:rsidR="002A499B" w:rsidRPr="00C8183B" w:rsidRDefault="00E9134C">
      <w:pPr>
        <w:pStyle w:val="TOC5"/>
        <w:tabs>
          <w:tab w:val="right" w:leader="dot" w:pos="9350"/>
        </w:tabs>
        <w:rPr>
          <w:rFonts w:ascii="Arial" w:hAnsi="Arial" w:cs="Arial"/>
          <w:noProof/>
          <w:sz w:val="20"/>
          <w:szCs w:val="20"/>
        </w:rPr>
      </w:pPr>
      <w:hyperlink w:anchor="_Toc447195024" w:history="1">
        <w:r w:rsidR="002A499B" w:rsidRPr="00C8183B">
          <w:rPr>
            <w:rStyle w:val="Hyperlink"/>
            <w:rFonts w:ascii="Arial" w:hAnsi="Arial" w:cs="Arial"/>
            <w:noProof/>
            <w:sz w:val="20"/>
            <w:szCs w:val="20"/>
          </w:rPr>
          <w:t>Episiotomy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69</w:t>
        </w:r>
        <w:r w:rsidR="002A499B" w:rsidRPr="00C8183B">
          <w:rPr>
            <w:rFonts w:ascii="Arial" w:hAnsi="Arial" w:cs="Arial"/>
            <w:noProof/>
            <w:webHidden/>
            <w:sz w:val="20"/>
            <w:szCs w:val="20"/>
          </w:rPr>
          <w:fldChar w:fldCharType="end"/>
        </w:r>
      </w:hyperlink>
    </w:p>
    <w:p w14:paraId="688832A5" w14:textId="77777777" w:rsidR="002A499B" w:rsidRPr="00C8183B" w:rsidRDefault="00E9134C">
      <w:pPr>
        <w:pStyle w:val="TOC4"/>
        <w:tabs>
          <w:tab w:val="right" w:leader="dot" w:pos="9350"/>
        </w:tabs>
        <w:rPr>
          <w:rFonts w:eastAsiaTheme="minorEastAsia" w:cs="Arial"/>
          <w:noProof/>
        </w:rPr>
      </w:pPr>
      <w:hyperlink w:anchor="_Toc447195025" w:history="1">
        <w:r w:rsidR="002A499B" w:rsidRPr="00C8183B">
          <w:rPr>
            <w:rStyle w:val="Hyperlink"/>
            <w:rFonts w:cs="Arial"/>
            <w:noProof/>
          </w:rPr>
          <w:t>Maternity Care Process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70</w:t>
        </w:r>
        <w:r w:rsidR="002A499B" w:rsidRPr="00C8183B">
          <w:rPr>
            <w:rFonts w:cs="Arial"/>
            <w:noProof/>
            <w:webHidden/>
          </w:rPr>
          <w:fldChar w:fldCharType="end"/>
        </w:r>
      </w:hyperlink>
    </w:p>
    <w:p w14:paraId="4C0BE45E" w14:textId="77777777" w:rsidR="002A499B" w:rsidRPr="00C8183B" w:rsidRDefault="00E9134C">
      <w:pPr>
        <w:pStyle w:val="TOC4"/>
        <w:tabs>
          <w:tab w:val="right" w:leader="dot" w:pos="9350"/>
        </w:tabs>
        <w:rPr>
          <w:rFonts w:eastAsiaTheme="minorEastAsia" w:cs="Arial"/>
          <w:noProof/>
        </w:rPr>
      </w:pPr>
      <w:hyperlink w:anchor="_Toc447195026" w:history="1">
        <w:r w:rsidR="002A499B" w:rsidRPr="00C8183B">
          <w:rPr>
            <w:rStyle w:val="Hyperlink"/>
            <w:rFonts w:cs="Arial"/>
            <w:noProof/>
          </w:rPr>
          <w:t>High-Risk Deliveries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_Toc447195026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72</w:t>
        </w:r>
        <w:r w:rsidR="002A499B" w:rsidRPr="00C8183B">
          <w:rPr>
            <w:rFonts w:cs="Arial"/>
            <w:noProof/>
            <w:webHidden/>
          </w:rPr>
          <w:fldChar w:fldCharType="end"/>
        </w:r>
      </w:hyperlink>
    </w:p>
    <w:p w14:paraId="7F44D0B9" w14:textId="77777777" w:rsidR="002A499B" w:rsidRPr="00C8183B" w:rsidRDefault="00E9134C">
      <w:pPr>
        <w:pStyle w:val="TOC5"/>
        <w:tabs>
          <w:tab w:val="right" w:leader="dot" w:pos="9350"/>
        </w:tabs>
        <w:rPr>
          <w:rFonts w:ascii="Arial" w:hAnsi="Arial" w:cs="Arial"/>
          <w:noProof/>
          <w:sz w:val="20"/>
          <w:szCs w:val="20"/>
        </w:rPr>
      </w:pPr>
      <w:hyperlink w:anchor="_Toc447195027" w:history="1">
        <w:r w:rsidR="002A499B" w:rsidRPr="00C8183B">
          <w:rPr>
            <w:rStyle w:val="Hyperlink"/>
            <w:rFonts w:ascii="Arial" w:hAnsi="Arial" w:cs="Arial"/>
            <w:noProof/>
            <w:sz w:val="20"/>
            <w:szCs w:val="20"/>
          </w:rPr>
          <w:t>High-Risk Deliveries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72</w:t>
        </w:r>
        <w:r w:rsidR="002A499B" w:rsidRPr="00C8183B">
          <w:rPr>
            <w:rFonts w:ascii="Arial" w:hAnsi="Arial" w:cs="Arial"/>
            <w:noProof/>
            <w:webHidden/>
            <w:sz w:val="20"/>
            <w:szCs w:val="20"/>
          </w:rPr>
          <w:fldChar w:fldCharType="end"/>
        </w:r>
      </w:hyperlink>
    </w:p>
    <w:p w14:paraId="0E083C9A" w14:textId="77777777" w:rsidR="002A499B" w:rsidRPr="00C8183B" w:rsidRDefault="00E9134C">
      <w:pPr>
        <w:pStyle w:val="TOC5"/>
        <w:tabs>
          <w:tab w:val="right" w:leader="dot" w:pos="9350"/>
        </w:tabs>
        <w:rPr>
          <w:rFonts w:ascii="Arial" w:hAnsi="Arial" w:cs="Arial"/>
          <w:noProof/>
          <w:sz w:val="20"/>
          <w:szCs w:val="20"/>
        </w:rPr>
      </w:pPr>
      <w:hyperlink w:anchor="_Toc447195028" w:history="1">
        <w:r w:rsidR="002A499B" w:rsidRPr="00C8183B">
          <w:rPr>
            <w:rStyle w:val="Hyperlink"/>
            <w:rFonts w:ascii="Arial" w:hAnsi="Arial" w:cs="Arial"/>
            <w:noProof/>
            <w:sz w:val="20"/>
            <w:szCs w:val="20"/>
          </w:rPr>
          <w:t>VON National Performance Measure Specifications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73</w:t>
        </w:r>
        <w:r w:rsidR="002A499B" w:rsidRPr="00C8183B">
          <w:rPr>
            <w:rFonts w:ascii="Arial" w:hAnsi="Arial" w:cs="Arial"/>
            <w:noProof/>
            <w:webHidden/>
            <w:sz w:val="20"/>
            <w:szCs w:val="20"/>
          </w:rPr>
          <w:fldChar w:fldCharType="end"/>
        </w:r>
      </w:hyperlink>
    </w:p>
    <w:p w14:paraId="6D0988EE" w14:textId="77777777" w:rsidR="002A499B" w:rsidRPr="00C8183B" w:rsidRDefault="00E9134C">
      <w:pPr>
        <w:pStyle w:val="TOC5"/>
        <w:tabs>
          <w:tab w:val="right" w:leader="dot" w:pos="9350"/>
        </w:tabs>
        <w:rPr>
          <w:rFonts w:ascii="Arial" w:hAnsi="Arial" w:cs="Arial"/>
          <w:noProof/>
          <w:sz w:val="20"/>
          <w:szCs w:val="20"/>
        </w:rPr>
      </w:pPr>
      <w:hyperlink w:anchor="_Toc447195029" w:history="1">
        <w:r w:rsidR="002A499B" w:rsidRPr="00C8183B">
          <w:rPr>
            <w:rStyle w:val="Hyperlink"/>
            <w:rFonts w:ascii="Arial" w:hAnsi="Arial" w:cs="Arial"/>
            <w:noProof/>
            <w:sz w:val="20"/>
            <w:szCs w:val="20"/>
          </w:rPr>
          <w:t>Antenatal Steroids Process Measure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74</w:t>
        </w:r>
        <w:r w:rsidR="002A499B" w:rsidRPr="00C8183B">
          <w:rPr>
            <w:rFonts w:ascii="Arial" w:hAnsi="Arial" w:cs="Arial"/>
            <w:noProof/>
            <w:webHidden/>
            <w:sz w:val="20"/>
            <w:szCs w:val="20"/>
          </w:rPr>
          <w:fldChar w:fldCharType="end"/>
        </w:r>
      </w:hyperlink>
    </w:p>
    <w:p w14:paraId="21D6FA04" w14:textId="77777777" w:rsidR="002A499B" w:rsidRPr="00C8183B" w:rsidRDefault="00E9134C">
      <w:pPr>
        <w:pStyle w:val="TOC4"/>
        <w:tabs>
          <w:tab w:val="right" w:leader="dot" w:pos="9350"/>
        </w:tabs>
        <w:rPr>
          <w:rFonts w:eastAsiaTheme="minorEastAsia" w:cs="Arial"/>
          <w:noProof/>
        </w:rPr>
      </w:pPr>
      <w:hyperlink w:anchor="_Toc447195030" w:history="1">
        <w:r w:rsidR="002A499B" w:rsidRPr="00C8183B">
          <w:rPr>
            <w:rStyle w:val="Hyperlink"/>
            <w:rFonts w:cs="Arial"/>
            <w:noProof/>
          </w:rPr>
          <w:t>Maternity Care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76</w:t>
        </w:r>
        <w:r w:rsidR="002A499B" w:rsidRPr="00C8183B">
          <w:rPr>
            <w:rFonts w:cs="Arial"/>
            <w:noProof/>
            <w:webHidden/>
          </w:rPr>
          <w:fldChar w:fldCharType="end"/>
        </w:r>
      </w:hyperlink>
    </w:p>
    <w:p w14:paraId="4F422021" w14:textId="77777777" w:rsidR="002A499B" w:rsidRPr="00C8183B" w:rsidRDefault="00E9134C">
      <w:pPr>
        <w:pStyle w:val="TOC5"/>
        <w:tabs>
          <w:tab w:val="right" w:leader="dot" w:pos="9350"/>
        </w:tabs>
        <w:rPr>
          <w:rFonts w:ascii="Arial" w:hAnsi="Arial" w:cs="Arial"/>
          <w:noProof/>
          <w:sz w:val="20"/>
          <w:szCs w:val="20"/>
        </w:rPr>
      </w:pPr>
      <w:hyperlink w:anchor="_Toc447195031" w:history="1">
        <w:r w:rsidR="002A499B" w:rsidRPr="00C8183B">
          <w:rPr>
            <w:rStyle w:val="Hyperlink"/>
            <w:rFonts w:ascii="Arial" w:hAnsi="Arial" w:cs="Arial"/>
            <w:noProof/>
            <w:sz w:val="20"/>
            <w:szCs w:val="20"/>
          </w:rPr>
          <w:t>General Questions Regarding High-Risk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76</w:t>
        </w:r>
        <w:r w:rsidR="002A499B" w:rsidRPr="00C8183B">
          <w:rPr>
            <w:rFonts w:ascii="Arial" w:hAnsi="Arial" w:cs="Arial"/>
            <w:noProof/>
            <w:webHidden/>
            <w:sz w:val="20"/>
            <w:szCs w:val="20"/>
          </w:rPr>
          <w:fldChar w:fldCharType="end"/>
        </w:r>
      </w:hyperlink>
    </w:p>
    <w:p w14:paraId="36D76010" w14:textId="77777777" w:rsidR="002A499B" w:rsidRPr="00C8183B" w:rsidRDefault="00E9134C">
      <w:pPr>
        <w:pStyle w:val="TOC5"/>
        <w:tabs>
          <w:tab w:val="right" w:leader="dot" w:pos="9350"/>
        </w:tabs>
        <w:rPr>
          <w:rFonts w:ascii="Arial" w:hAnsi="Arial" w:cs="Arial"/>
          <w:noProof/>
          <w:sz w:val="20"/>
          <w:szCs w:val="20"/>
        </w:rPr>
      </w:pPr>
      <w:hyperlink w:anchor="_Toc447195032" w:history="1">
        <w:r w:rsidR="002A499B" w:rsidRPr="00C8183B">
          <w:rPr>
            <w:rStyle w:val="Hyperlink"/>
            <w:rFonts w:ascii="Arial" w:hAnsi="Arial" w:cs="Arial"/>
            <w:noProof/>
            <w:sz w:val="20"/>
            <w:szCs w:val="20"/>
          </w:rPr>
          <w:t>High-Risk Deliveries Process Measure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76</w:t>
        </w:r>
        <w:r w:rsidR="002A499B" w:rsidRPr="00C8183B">
          <w:rPr>
            <w:rFonts w:ascii="Arial" w:hAnsi="Arial" w:cs="Arial"/>
            <w:noProof/>
            <w:webHidden/>
            <w:sz w:val="20"/>
            <w:szCs w:val="20"/>
          </w:rPr>
          <w:fldChar w:fldCharType="end"/>
        </w:r>
      </w:hyperlink>
    </w:p>
    <w:p w14:paraId="7F8D29FD" w14:textId="77777777" w:rsidR="002A499B" w:rsidRPr="00C8183B" w:rsidRDefault="00E9134C">
      <w:pPr>
        <w:pStyle w:val="TOC1"/>
        <w:rPr>
          <w:rFonts w:eastAsiaTheme="minorEastAsia" w:cs="Arial"/>
          <w:noProof/>
        </w:rPr>
      </w:pPr>
      <w:hyperlink w:anchor="_Toc447195033"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_Toc447195033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77</w:t>
        </w:r>
        <w:r w:rsidR="002A499B" w:rsidRPr="00C8183B">
          <w:rPr>
            <w:rFonts w:cs="Arial"/>
            <w:noProof/>
            <w:webHidden/>
          </w:rPr>
          <w:fldChar w:fldCharType="end"/>
        </w:r>
      </w:hyperlink>
    </w:p>
    <w:p w14:paraId="6590C97E" w14:textId="77777777" w:rsidR="002A499B" w:rsidRPr="00C8183B" w:rsidRDefault="00E9134C">
      <w:pPr>
        <w:pStyle w:val="TOC1"/>
        <w:rPr>
          <w:rFonts w:eastAsiaTheme="minorEastAsia" w:cs="Arial"/>
          <w:noProof/>
        </w:rPr>
      </w:pPr>
      <w:hyperlink w:anchor="_Toc447195034" w:history="1">
        <w:r w:rsidR="002A499B" w:rsidRPr="00C8183B">
          <w:rPr>
            <w:rStyle w:val="Hyperlink"/>
            <w:rFonts w:cs="Arial"/>
            <w:noProof/>
          </w:rPr>
          <w:t>SECTION 5: ICU PHYSICIAN STAFFING (IPS)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78</w:t>
        </w:r>
        <w:r w:rsidR="002A499B" w:rsidRPr="00C8183B">
          <w:rPr>
            <w:rFonts w:cs="Arial"/>
            <w:noProof/>
            <w:webHidden/>
          </w:rPr>
          <w:fldChar w:fldCharType="end"/>
        </w:r>
      </w:hyperlink>
    </w:p>
    <w:p w14:paraId="7E8EC6E7" w14:textId="77777777" w:rsidR="002A499B" w:rsidRPr="00C8183B" w:rsidRDefault="00E9134C">
      <w:pPr>
        <w:pStyle w:val="TOC2"/>
        <w:tabs>
          <w:tab w:val="right" w:leader="dot" w:pos="9350"/>
        </w:tabs>
        <w:rPr>
          <w:rFonts w:eastAsiaTheme="minorEastAsia" w:cs="Arial"/>
          <w:noProof/>
        </w:rPr>
      </w:pPr>
      <w:hyperlink w:anchor="_Toc447195035" w:history="1">
        <w:r w:rsidR="002A499B" w:rsidRPr="00C8183B">
          <w:rPr>
            <w:rStyle w:val="Hyperlink"/>
            <w:rFonts w:cs="Arial"/>
            <w:noProof/>
          </w:rPr>
          <w:t>Section 5:  2016 ICU Physician Staffing (IPS) Standard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79</w:t>
        </w:r>
        <w:r w:rsidR="002A499B" w:rsidRPr="00C8183B">
          <w:rPr>
            <w:rFonts w:cs="Arial"/>
            <w:noProof/>
            <w:webHidden/>
          </w:rPr>
          <w:fldChar w:fldCharType="end"/>
        </w:r>
      </w:hyperlink>
    </w:p>
    <w:p w14:paraId="46718DD8" w14:textId="77777777" w:rsidR="002A499B" w:rsidRPr="00C8183B" w:rsidRDefault="00E9134C">
      <w:pPr>
        <w:pStyle w:val="TOC5"/>
        <w:tabs>
          <w:tab w:val="right" w:leader="dot" w:pos="9350"/>
        </w:tabs>
        <w:rPr>
          <w:rFonts w:ascii="Arial" w:hAnsi="Arial" w:cs="Arial"/>
          <w:noProof/>
          <w:sz w:val="20"/>
          <w:szCs w:val="20"/>
        </w:rPr>
      </w:pPr>
      <w:hyperlink w:anchor="_Toc447195036" w:history="1">
        <w:r w:rsidR="002A499B" w:rsidRPr="00C8183B">
          <w:rPr>
            <w:rStyle w:val="Hyperlink"/>
            <w:rFonts w:ascii="Arial" w:hAnsi="Arial" w:cs="Arial"/>
            <w:noProof/>
            <w:sz w:val="20"/>
            <w:szCs w:val="20"/>
          </w:rPr>
          <w:t>ICU Physician Staffing (IPS)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80</w:t>
        </w:r>
        <w:r w:rsidR="002A499B" w:rsidRPr="00C8183B">
          <w:rPr>
            <w:rFonts w:ascii="Arial" w:hAnsi="Arial" w:cs="Arial"/>
            <w:noProof/>
            <w:webHidden/>
            <w:sz w:val="20"/>
            <w:szCs w:val="20"/>
          </w:rPr>
          <w:fldChar w:fldCharType="end"/>
        </w:r>
      </w:hyperlink>
    </w:p>
    <w:p w14:paraId="0D5B701D" w14:textId="77777777" w:rsidR="002A499B" w:rsidRPr="00C8183B" w:rsidRDefault="00E9134C">
      <w:pPr>
        <w:pStyle w:val="TOC2"/>
        <w:tabs>
          <w:tab w:val="right" w:leader="dot" w:pos="9350"/>
        </w:tabs>
        <w:rPr>
          <w:rFonts w:eastAsiaTheme="minorEastAsia" w:cs="Arial"/>
          <w:noProof/>
        </w:rPr>
      </w:pPr>
      <w:hyperlink w:anchor="_Toc447195037" w:history="1">
        <w:r w:rsidR="002A499B" w:rsidRPr="00C8183B">
          <w:rPr>
            <w:rStyle w:val="Hyperlink"/>
            <w:rFonts w:cs="Arial"/>
            <w:noProof/>
          </w:rPr>
          <w:t>Section 5:  2016 ICU Physician Staffing (IPS)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83</w:t>
        </w:r>
        <w:r w:rsidR="002A499B" w:rsidRPr="00C8183B">
          <w:rPr>
            <w:rFonts w:cs="Arial"/>
            <w:noProof/>
            <w:webHidden/>
          </w:rPr>
          <w:fldChar w:fldCharType="end"/>
        </w:r>
      </w:hyperlink>
    </w:p>
    <w:p w14:paraId="07E8B772" w14:textId="77777777" w:rsidR="002A499B" w:rsidRPr="00C8183B" w:rsidRDefault="00E9134C">
      <w:pPr>
        <w:pStyle w:val="TOC5"/>
        <w:tabs>
          <w:tab w:val="right" w:leader="dot" w:pos="9350"/>
        </w:tabs>
        <w:rPr>
          <w:rFonts w:ascii="Arial" w:hAnsi="Arial" w:cs="Arial"/>
          <w:noProof/>
          <w:sz w:val="20"/>
          <w:szCs w:val="20"/>
        </w:rPr>
      </w:pPr>
      <w:hyperlink w:anchor="_Toc447195038"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83</w:t>
        </w:r>
        <w:r w:rsidR="002A499B" w:rsidRPr="00C8183B">
          <w:rPr>
            <w:rFonts w:ascii="Arial" w:hAnsi="Arial" w:cs="Arial"/>
            <w:noProof/>
            <w:webHidden/>
            <w:sz w:val="20"/>
            <w:szCs w:val="20"/>
          </w:rPr>
          <w:fldChar w:fldCharType="end"/>
        </w:r>
      </w:hyperlink>
    </w:p>
    <w:p w14:paraId="05D238A8" w14:textId="77777777" w:rsidR="002A499B" w:rsidRPr="00C8183B" w:rsidRDefault="00E9134C">
      <w:pPr>
        <w:pStyle w:val="TOC5"/>
        <w:tabs>
          <w:tab w:val="right" w:leader="dot" w:pos="9350"/>
        </w:tabs>
        <w:rPr>
          <w:rFonts w:ascii="Arial" w:hAnsi="Arial" w:cs="Arial"/>
          <w:noProof/>
          <w:sz w:val="20"/>
          <w:szCs w:val="20"/>
        </w:rPr>
      </w:pPr>
      <w:hyperlink w:anchor="_Toc447195039"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83</w:t>
        </w:r>
        <w:r w:rsidR="002A499B" w:rsidRPr="00C8183B">
          <w:rPr>
            <w:rFonts w:ascii="Arial" w:hAnsi="Arial" w:cs="Arial"/>
            <w:noProof/>
            <w:webHidden/>
            <w:sz w:val="20"/>
            <w:szCs w:val="20"/>
          </w:rPr>
          <w:fldChar w:fldCharType="end"/>
        </w:r>
      </w:hyperlink>
    </w:p>
    <w:p w14:paraId="6CD426E5" w14:textId="77777777" w:rsidR="002A499B" w:rsidRPr="00C8183B" w:rsidRDefault="00E9134C">
      <w:pPr>
        <w:pStyle w:val="TOC4"/>
        <w:tabs>
          <w:tab w:val="right" w:leader="dot" w:pos="9350"/>
        </w:tabs>
        <w:rPr>
          <w:rFonts w:eastAsiaTheme="minorEastAsia" w:cs="Arial"/>
          <w:noProof/>
        </w:rPr>
      </w:pPr>
      <w:hyperlink w:anchor="_Toc447195040" w:history="1">
        <w:r w:rsidR="002A499B" w:rsidRPr="00C8183B">
          <w:rPr>
            <w:rStyle w:val="Hyperlink"/>
            <w:rFonts w:cs="Arial"/>
            <w:noProof/>
          </w:rPr>
          <w:t>IPS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84</w:t>
        </w:r>
        <w:r w:rsidR="002A499B" w:rsidRPr="00C8183B">
          <w:rPr>
            <w:rFonts w:cs="Arial"/>
            <w:noProof/>
            <w:webHidden/>
          </w:rPr>
          <w:fldChar w:fldCharType="end"/>
        </w:r>
      </w:hyperlink>
    </w:p>
    <w:p w14:paraId="21E5234B" w14:textId="77777777" w:rsidR="002A499B" w:rsidRPr="00C8183B" w:rsidRDefault="00E9134C">
      <w:pPr>
        <w:pStyle w:val="TOC5"/>
        <w:tabs>
          <w:tab w:val="right" w:leader="dot" w:pos="9350"/>
        </w:tabs>
        <w:rPr>
          <w:rFonts w:ascii="Arial" w:hAnsi="Arial" w:cs="Arial"/>
          <w:noProof/>
          <w:sz w:val="20"/>
          <w:szCs w:val="20"/>
        </w:rPr>
      </w:pPr>
      <w:hyperlink w:anchor="_Toc447195041" w:history="1">
        <w:r w:rsidR="002A499B" w:rsidRPr="00C8183B">
          <w:rPr>
            <w:rStyle w:val="Hyperlink"/>
            <w:rFonts w:ascii="Arial" w:hAnsi="Arial" w:cs="Arial"/>
            <w:noProof/>
            <w:sz w:val="20"/>
            <w:szCs w:val="20"/>
          </w:rPr>
          <w:t>General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84</w:t>
        </w:r>
        <w:r w:rsidR="002A499B" w:rsidRPr="00C8183B">
          <w:rPr>
            <w:rFonts w:ascii="Arial" w:hAnsi="Arial" w:cs="Arial"/>
            <w:noProof/>
            <w:webHidden/>
            <w:sz w:val="20"/>
            <w:szCs w:val="20"/>
          </w:rPr>
          <w:fldChar w:fldCharType="end"/>
        </w:r>
      </w:hyperlink>
    </w:p>
    <w:p w14:paraId="6E87B0B6" w14:textId="77777777" w:rsidR="002A499B" w:rsidRPr="00C8183B" w:rsidRDefault="00E9134C">
      <w:pPr>
        <w:pStyle w:val="TOC5"/>
        <w:tabs>
          <w:tab w:val="right" w:leader="dot" w:pos="9350"/>
        </w:tabs>
        <w:rPr>
          <w:rFonts w:ascii="Arial" w:hAnsi="Arial" w:cs="Arial"/>
          <w:noProof/>
          <w:sz w:val="20"/>
          <w:szCs w:val="20"/>
        </w:rPr>
      </w:pPr>
      <w:hyperlink w:anchor="_Toc447195042" w:history="1">
        <w:r w:rsidR="002A499B" w:rsidRPr="00C8183B">
          <w:rPr>
            <w:rStyle w:val="Hyperlink"/>
            <w:rFonts w:ascii="Arial" w:hAnsi="Arial" w:cs="Arial"/>
            <w:noProof/>
            <w:sz w:val="20"/>
            <w:szCs w:val="20"/>
          </w:rPr>
          <w:t>Certification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85</w:t>
        </w:r>
        <w:r w:rsidR="002A499B" w:rsidRPr="00C8183B">
          <w:rPr>
            <w:rFonts w:ascii="Arial" w:hAnsi="Arial" w:cs="Arial"/>
            <w:noProof/>
            <w:webHidden/>
            <w:sz w:val="20"/>
            <w:szCs w:val="20"/>
          </w:rPr>
          <w:fldChar w:fldCharType="end"/>
        </w:r>
      </w:hyperlink>
    </w:p>
    <w:p w14:paraId="6693265C" w14:textId="77777777" w:rsidR="002A499B" w:rsidRPr="00C8183B" w:rsidRDefault="00E9134C">
      <w:pPr>
        <w:pStyle w:val="TOC5"/>
        <w:tabs>
          <w:tab w:val="right" w:leader="dot" w:pos="9350"/>
        </w:tabs>
        <w:rPr>
          <w:rFonts w:ascii="Arial" w:hAnsi="Arial" w:cs="Arial"/>
          <w:noProof/>
          <w:sz w:val="20"/>
          <w:szCs w:val="20"/>
        </w:rPr>
      </w:pPr>
      <w:hyperlink w:anchor="_Toc447195043" w:history="1">
        <w:r w:rsidR="002A499B" w:rsidRPr="00C8183B">
          <w:rPr>
            <w:rStyle w:val="Hyperlink"/>
            <w:rFonts w:ascii="Arial" w:hAnsi="Arial" w:cs="Arial"/>
            <w:noProof/>
            <w:sz w:val="20"/>
            <w:szCs w:val="20"/>
          </w:rPr>
          <w:t>Response Time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85</w:t>
        </w:r>
        <w:r w:rsidR="002A499B" w:rsidRPr="00C8183B">
          <w:rPr>
            <w:rFonts w:ascii="Arial" w:hAnsi="Arial" w:cs="Arial"/>
            <w:noProof/>
            <w:webHidden/>
            <w:sz w:val="20"/>
            <w:szCs w:val="20"/>
          </w:rPr>
          <w:fldChar w:fldCharType="end"/>
        </w:r>
      </w:hyperlink>
    </w:p>
    <w:p w14:paraId="36337528" w14:textId="77777777" w:rsidR="002A499B" w:rsidRPr="00C8183B" w:rsidRDefault="00E9134C">
      <w:pPr>
        <w:pStyle w:val="TOC1"/>
        <w:rPr>
          <w:rFonts w:eastAsiaTheme="minorEastAsia" w:cs="Arial"/>
          <w:noProof/>
        </w:rPr>
      </w:pPr>
      <w:hyperlink w:anchor="_Toc447195044"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87</w:t>
        </w:r>
        <w:r w:rsidR="002A499B" w:rsidRPr="00C8183B">
          <w:rPr>
            <w:rFonts w:cs="Arial"/>
            <w:noProof/>
            <w:webHidden/>
          </w:rPr>
          <w:fldChar w:fldCharType="end"/>
        </w:r>
      </w:hyperlink>
    </w:p>
    <w:p w14:paraId="6F226249" w14:textId="77777777" w:rsidR="002A499B" w:rsidRPr="00C8183B" w:rsidRDefault="00E9134C">
      <w:pPr>
        <w:pStyle w:val="TOC1"/>
        <w:rPr>
          <w:rFonts w:eastAsiaTheme="minorEastAsia" w:cs="Arial"/>
          <w:noProof/>
        </w:rPr>
      </w:pPr>
      <w:hyperlink w:anchor="_Toc447195045" w:history="1">
        <w:r w:rsidR="002A499B" w:rsidRPr="00C8183B">
          <w:rPr>
            <w:rStyle w:val="Hyperlink"/>
            <w:rFonts w:cs="Arial"/>
            <w:noProof/>
          </w:rPr>
          <w:t>SECTION 6: SAFE PRACTICES SCORE (SPS)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88</w:t>
        </w:r>
        <w:r w:rsidR="002A499B" w:rsidRPr="00C8183B">
          <w:rPr>
            <w:rFonts w:cs="Arial"/>
            <w:noProof/>
            <w:webHidden/>
          </w:rPr>
          <w:fldChar w:fldCharType="end"/>
        </w:r>
      </w:hyperlink>
    </w:p>
    <w:p w14:paraId="152173CC" w14:textId="77777777" w:rsidR="002A499B" w:rsidRPr="00C8183B" w:rsidRDefault="00E9134C">
      <w:pPr>
        <w:pStyle w:val="TOC2"/>
        <w:tabs>
          <w:tab w:val="right" w:leader="dot" w:pos="9350"/>
        </w:tabs>
        <w:rPr>
          <w:rFonts w:eastAsiaTheme="minorEastAsia" w:cs="Arial"/>
          <w:noProof/>
        </w:rPr>
      </w:pPr>
      <w:hyperlink w:anchor="_Toc447195046" w:history="1">
        <w:r w:rsidR="002A499B" w:rsidRPr="00C8183B">
          <w:rPr>
            <w:rStyle w:val="Hyperlink"/>
            <w:rFonts w:cs="Arial"/>
            <w:noProof/>
          </w:rPr>
          <w:t>Section 6: 2016 NQF Safe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_Toc447195046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89</w:t>
        </w:r>
        <w:r w:rsidR="002A499B" w:rsidRPr="00C8183B">
          <w:rPr>
            <w:rFonts w:cs="Arial"/>
            <w:noProof/>
            <w:webHidden/>
          </w:rPr>
          <w:fldChar w:fldCharType="end"/>
        </w:r>
      </w:hyperlink>
    </w:p>
    <w:p w14:paraId="3F641487" w14:textId="77777777" w:rsidR="002A499B" w:rsidRPr="00C8183B" w:rsidRDefault="00E9134C">
      <w:pPr>
        <w:pStyle w:val="TOC4"/>
        <w:tabs>
          <w:tab w:val="right" w:leader="dot" w:pos="9350"/>
        </w:tabs>
        <w:rPr>
          <w:rFonts w:eastAsiaTheme="minorEastAsia" w:cs="Arial"/>
          <w:noProof/>
        </w:rPr>
      </w:pPr>
      <w:hyperlink w:anchor="_Toc447195047" w:history="1">
        <w:r w:rsidR="002A499B" w:rsidRPr="00C8183B">
          <w:rPr>
            <w:rStyle w:val="Hyperlink"/>
            <w:rFonts w:cs="Arial"/>
            <w:noProof/>
            <w:snapToGrid w:val="0"/>
          </w:rPr>
          <w:t xml:space="preserve">6A: </w:t>
        </w:r>
        <w:r w:rsidR="002A499B" w:rsidRPr="00C8183B">
          <w:rPr>
            <w:rStyle w:val="Hyperlink"/>
            <w:rFonts w:cs="Arial"/>
            <w:bCs/>
            <w:noProof/>
          </w:rPr>
          <w:t xml:space="preserve">Practice #1 - Culture of Safety </w:t>
        </w:r>
        <w:r w:rsidR="002A499B" w:rsidRPr="00C8183B">
          <w:rPr>
            <w:rStyle w:val="Hyperlink"/>
            <w:rFonts w:cs="Arial"/>
            <w:noProof/>
          </w:rPr>
          <w:t>Leadership Structures and Systems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91</w:t>
        </w:r>
        <w:r w:rsidR="002A499B" w:rsidRPr="00C8183B">
          <w:rPr>
            <w:rFonts w:cs="Arial"/>
            <w:noProof/>
            <w:webHidden/>
          </w:rPr>
          <w:fldChar w:fldCharType="end"/>
        </w:r>
      </w:hyperlink>
    </w:p>
    <w:p w14:paraId="7D745A74" w14:textId="77777777" w:rsidR="002A499B" w:rsidRPr="00C8183B" w:rsidRDefault="00E9134C">
      <w:pPr>
        <w:pStyle w:val="TOC4"/>
        <w:tabs>
          <w:tab w:val="right" w:leader="dot" w:pos="9350"/>
        </w:tabs>
        <w:rPr>
          <w:rFonts w:eastAsiaTheme="minorEastAsia" w:cs="Arial"/>
          <w:noProof/>
        </w:rPr>
      </w:pPr>
      <w:hyperlink w:anchor="_Toc447195048" w:history="1">
        <w:r w:rsidR="002A499B" w:rsidRPr="00C8183B">
          <w:rPr>
            <w:rStyle w:val="Hyperlink"/>
            <w:rFonts w:cs="Arial"/>
            <w:noProof/>
            <w:snapToGrid w:val="0"/>
          </w:rPr>
          <w:t>6B: Practice #2 - Culture Measurement, Feedback, and Intervention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93</w:t>
        </w:r>
        <w:r w:rsidR="002A499B" w:rsidRPr="00C8183B">
          <w:rPr>
            <w:rFonts w:cs="Arial"/>
            <w:noProof/>
            <w:webHidden/>
          </w:rPr>
          <w:fldChar w:fldCharType="end"/>
        </w:r>
      </w:hyperlink>
    </w:p>
    <w:p w14:paraId="73BF050E" w14:textId="77777777" w:rsidR="002A499B" w:rsidRPr="00C8183B" w:rsidRDefault="00E9134C">
      <w:pPr>
        <w:pStyle w:val="TOC4"/>
        <w:tabs>
          <w:tab w:val="right" w:leader="dot" w:pos="9350"/>
        </w:tabs>
        <w:rPr>
          <w:rFonts w:eastAsiaTheme="minorEastAsia" w:cs="Arial"/>
          <w:noProof/>
        </w:rPr>
      </w:pPr>
      <w:hyperlink w:anchor="_Toc447195049" w:history="1">
        <w:r w:rsidR="002A499B" w:rsidRPr="00C8183B">
          <w:rPr>
            <w:rStyle w:val="Hyperlink"/>
            <w:rFonts w:cs="Arial"/>
            <w:noProof/>
            <w:snapToGrid w:val="0"/>
          </w:rPr>
          <w:t>6C: Practice #3 - Teamwork Training and Skill Building</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95</w:t>
        </w:r>
        <w:r w:rsidR="002A499B" w:rsidRPr="00C8183B">
          <w:rPr>
            <w:rFonts w:cs="Arial"/>
            <w:noProof/>
            <w:webHidden/>
          </w:rPr>
          <w:fldChar w:fldCharType="end"/>
        </w:r>
      </w:hyperlink>
    </w:p>
    <w:p w14:paraId="0231E01A" w14:textId="77777777" w:rsidR="002A499B" w:rsidRPr="00C8183B" w:rsidRDefault="00E9134C">
      <w:pPr>
        <w:pStyle w:val="TOC4"/>
        <w:tabs>
          <w:tab w:val="right" w:leader="dot" w:pos="9350"/>
        </w:tabs>
        <w:rPr>
          <w:rFonts w:eastAsiaTheme="minorEastAsia" w:cs="Arial"/>
          <w:noProof/>
        </w:rPr>
      </w:pPr>
      <w:hyperlink w:anchor="_Toc447195050" w:history="1">
        <w:r w:rsidR="002A499B" w:rsidRPr="00C8183B">
          <w:rPr>
            <w:rStyle w:val="Hyperlink"/>
            <w:rFonts w:cs="Arial"/>
            <w:noProof/>
            <w:snapToGrid w:val="0"/>
          </w:rPr>
          <w:t>6D: Practice #4 - Risks and Hazards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97</w:t>
        </w:r>
        <w:r w:rsidR="002A499B" w:rsidRPr="00C8183B">
          <w:rPr>
            <w:rFonts w:cs="Arial"/>
            <w:noProof/>
            <w:webHidden/>
          </w:rPr>
          <w:fldChar w:fldCharType="end"/>
        </w:r>
      </w:hyperlink>
    </w:p>
    <w:p w14:paraId="4E6EFC38" w14:textId="77777777" w:rsidR="002A499B" w:rsidRPr="00C8183B" w:rsidRDefault="00E9134C">
      <w:pPr>
        <w:pStyle w:val="TOC4"/>
        <w:tabs>
          <w:tab w:val="right" w:leader="dot" w:pos="9350"/>
        </w:tabs>
        <w:rPr>
          <w:rFonts w:eastAsiaTheme="minorEastAsia" w:cs="Arial"/>
          <w:noProof/>
        </w:rPr>
      </w:pPr>
      <w:hyperlink w:anchor="_Toc447195051" w:history="1">
        <w:r w:rsidR="002A499B" w:rsidRPr="00C8183B">
          <w:rPr>
            <w:rStyle w:val="Hyperlink"/>
            <w:rFonts w:cs="Arial"/>
            <w:noProof/>
            <w:snapToGrid w:val="0"/>
          </w:rPr>
          <w:t>6E: Practice #9 - Nursing Workforce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_Toc447195051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99</w:t>
        </w:r>
        <w:r w:rsidR="002A499B" w:rsidRPr="00C8183B">
          <w:rPr>
            <w:rFonts w:cs="Arial"/>
            <w:noProof/>
            <w:webHidden/>
          </w:rPr>
          <w:fldChar w:fldCharType="end"/>
        </w:r>
      </w:hyperlink>
    </w:p>
    <w:p w14:paraId="12CEC1B9" w14:textId="28E47CFE"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2" w:history="1">
        <w:r w:rsidR="002A499B" w:rsidRPr="00C8183B">
          <w:rPr>
            <w:rStyle w:val="Hyperlink"/>
            <w:rFonts w:ascii="Arial" w:hAnsi="Arial" w:cs="Arial"/>
            <w:noProof/>
            <w:snapToGrid w:val="0"/>
            <w:sz w:val="20"/>
            <w:szCs w:val="20"/>
          </w:rPr>
          <w:t>6F: Practice #17 - Medication Reconciliation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101</w:t>
        </w:r>
        <w:r w:rsidR="002A499B" w:rsidRPr="00C8183B">
          <w:rPr>
            <w:rFonts w:ascii="Arial" w:hAnsi="Arial" w:cs="Arial"/>
            <w:noProof/>
            <w:webHidden/>
            <w:sz w:val="20"/>
            <w:szCs w:val="20"/>
          </w:rPr>
          <w:fldChar w:fldCharType="end"/>
        </w:r>
      </w:hyperlink>
    </w:p>
    <w:p w14:paraId="20EA845D" w14:textId="609BDD76"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3" w:history="1">
        <w:r w:rsidR="002A499B" w:rsidRPr="00C8183B">
          <w:rPr>
            <w:rStyle w:val="Hyperlink"/>
            <w:rFonts w:ascii="Arial" w:hAnsi="Arial" w:cs="Arial"/>
            <w:noProof/>
            <w:snapToGrid w:val="0"/>
            <w:sz w:val="20"/>
            <w:szCs w:val="20"/>
          </w:rPr>
          <w:t>6G: Practice #19 - Hand Hygiene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103</w:t>
        </w:r>
        <w:r w:rsidR="002A499B" w:rsidRPr="00C8183B">
          <w:rPr>
            <w:rFonts w:ascii="Arial" w:hAnsi="Arial" w:cs="Arial"/>
            <w:noProof/>
            <w:webHidden/>
            <w:sz w:val="20"/>
            <w:szCs w:val="20"/>
          </w:rPr>
          <w:fldChar w:fldCharType="end"/>
        </w:r>
      </w:hyperlink>
    </w:p>
    <w:p w14:paraId="5FE4B96D" w14:textId="568BD2C1"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4" w:history="1">
        <w:r w:rsidR="002A499B" w:rsidRPr="00C8183B">
          <w:rPr>
            <w:rStyle w:val="Hyperlink"/>
            <w:rFonts w:ascii="Arial" w:hAnsi="Arial" w:cs="Arial"/>
            <w:noProof/>
            <w:snapToGrid w:val="0"/>
            <w:sz w:val="20"/>
            <w:szCs w:val="20"/>
          </w:rPr>
          <w:t>6H: Practice #23 - Prevention of Healthcare-Associated Complications in Ventilated Patients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105</w:t>
        </w:r>
        <w:r w:rsidR="002A499B" w:rsidRPr="00C8183B">
          <w:rPr>
            <w:rFonts w:ascii="Arial" w:hAnsi="Arial" w:cs="Arial"/>
            <w:noProof/>
            <w:webHidden/>
            <w:sz w:val="20"/>
            <w:szCs w:val="20"/>
          </w:rPr>
          <w:fldChar w:fldCharType="end"/>
        </w:r>
      </w:hyperlink>
    </w:p>
    <w:p w14:paraId="64AA7C0A" w14:textId="77777777" w:rsidR="002A499B" w:rsidRPr="00C8183B" w:rsidRDefault="00E9134C">
      <w:pPr>
        <w:pStyle w:val="TOC2"/>
        <w:tabs>
          <w:tab w:val="right" w:leader="dot" w:pos="9350"/>
        </w:tabs>
        <w:rPr>
          <w:rFonts w:eastAsiaTheme="minorEastAsia" w:cs="Arial"/>
          <w:noProof/>
        </w:rPr>
      </w:pPr>
      <w:hyperlink w:anchor="_Toc447195055" w:history="1">
        <w:r w:rsidR="002A499B" w:rsidRPr="00C8183B">
          <w:rPr>
            <w:rStyle w:val="Hyperlink"/>
            <w:rFonts w:cs="Arial"/>
            <w:noProof/>
          </w:rPr>
          <w:t>Section 6: 2016 Leapfrog Safe Practices Score (SPS)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107</w:t>
        </w:r>
        <w:r w:rsidR="002A499B" w:rsidRPr="00C8183B">
          <w:rPr>
            <w:rFonts w:cs="Arial"/>
            <w:noProof/>
            <w:webHidden/>
          </w:rPr>
          <w:fldChar w:fldCharType="end"/>
        </w:r>
      </w:hyperlink>
    </w:p>
    <w:p w14:paraId="7B65659E" w14:textId="77777777" w:rsidR="002A499B" w:rsidRPr="00C8183B" w:rsidRDefault="00E9134C">
      <w:pPr>
        <w:pStyle w:val="TOC5"/>
        <w:tabs>
          <w:tab w:val="right" w:leader="dot" w:pos="9350"/>
        </w:tabs>
        <w:rPr>
          <w:rFonts w:ascii="Arial" w:hAnsi="Arial" w:cs="Arial"/>
          <w:noProof/>
          <w:sz w:val="20"/>
          <w:szCs w:val="20"/>
        </w:rPr>
      </w:pPr>
      <w:hyperlink w:anchor="_Toc447195056"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107</w:t>
        </w:r>
        <w:r w:rsidR="002A499B" w:rsidRPr="00C8183B">
          <w:rPr>
            <w:rFonts w:ascii="Arial" w:hAnsi="Arial" w:cs="Arial"/>
            <w:noProof/>
            <w:webHidden/>
            <w:sz w:val="20"/>
            <w:szCs w:val="20"/>
          </w:rPr>
          <w:fldChar w:fldCharType="end"/>
        </w:r>
      </w:hyperlink>
    </w:p>
    <w:p w14:paraId="7BF8645E" w14:textId="77777777" w:rsidR="002A499B" w:rsidRPr="00C8183B" w:rsidRDefault="00E9134C">
      <w:pPr>
        <w:pStyle w:val="TOC5"/>
        <w:tabs>
          <w:tab w:val="right" w:leader="dot" w:pos="9350"/>
        </w:tabs>
        <w:rPr>
          <w:rFonts w:ascii="Arial" w:hAnsi="Arial" w:cs="Arial"/>
          <w:noProof/>
          <w:sz w:val="20"/>
          <w:szCs w:val="20"/>
        </w:rPr>
      </w:pPr>
      <w:hyperlink w:anchor="_Toc447195057"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107</w:t>
        </w:r>
        <w:r w:rsidR="002A499B" w:rsidRPr="00C8183B">
          <w:rPr>
            <w:rFonts w:ascii="Arial" w:hAnsi="Arial" w:cs="Arial"/>
            <w:noProof/>
            <w:webHidden/>
            <w:sz w:val="20"/>
            <w:szCs w:val="20"/>
          </w:rPr>
          <w:fldChar w:fldCharType="end"/>
        </w:r>
      </w:hyperlink>
    </w:p>
    <w:p w14:paraId="032F61AA" w14:textId="77777777" w:rsidR="002A499B" w:rsidRPr="00C8183B" w:rsidRDefault="00E9134C">
      <w:pPr>
        <w:pStyle w:val="TOC4"/>
        <w:tabs>
          <w:tab w:val="right" w:leader="dot" w:pos="9350"/>
        </w:tabs>
        <w:rPr>
          <w:rFonts w:eastAsiaTheme="minorEastAsia" w:cs="Arial"/>
          <w:noProof/>
        </w:rPr>
      </w:pPr>
      <w:hyperlink w:anchor="_Toc447195058" w:history="1">
        <w:r w:rsidR="002A499B" w:rsidRPr="00C8183B">
          <w:rPr>
            <w:rStyle w:val="Hyperlink"/>
            <w:rFonts w:cs="Arial"/>
            <w:noProof/>
          </w:rPr>
          <w:t>Tips for Reporting on Section 6 Safe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108</w:t>
        </w:r>
        <w:r w:rsidR="002A499B" w:rsidRPr="00C8183B">
          <w:rPr>
            <w:rFonts w:cs="Arial"/>
            <w:noProof/>
            <w:webHidden/>
          </w:rPr>
          <w:fldChar w:fldCharType="end"/>
        </w:r>
      </w:hyperlink>
    </w:p>
    <w:p w14:paraId="4BC25F72" w14:textId="77777777" w:rsidR="002A499B" w:rsidRPr="00C8183B" w:rsidRDefault="00E9134C">
      <w:pPr>
        <w:pStyle w:val="TOC4"/>
        <w:tabs>
          <w:tab w:val="right" w:leader="dot" w:pos="9350"/>
        </w:tabs>
        <w:rPr>
          <w:rFonts w:eastAsiaTheme="minorEastAsia" w:cs="Arial"/>
          <w:noProof/>
        </w:rPr>
      </w:pPr>
      <w:hyperlink w:anchor="_Toc447195059" w:history="1">
        <w:r w:rsidR="002A499B" w:rsidRPr="00C8183B">
          <w:rPr>
            <w:rStyle w:val="Hyperlink"/>
            <w:rFonts w:cs="Arial"/>
            <w:noProof/>
          </w:rPr>
          <w:t>Safe Practices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109</w:t>
        </w:r>
        <w:r w:rsidR="002A499B" w:rsidRPr="00C8183B">
          <w:rPr>
            <w:rFonts w:cs="Arial"/>
            <w:noProof/>
            <w:webHidden/>
          </w:rPr>
          <w:fldChar w:fldCharType="end"/>
        </w:r>
      </w:hyperlink>
    </w:p>
    <w:p w14:paraId="7AD46417" w14:textId="77777777" w:rsidR="002A499B" w:rsidRPr="00C8183B" w:rsidRDefault="00E9134C">
      <w:pPr>
        <w:pStyle w:val="TOC5"/>
        <w:tabs>
          <w:tab w:val="right" w:leader="dot" w:pos="9350"/>
        </w:tabs>
        <w:rPr>
          <w:rFonts w:ascii="Arial" w:hAnsi="Arial" w:cs="Arial"/>
          <w:noProof/>
          <w:sz w:val="20"/>
          <w:szCs w:val="20"/>
        </w:rPr>
      </w:pPr>
      <w:hyperlink w:anchor="_Toc447195060" w:history="1">
        <w:r w:rsidR="002A499B" w:rsidRPr="00C8183B">
          <w:rPr>
            <w:rStyle w:val="Hyperlink"/>
            <w:rFonts w:ascii="Arial" w:hAnsi="Arial" w:cs="Arial"/>
            <w:noProof/>
            <w:sz w:val="20"/>
            <w:szCs w:val="20"/>
          </w:rPr>
          <w:t>General FAQs for the Safe Practices: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_Toc447195060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109</w:t>
        </w:r>
        <w:r w:rsidR="002A499B" w:rsidRPr="00C8183B">
          <w:rPr>
            <w:rFonts w:ascii="Arial" w:hAnsi="Arial" w:cs="Arial"/>
            <w:noProof/>
            <w:webHidden/>
            <w:sz w:val="20"/>
            <w:szCs w:val="20"/>
          </w:rPr>
          <w:fldChar w:fldCharType="end"/>
        </w:r>
      </w:hyperlink>
    </w:p>
    <w:p w14:paraId="4110C8BB" w14:textId="77777777" w:rsidR="002A499B" w:rsidRPr="00C8183B" w:rsidRDefault="00E9134C">
      <w:pPr>
        <w:pStyle w:val="TOC5"/>
        <w:tabs>
          <w:tab w:val="right" w:leader="dot" w:pos="9350"/>
        </w:tabs>
        <w:rPr>
          <w:rFonts w:ascii="Arial" w:hAnsi="Arial" w:cs="Arial"/>
          <w:noProof/>
          <w:sz w:val="20"/>
          <w:szCs w:val="20"/>
        </w:rPr>
      </w:pPr>
      <w:hyperlink w:anchor="_Toc447195061" w:history="1">
        <w:r w:rsidR="002A499B" w:rsidRPr="00C8183B">
          <w:rPr>
            <w:rStyle w:val="Hyperlink"/>
            <w:rFonts w:ascii="Arial" w:hAnsi="Arial" w:cs="Arial"/>
            <w:noProof/>
            <w:sz w:val="20"/>
            <w:szCs w:val="20"/>
          </w:rPr>
          <w:t>FAQs Specific to Safe Practices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_Toc447195061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111</w:t>
        </w:r>
        <w:r w:rsidR="002A499B" w:rsidRPr="00C8183B">
          <w:rPr>
            <w:rFonts w:ascii="Arial" w:hAnsi="Arial" w:cs="Arial"/>
            <w:noProof/>
            <w:webHidden/>
            <w:sz w:val="20"/>
            <w:szCs w:val="20"/>
          </w:rPr>
          <w:fldChar w:fldCharType="end"/>
        </w:r>
      </w:hyperlink>
    </w:p>
    <w:p w14:paraId="3BF189DF" w14:textId="77777777" w:rsidR="002A499B" w:rsidRPr="00C8183B" w:rsidRDefault="00E9134C">
      <w:pPr>
        <w:pStyle w:val="TOC1"/>
        <w:rPr>
          <w:rFonts w:eastAsiaTheme="minorEastAsia" w:cs="Arial"/>
          <w:noProof/>
        </w:rPr>
      </w:pPr>
      <w:hyperlink w:anchor="_Toc447195062"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_Toc447195062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118</w:t>
        </w:r>
        <w:r w:rsidR="002A499B" w:rsidRPr="00C8183B">
          <w:rPr>
            <w:rFonts w:cs="Arial"/>
            <w:noProof/>
            <w:webHidden/>
          </w:rPr>
          <w:fldChar w:fldCharType="end"/>
        </w:r>
      </w:hyperlink>
    </w:p>
    <w:p w14:paraId="3C4304FB" w14:textId="77777777" w:rsidR="002A499B" w:rsidRPr="00C8183B" w:rsidRDefault="00E9134C">
      <w:pPr>
        <w:pStyle w:val="TOC1"/>
        <w:rPr>
          <w:rFonts w:eastAsiaTheme="minorEastAsia" w:cs="Arial"/>
          <w:noProof/>
        </w:rPr>
      </w:pPr>
      <w:hyperlink w:anchor="_Toc447195063" w:history="1">
        <w:r w:rsidR="002A499B" w:rsidRPr="00C8183B">
          <w:rPr>
            <w:rStyle w:val="Hyperlink"/>
            <w:rFonts w:cs="Arial"/>
            <w:noProof/>
          </w:rPr>
          <w:t>SECTION 7: MANAGING SERIOUS ERRORS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_Toc447195063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119</w:t>
        </w:r>
        <w:r w:rsidR="002A499B" w:rsidRPr="00C8183B">
          <w:rPr>
            <w:rFonts w:cs="Arial"/>
            <w:noProof/>
            <w:webHidden/>
          </w:rPr>
          <w:fldChar w:fldCharType="end"/>
        </w:r>
      </w:hyperlink>
    </w:p>
    <w:p w14:paraId="7222EA45" w14:textId="77777777" w:rsidR="002A499B" w:rsidRPr="00C8183B" w:rsidRDefault="00E9134C">
      <w:pPr>
        <w:pStyle w:val="TOC2"/>
        <w:tabs>
          <w:tab w:val="right" w:leader="dot" w:pos="9350"/>
        </w:tabs>
        <w:rPr>
          <w:rFonts w:eastAsiaTheme="minorEastAsia" w:cs="Arial"/>
          <w:noProof/>
        </w:rPr>
      </w:pPr>
      <w:hyperlink w:anchor="_Toc447195064" w:history="1">
        <w:r w:rsidR="002A499B" w:rsidRPr="00C8183B">
          <w:rPr>
            <w:rStyle w:val="Hyperlink"/>
            <w:rFonts w:cs="Arial"/>
            <w:noProof/>
          </w:rPr>
          <w:t>Section 7:  2016 Managing Serious Errors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120</w:t>
        </w:r>
        <w:r w:rsidR="002A499B" w:rsidRPr="00C8183B">
          <w:rPr>
            <w:rFonts w:cs="Arial"/>
            <w:noProof/>
            <w:webHidden/>
          </w:rPr>
          <w:fldChar w:fldCharType="end"/>
        </w:r>
      </w:hyperlink>
    </w:p>
    <w:p w14:paraId="40825825" w14:textId="77777777" w:rsidR="002A499B" w:rsidRPr="00C8183B" w:rsidRDefault="00E9134C">
      <w:pPr>
        <w:pStyle w:val="TOC4"/>
        <w:tabs>
          <w:tab w:val="right" w:leader="dot" w:pos="9350"/>
        </w:tabs>
        <w:rPr>
          <w:rFonts w:eastAsiaTheme="minorEastAsia" w:cs="Arial"/>
          <w:noProof/>
        </w:rPr>
      </w:pPr>
      <w:hyperlink w:anchor="_Toc447195065" w:history="1">
        <w:r w:rsidR="002A499B" w:rsidRPr="00C8183B">
          <w:rPr>
            <w:rStyle w:val="Hyperlink"/>
            <w:rFonts w:cs="Arial"/>
            <w:noProof/>
            <w:snapToGrid w:val="0"/>
          </w:rPr>
          <w:t>7A: The Leapfrog Group “Never Events” Policy Statement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121</w:t>
        </w:r>
        <w:r w:rsidR="002A499B" w:rsidRPr="00C8183B">
          <w:rPr>
            <w:rFonts w:cs="Arial"/>
            <w:noProof/>
            <w:webHidden/>
          </w:rPr>
          <w:fldChar w:fldCharType="end"/>
        </w:r>
      </w:hyperlink>
    </w:p>
    <w:p w14:paraId="637C5FAD" w14:textId="77777777" w:rsidR="002A499B" w:rsidRPr="00C8183B" w:rsidRDefault="00E9134C">
      <w:pPr>
        <w:pStyle w:val="TOC4"/>
        <w:tabs>
          <w:tab w:val="right" w:leader="dot" w:pos="9350"/>
        </w:tabs>
        <w:rPr>
          <w:rFonts w:eastAsiaTheme="minorEastAsia" w:cs="Arial"/>
          <w:noProof/>
        </w:rPr>
      </w:pPr>
      <w:hyperlink w:anchor="_Toc447195066" w:history="1">
        <w:r w:rsidR="002A499B" w:rsidRPr="00C8183B">
          <w:rPr>
            <w:rStyle w:val="Hyperlink"/>
            <w:rFonts w:cs="Arial"/>
            <w:noProof/>
            <w:snapToGrid w:val="0"/>
          </w:rPr>
          <w:t>7B: Hospital-Acquired Infections – CLABSI and CAUTI</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_Toc447195066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122</w:t>
        </w:r>
        <w:r w:rsidR="002A499B" w:rsidRPr="00C8183B">
          <w:rPr>
            <w:rFonts w:cs="Arial"/>
            <w:noProof/>
            <w:webHidden/>
          </w:rPr>
          <w:fldChar w:fldCharType="end"/>
        </w:r>
      </w:hyperlink>
    </w:p>
    <w:p w14:paraId="356F60B1" w14:textId="77777777" w:rsidR="002A499B" w:rsidRPr="00C8183B" w:rsidRDefault="00E9134C">
      <w:pPr>
        <w:pStyle w:val="TOC4"/>
        <w:tabs>
          <w:tab w:val="right" w:leader="dot" w:pos="9350"/>
        </w:tabs>
        <w:rPr>
          <w:rFonts w:eastAsiaTheme="minorEastAsia" w:cs="Arial"/>
          <w:noProof/>
        </w:rPr>
      </w:pPr>
      <w:hyperlink w:anchor="_Toc447195067" w:history="1">
        <w:r w:rsidR="002A499B" w:rsidRPr="00C8183B">
          <w:rPr>
            <w:rStyle w:val="Hyperlink"/>
            <w:rFonts w:cs="Arial"/>
            <w:noProof/>
            <w:snapToGrid w:val="0"/>
          </w:rPr>
          <w:t>7C: Other Healthcare-Associated Infections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125</w:t>
        </w:r>
        <w:r w:rsidR="002A499B" w:rsidRPr="00C8183B">
          <w:rPr>
            <w:rFonts w:cs="Arial"/>
            <w:noProof/>
            <w:webHidden/>
          </w:rPr>
          <w:fldChar w:fldCharType="end"/>
        </w:r>
      </w:hyperlink>
    </w:p>
    <w:p w14:paraId="0CDD2EE9" w14:textId="77777777" w:rsidR="002A499B" w:rsidRPr="00C8183B" w:rsidRDefault="00E9134C">
      <w:pPr>
        <w:pStyle w:val="TOC4"/>
        <w:tabs>
          <w:tab w:val="right" w:leader="dot" w:pos="9350"/>
        </w:tabs>
        <w:rPr>
          <w:rFonts w:eastAsiaTheme="minorEastAsia" w:cs="Arial"/>
          <w:noProof/>
        </w:rPr>
      </w:pPr>
      <w:hyperlink w:anchor="_Toc447195068" w:history="1">
        <w:r w:rsidR="002A499B" w:rsidRPr="00C8183B">
          <w:rPr>
            <w:rStyle w:val="Hyperlink"/>
            <w:rFonts w:cs="Arial"/>
            <w:noProof/>
            <w:snapToGrid w:val="0"/>
          </w:rPr>
          <w:t>7D: Hospital-Acquired Conditions – Pressure Ulcer and Injuries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126</w:t>
        </w:r>
        <w:r w:rsidR="002A499B" w:rsidRPr="00C8183B">
          <w:rPr>
            <w:rFonts w:cs="Arial"/>
            <w:noProof/>
            <w:webHidden/>
          </w:rPr>
          <w:fldChar w:fldCharType="end"/>
        </w:r>
      </w:hyperlink>
    </w:p>
    <w:p w14:paraId="1C5D547F" w14:textId="77777777" w:rsidR="002A499B" w:rsidRPr="00C8183B" w:rsidRDefault="00E9134C">
      <w:pPr>
        <w:pStyle w:val="TOC4"/>
        <w:tabs>
          <w:tab w:val="right" w:leader="dot" w:pos="9350"/>
        </w:tabs>
        <w:rPr>
          <w:rFonts w:eastAsiaTheme="minorEastAsia" w:cs="Arial"/>
          <w:noProof/>
        </w:rPr>
      </w:pPr>
      <w:hyperlink w:anchor="_Toc447195069" w:history="1">
        <w:r w:rsidR="002A499B" w:rsidRPr="00C8183B">
          <w:rPr>
            <w:rStyle w:val="Hyperlink"/>
            <w:rFonts w:cs="Arial"/>
            <w:noProof/>
            <w:snapToGrid w:val="0"/>
          </w:rPr>
          <w:t>7E: Antibiotic Stewardship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127</w:t>
        </w:r>
        <w:r w:rsidR="002A499B" w:rsidRPr="00C8183B">
          <w:rPr>
            <w:rFonts w:cs="Arial"/>
            <w:noProof/>
            <w:webHidden/>
          </w:rPr>
          <w:fldChar w:fldCharType="end"/>
        </w:r>
      </w:hyperlink>
    </w:p>
    <w:p w14:paraId="437F5A49" w14:textId="77777777" w:rsidR="002A499B" w:rsidRPr="00C8183B" w:rsidRDefault="00E9134C">
      <w:pPr>
        <w:pStyle w:val="TOC2"/>
        <w:tabs>
          <w:tab w:val="right" w:leader="dot" w:pos="9350"/>
        </w:tabs>
        <w:rPr>
          <w:rFonts w:eastAsiaTheme="minorEastAsia" w:cs="Arial"/>
          <w:noProof/>
        </w:rPr>
      </w:pPr>
      <w:hyperlink w:anchor="_Toc447195070" w:history="1">
        <w:r w:rsidR="002A499B" w:rsidRPr="00C8183B">
          <w:rPr>
            <w:rStyle w:val="Hyperlink"/>
            <w:rFonts w:cs="Arial"/>
            <w:noProof/>
          </w:rPr>
          <w:t>Section 7:  2016 Managing Serious Errors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130</w:t>
        </w:r>
        <w:r w:rsidR="002A499B" w:rsidRPr="00C8183B">
          <w:rPr>
            <w:rFonts w:cs="Arial"/>
            <w:noProof/>
            <w:webHidden/>
          </w:rPr>
          <w:fldChar w:fldCharType="end"/>
        </w:r>
      </w:hyperlink>
    </w:p>
    <w:p w14:paraId="07B78DAC" w14:textId="77777777" w:rsidR="002A499B" w:rsidRPr="00C8183B" w:rsidRDefault="00E9134C">
      <w:pPr>
        <w:pStyle w:val="TOC5"/>
        <w:tabs>
          <w:tab w:val="right" w:leader="dot" w:pos="9350"/>
        </w:tabs>
        <w:rPr>
          <w:rFonts w:ascii="Arial" w:hAnsi="Arial" w:cs="Arial"/>
          <w:noProof/>
          <w:sz w:val="20"/>
          <w:szCs w:val="20"/>
        </w:rPr>
      </w:pPr>
      <w:hyperlink w:anchor="_Toc447195071"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_Toc447195071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130</w:t>
        </w:r>
        <w:r w:rsidR="002A499B" w:rsidRPr="00C8183B">
          <w:rPr>
            <w:rFonts w:ascii="Arial" w:hAnsi="Arial" w:cs="Arial"/>
            <w:noProof/>
            <w:webHidden/>
            <w:sz w:val="20"/>
            <w:szCs w:val="20"/>
          </w:rPr>
          <w:fldChar w:fldCharType="end"/>
        </w:r>
      </w:hyperlink>
    </w:p>
    <w:p w14:paraId="27C2A939" w14:textId="77777777" w:rsidR="002A499B" w:rsidRPr="00C8183B" w:rsidRDefault="00E9134C">
      <w:pPr>
        <w:pStyle w:val="TOC5"/>
        <w:tabs>
          <w:tab w:val="right" w:leader="dot" w:pos="9350"/>
        </w:tabs>
        <w:rPr>
          <w:rFonts w:ascii="Arial" w:hAnsi="Arial" w:cs="Arial"/>
          <w:noProof/>
          <w:sz w:val="20"/>
          <w:szCs w:val="20"/>
        </w:rPr>
      </w:pPr>
      <w:hyperlink w:anchor="_Toc447195072"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_Toc447195072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130</w:t>
        </w:r>
        <w:r w:rsidR="002A499B" w:rsidRPr="00C8183B">
          <w:rPr>
            <w:rFonts w:ascii="Arial" w:hAnsi="Arial" w:cs="Arial"/>
            <w:noProof/>
            <w:webHidden/>
            <w:sz w:val="20"/>
            <w:szCs w:val="20"/>
          </w:rPr>
          <w:fldChar w:fldCharType="end"/>
        </w:r>
      </w:hyperlink>
    </w:p>
    <w:p w14:paraId="71E2A9D9" w14:textId="77777777" w:rsidR="002A499B" w:rsidRPr="00C8183B" w:rsidRDefault="00E9134C">
      <w:pPr>
        <w:pStyle w:val="TOC4"/>
        <w:tabs>
          <w:tab w:val="right" w:leader="dot" w:pos="9350"/>
        </w:tabs>
        <w:rPr>
          <w:rFonts w:eastAsiaTheme="minorEastAsia" w:cs="Arial"/>
          <w:noProof/>
        </w:rPr>
      </w:pPr>
      <w:hyperlink w:anchor="_Toc447195073" w:history="1">
        <w:r w:rsidR="002A499B" w:rsidRPr="00C8183B">
          <w:rPr>
            <w:rStyle w:val="Hyperlink"/>
            <w:rFonts w:cs="Arial"/>
            <w:noProof/>
          </w:rPr>
          <w:t>Never Events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_Toc447195073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131</w:t>
        </w:r>
        <w:r w:rsidR="002A499B" w:rsidRPr="00C8183B">
          <w:rPr>
            <w:rFonts w:cs="Arial"/>
            <w:noProof/>
            <w:webHidden/>
          </w:rPr>
          <w:fldChar w:fldCharType="end"/>
        </w:r>
      </w:hyperlink>
    </w:p>
    <w:p w14:paraId="1F9AE83D" w14:textId="77777777" w:rsidR="002A499B" w:rsidRPr="00C8183B" w:rsidRDefault="00E9134C">
      <w:pPr>
        <w:pStyle w:val="TOC4"/>
        <w:tabs>
          <w:tab w:val="right" w:leader="dot" w:pos="9350"/>
        </w:tabs>
        <w:rPr>
          <w:rFonts w:eastAsiaTheme="minorEastAsia" w:cs="Arial"/>
          <w:noProof/>
        </w:rPr>
      </w:pPr>
      <w:hyperlink w:anchor="_Toc447195074" w:history="1">
        <w:r w:rsidR="002A499B" w:rsidRPr="00C8183B">
          <w:rPr>
            <w:rStyle w:val="Hyperlink"/>
            <w:rFonts w:cs="Arial"/>
            <w:noProof/>
          </w:rPr>
          <w:t>CLABSI and CAUTI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133</w:t>
        </w:r>
        <w:r w:rsidR="002A499B" w:rsidRPr="00C8183B">
          <w:rPr>
            <w:rFonts w:cs="Arial"/>
            <w:noProof/>
            <w:webHidden/>
          </w:rPr>
          <w:fldChar w:fldCharType="end"/>
        </w:r>
      </w:hyperlink>
    </w:p>
    <w:p w14:paraId="14CC3020" w14:textId="77777777" w:rsidR="002A499B" w:rsidRPr="00C8183B" w:rsidRDefault="00E9134C">
      <w:pPr>
        <w:pStyle w:val="TOC4"/>
        <w:tabs>
          <w:tab w:val="right" w:leader="dot" w:pos="9350"/>
        </w:tabs>
        <w:rPr>
          <w:rFonts w:eastAsiaTheme="minorEastAsia" w:cs="Arial"/>
          <w:noProof/>
        </w:rPr>
      </w:pPr>
      <w:hyperlink w:anchor="_Toc447195075" w:history="1">
        <w:r w:rsidR="002A499B" w:rsidRPr="00C8183B">
          <w:rPr>
            <w:rStyle w:val="Hyperlink"/>
            <w:rFonts w:cs="Arial"/>
            <w:noProof/>
          </w:rPr>
          <w:t>Other Healthcare-Associated Infections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135</w:t>
        </w:r>
        <w:r w:rsidR="002A499B" w:rsidRPr="00C8183B">
          <w:rPr>
            <w:rFonts w:cs="Arial"/>
            <w:noProof/>
            <w:webHidden/>
          </w:rPr>
          <w:fldChar w:fldCharType="end"/>
        </w:r>
      </w:hyperlink>
    </w:p>
    <w:p w14:paraId="785EE56F" w14:textId="77777777" w:rsidR="002A499B" w:rsidRPr="00C8183B" w:rsidRDefault="00E9134C">
      <w:pPr>
        <w:pStyle w:val="TOC4"/>
        <w:tabs>
          <w:tab w:val="right" w:leader="dot" w:pos="9350"/>
        </w:tabs>
        <w:rPr>
          <w:rFonts w:eastAsiaTheme="minorEastAsia" w:cs="Arial"/>
          <w:noProof/>
        </w:rPr>
      </w:pPr>
      <w:hyperlink w:anchor="_Toc447195076" w:history="1">
        <w:r w:rsidR="002A499B" w:rsidRPr="00C8183B">
          <w:rPr>
            <w:rStyle w:val="Hyperlink"/>
            <w:rFonts w:cs="Arial"/>
            <w:noProof/>
          </w:rPr>
          <w:t>Hospital-Acquired Pressure Ulcers and Injuries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_Toc447195076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138</w:t>
        </w:r>
        <w:r w:rsidR="002A499B" w:rsidRPr="00C8183B">
          <w:rPr>
            <w:rFonts w:cs="Arial"/>
            <w:noProof/>
            <w:webHidden/>
          </w:rPr>
          <w:fldChar w:fldCharType="end"/>
        </w:r>
      </w:hyperlink>
    </w:p>
    <w:p w14:paraId="6B94BACC" w14:textId="77777777" w:rsidR="002A499B" w:rsidRPr="00C8183B" w:rsidRDefault="00E9134C">
      <w:pPr>
        <w:pStyle w:val="TOC4"/>
        <w:tabs>
          <w:tab w:val="right" w:leader="dot" w:pos="9350"/>
        </w:tabs>
        <w:rPr>
          <w:rFonts w:eastAsiaTheme="minorEastAsia" w:cs="Arial"/>
          <w:noProof/>
        </w:rPr>
      </w:pPr>
      <w:hyperlink w:anchor="_Toc447195077" w:history="1">
        <w:r w:rsidR="002A499B" w:rsidRPr="00C8183B">
          <w:rPr>
            <w:rStyle w:val="Hyperlink"/>
            <w:rFonts w:cs="Arial"/>
            <w:noProof/>
            <w:snapToGrid w:val="0"/>
          </w:rPr>
          <w:t>Antibiotic Stewardship Practices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140</w:t>
        </w:r>
        <w:r w:rsidR="002A499B" w:rsidRPr="00C8183B">
          <w:rPr>
            <w:rFonts w:cs="Arial"/>
            <w:noProof/>
            <w:webHidden/>
          </w:rPr>
          <w:fldChar w:fldCharType="end"/>
        </w:r>
      </w:hyperlink>
    </w:p>
    <w:p w14:paraId="43CF1E78" w14:textId="77777777" w:rsidR="002A499B" w:rsidRPr="00C8183B" w:rsidRDefault="00E9134C">
      <w:pPr>
        <w:pStyle w:val="TOC1"/>
        <w:rPr>
          <w:rFonts w:eastAsiaTheme="minorEastAsia" w:cs="Arial"/>
          <w:noProof/>
        </w:rPr>
      </w:pPr>
      <w:hyperlink w:anchor="_Toc447195078"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141</w:t>
        </w:r>
        <w:r w:rsidR="002A499B" w:rsidRPr="00C8183B">
          <w:rPr>
            <w:rFonts w:cs="Arial"/>
            <w:noProof/>
            <w:webHidden/>
          </w:rPr>
          <w:fldChar w:fldCharType="end"/>
        </w:r>
      </w:hyperlink>
    </w:p>
    <w:p w14:paraId="7BD0ACE5" w14:textId="77777777" w:rsidR="002A499B" w:rsidRPr="00C8183B" w:rsidRDefault="00E9134C">
      <w:pPr>
        <w:pStyle w:val="TOC1"/>
        <w:rPr>
          <w:rFonts w:eastAsiaTheme="minorEastAsia" w:cs="Arial"/>
          <w:noProof/>
        </w:rPr>
      </w:pPr>
      <w:hyperlink w:anchor="_Toc447195079" w:history="1">
        <w:r w:rsidR="002A499B" w:rsidRPr="00C8183B">
          <w:rPr>
            <w:rStyle w:val="Hyperlink"/>
            <w:rFonts w:cs="Arial"/>
            <w:noProof/>
          </w:rPr>
          <w:t>SECTION 8: BAR CODE MEDICATION ADMINISTRATION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142</w:t>
        </w:r>
        <w:r w:rsidR="002A499B" w:rsidRPr="00C8183B">
          <w:rPr>
            <w:rFonts w:cs="Arial"/>
            <w:noProof/>
            <w:webHidden/>
          </w:rPr>
          <w:fldChar w:fldCharType="end"/>
        </w:r>
      </w:hyperlink>
    </w:p>
    <w:p w14:paraId="0F85BC17" w14:textId="77777777" w:rsidR="002A499B" w:rsidRPr="00C8183B" w:rsidRDefault="00E9134C">
      <w:pPr>
        <w:pStyle w:val="TOC2"/>
        <w:tabs>
          <w:tab w:val="right" w:leader="dot" w:pos="9350"/>
        </w:tabs>
        <w:rPr>
          <w:rFonts w:eastAsiaTheme="minorEastAsia" w:cs="Arial"/>
          <w:noProof/>
        </w:rPr>
      </w:pPr>
      <w:hyperlink w:anchor="_Toc447195080" w:history="1">
        <w:r w:rsidR="002A499B" w:rsidRPr="00C8183B">
          <w:rPr>
            <w:rStyle w:val="Hyperlink"/>
            <w:rFonts w:cs="Arial"/>
            <w:noProof/>
            <w:snapToGrid w:val="0"/>
          </w:rPr>
          <w:t>Section 8:  2016 Bar Code Medication Administration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143</w:t>
        </w:r>
        <w:r w:rsidR="002A499B" w:rsidRPr="00C8183B">
          <w:rPr>
            <w:rFonts w:cs="Arial"/>
            <w:noProof/>
            <w:webHidden/>
          </w:rPr>
          <w:fldChar w:fldCharType="end"/>
        </w:r>
      </w:hyperlink>
    </w:p>
    <w:p w14:paraId="188D6B3E" w14:textId="77777777" w:rsidR="002A499B" w:rsidRPr="00C8183B" w:rsidRDefault="00E9134C">
      <w:pPr>
        <w:pStyle w:val="TOC2"/>
        <w:tabs>
          <w:tab w:val="right" w:leader="dot" w:pos="9350"/>
        </w:tabs>
        <w:rPr>
          <w:rFonts w:eastAsiaTheme="minorEastAsia" w:cs="Arial"/>
          <w:noProof/>
        </w:rPr>
      </w:pPr>
      <w:hyperlink w:anchor="_Toc447195081" w:history="1">
        <w:r w:rsidR="002A499B" w:rsidRPr="00C8183B">
          <w:rPr>
            <w:rStyle w:val="Hyperlink"/>
            <w:rFonts w:cs="Arial"/>
            <w:noProof/>
            <w:snapToGrid w:val="0"/>
          </w:rPr>
          <w:t>Section 8:  2016 Bar Code Medication Administration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_Toc447195081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147</w:t>
        </w:r>
        <w:r w:rsidR="002A499B" w:rsidRPr="00C8183B">
          <w:rPr>
            <w:rFonts w:cs="Arial"/>
            <w:noProof/>
            <w:webHidden/>
          </w:rPr>
          <w:fldChar w:fldCharType="end"/>
        </w:r>
      </w:hyperlink>
    </w:p>
    <w:p w14:paraId="0457D56F" w14:textId="77777777" w:rsidR="002A499B" w:rsidRPr="00C8183B" w:rsidRDefault="00E9134C">
      <w:pPr>
        <w:pStyle w:val="TOC5"/>
        <w:tabs>
          <w:tab w:val="right" w:leader="dot" w:pos="9350"/>
        </w:tabs>
        <w:rPr>
          <w:rFonts w:ascii="Arial" w:hAnsi="Arial" w:cs="Arial"/>
          <w:noProof/>
          <w:sz w:val="20"/>
          <w:szCs w:val="20"/>
        </w:rPr>
      </w:pPr>
      <w:hyperlink w:anchor="_Toc447195082"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_Toc447195082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147</w:t>
        </w:r>
        <w:r w:rsidR="002A499B" w:rsidRPr="00C8183B">
          <w:rPr>
            <w:rFonts w:ascii="Arial" w:hAnsi="Arial" w:cs="Arial"/>
            <w:noProof/>
            <w:webHidden/>
            <w:sz w:val="20"/>
            <w:szCs w:val="20"/>
          </w:rPr>
          <w:fldChar w:fldCharType="end"/>
        </w:r>
      </w:hyperlink>
    </w:p>
    <w:p w14:paraId="38A3C7BC" w14:textId="77777777" w:rsidR="002A499B" w:rsidRPr="00C8183B" w:rsidRDefault="00E9134C">
      <w:pPr>
        <w:pStyle w:val="TOC5"/>
        <w:tabs>
          <w:tab w:val="right" w:leader="dot" w:pos="9350"/>
        </w:tabs>
        <w:rPr>
          <w:rFonts w:ascii="Arial" w:hAnsi="Arial" w:cs="Arial"/>
          <w:noProof/>
          <w:sz w:val="20"/>
          <w:szCs w:val="20"/>
        </w:rPr>
      </w:pPr>
      <w:hyperlink w:anchor="_Toc447195083"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_Toc447195083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147</w:t>
        </w:r>
        <w:r w:rsidR="002A499B" w:rsidRPr="00C8183B">
          <w:rPr>
            <w:rFonts w:ascii="Arial" w:hAnsi="Arial" w:cs="Arial"/>
            <w:noProof/>
            <w:webHidden/>
            <w:sz w:val="20"/>
            <w:szCs w:val="20"/>
          </w:rPr>
          <w:fldChar w:fldCharType="end"/>
        </w:r>
      </w:hyperlink>
    </w:p>
    <w:p w14:paraId="7E324AEA" w14:textId="77777777" w:rsidR="002A499B" w:rsidRPr="00C8183B" w:rsidRDefault="00E9134C">
      <w:pPr>
        <w:pStyle w:val="TOC4"/>
        <w:tabs>
          <w:tab w:val="right" w:leader="dot" w:pos="9350"/>
        </w:tabs>
        <w:rPr>
          <w:rFonts w:eastAsiaTheme="minorEastAsia" w:cs="Arial"/>
          <w:noProof/>
        </w:rPr>
      </w:pPr>
      <w:hyperlink w:anchor="_Toc447195084" w:history="1">
        <w:r w:rsidR="002A499B" w:rsidRPr="00C8183B">
          <w:rPr>
            <w:rStyle w:val="Hyperlink"/>
            <w:rFonts w:cs="Arial"/>
            <w:noProof/>
          </w:rPr>
          <w:t>BCMA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_Toc447195084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148</w:t>
        </w:r>
        <w:r w:rsidR="002A499B" w:rsidRPr="00C8183B">
          <w:rPr>
            <w:rFonts w:cs="Arial"/>
            <w:noProof/>
            <w:webHidden/>
          </w:rPr>
          <w:fldChar w:fldCharType="end"/>
        </w:r>
      </w:hyperlink>
    </w:p>
    <w:p w14:paraId="6A70E81E" w14:textId="77777777" w:rsidR="002A499B" w:rsidRPr="00C8183B" w:rsidRDefault="00E9134C">
      <w:pPr>
        <w:pStyle w:val="TOC1"/>
        <w:rPr>
          <w:rFonts w:eastAsiaTheme="minorEastAsia" w:cs="Arial"/>
          <w:noProof/>
        </w:rPr>
      </w:pPr>
      <w:hyperlink w:anchor="_Toc447195085"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150</w:t>
        </w:r>
        <w:r w:rsidR="002A499B" w:rsidRPr="00C8183B">
          <w:rPr>
            <w:rFonts w:cs="Arial"/>
            <w:noProof/>
            <w:webHidden/>
          </w:rPr>
          <w:fldChar w:fldCharType="end"/>
        </w:r>
      </w:hyperlink>
    </w:p>
    <w:p w14:paraId="0885C382" w14:textId="77777777" w:rsidR="002A499B" w:rsidRPr="00C8183B" w:rsidRDefault="00E9134C">
      <w:pPr>
        <w:pStyle w:val="TOC1"/>
        <w:rPr>
          <w:rFonts w:eastAsiaTheme="minorEastAsia" w:cs="Arial"/>
          <w:noProof/>
        </w:rPr>
      </w:pPr>
      <w:hyperlink w:anchor="_Toc447195086" w:history="1">
        <w:r w:rsidR="002A499B" w:rsidRPr="00C8183B">
          <w:rPr>
            <w:rStyle w:val="Hyperlink"/>
            <w:rFonts w:cs="Arial"/>
            <w:noProof/>
          </w:rPr>
          <w:t>SECTION 9: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_Toc447195086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151</w:t>
        </w:r>
        <w:r w:rsidR="002A499B" w:rsidRPr="00C8183B">
          <w:rPr>
            <w:rFonts w:cs="Arial"/>
            <w:noProof/>
            <w:webHidden/>
          </w:rPr>
          <w:fldChar w:fldCharType="end"/>
        </w:r>
      </w:hyperlink>
    </w:p>
    <w:p w14:paraId="0EAA0854" w14:textId="77777777" w:rsidR="002A499B" w:rsidRPr="00C8183B" w:rsidRDefault="00E9134C">
      <w:pPr>
        <w:pStyle w:val="TOC2"/>
        <w:tabs>
          <w:tab w:val="right" w:leader="dot" w:pos="9350"/>
        </w:tabs>
        <w:rPr>
          <w:rFonts w:eastAsiaTheme="minorEastAsia" w:cs="Arial"/>
          <w:noProof/>
        </w:rPr>
      </w:pPr>
      <w:hyperlink w:anchor="_Toc447195087" w:history="1">
        <w:r w:rsidR="002A499B" w:rsidRPr="00C8183B">
          <w:rPr>
            <w:rStyle w:val="Hyperlink"/>
            <w:rFonts w:cs="Arial"/>
            <w:noProof/>
            <w:snapToGrid w:val="0"/>
          </w:rPr>
          <w:t>Section 9: 2016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_Toc447195087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152</w:t>
        </w:r>
        <w:r w:rsidR="002A499B" w:rsidRPr="00C8183B">
          <w:rPr>
            <w:rFonts w:cs="Arial"/>
            <w:noProof/>
            <w:webHidden/>
          </w:rPr>
          <w:fldChar w:fldCharType="end"/>
        </w:r>
      </w:hyperlink>
    </w:p>
    <w:p w14:paraId="2C0E378A" w14:textId="77777777" w:rsidR="002A499B" w:rsidRPr="00C8183B" w:rsidRDefault="00E9134C">
      <w:pPr>
        <w:pStyle w:val="TOC4"/>
        <w:tabs>
          <w:tab w:val="right" w:leader="dot" w:pos="9350"/>
        </w:tabs>
        <w:rPr>
          <w:rFonts w:eastAsiaTheme="minorEastAsia" w:cs="Arial"/>
          <w:noProof/>
        </w:rPr>
      </w:pPr>
      <w:hyperlink w:anchor="_Toc447195088" w:history="1">
        <w:r w:rsidR="002A499B" w:rsidRPr="00C8183B">
          <w:rPr>
            <w:rStyle w:val="Hyperlink"/>
            <w:rFonts w:cs="Arial"/>
            <w:noProof/>
          </w:rPr>
          <w:t>9A CMS Participation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_Toc447195088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153</w:t>
        </w:r>
        <w:r w:rsidR="002A499B" w:rsidRPr="00C8183B">
          <w:rPr>
            <w:rFonts w:cs="Arial"/>
            <w:noProof/>
            <w:webHidden/>
          </w:rPr>
          <w:fldChar w:fldCharType="end"/>
        </w:r>
      </w:hyperlink>
    </w:p>
    <w:p w14:paraId="38756560" w14:textId="77777777" w:rsidR="002A499B" w:rsidRPr="00C8183B" w:rsidRDefault="00E9134C">
      <w:pPr>
        <w:pStyle w:val="TOC4"/>
        <w:tabs>
          <w:tab w:val="right" w:leader="dot" w:pos="9350"/>
        </w:tabs>
        <w:rPr>
          <w:rFonts w:eastAsiaTheme="minorEastAsia" w:cs="Arial"/>
          <w:noProof/>
        </w:rPr>
      </w:pPr>
      <w:hyperlink w:anchor="_Toc447195089" w:history="1">
        <w:r w:rsidR="002A499B" w:rsidRPr="00C8183B">
          <w:rPr>
            <w:rStyle w:val="Hyperlink"/>
            <w:rFonts w:cs="Arial"/>
            <w:noProof/>
          </w:rPr>
          <w:t>9B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_Toc447195089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154</w:t>
        </w:r>
        <w:r w:rsidR="002A499B" w:rsidRPr="00C8183B">
          <w:rPr>
            <w:rFonts w:cs="Arial"/>
            <w:noProof/>
            <w:webHidden/>
          </w:rPr>
          <w:fldChar w:fldCharType="end"/>
        </w:r>
      </w:hyperlink>
    </w:p>
    <w:p w14:paraId="0ABEEF37" w14:textId="77777777" w:rsidR="002A499B" w:rsidRPr="00C8183B" w:rsidRDefault="00E9134C">
      <w:pPr>
        <w:pStyle w:val="TOC2"/>
        <w:tabs>
          <w:tab w:val="right" w:leader="dot" w:pos="9350"/>
        </w:tabs>
        <w:rPr>
          <w:rFonts w:eastAsiaTheme="minorEastAsia" w:cs="Arial"/>
          <w:noProof/>
        </w:rPr>
      </w:pPr>
      <w:hyperlink w:anchor="_Toc447195090" w:history="1">
        <w:r w:rsidR="002A499B" w:rsidRPr="00C8183B">
          <w:rPr>
            <w:rStyle w:val="Hyperlink"/>
            <w:rFonts w:cs="Arial"/>
            <w:noProof/>
          </w:rPr>
          <w:t>Section 9: 2016 Resource Use for Common Acute Conditions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_Toc447195090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157</w:t>
        </w:r>
        <w:r w:rsidR="002A499B" w:rsidRPr="00C8183B">
          <w:rPr>
            <w:rFonts w:cs="Arial"/>
            <w:noProof/>
            <w:webHidden/>
          </w:rPr>
          <w:fldChar w:fldCharType="end"/>
        </w:r>
      </w:hyperlink>
    </w:p>
    <w:p w14:paraId="59EBD491" w14:textId="77777777" w:rsidR="002A499B" w:rsidRPr="00C8183B" w:rsidRDefault="00E9134C">
      <w:pPr>
        <w:pStyle w:val="TOC5"/>
        <w:tabs>
          <w:tab w:val="right" w:leader="dot" w:pos="9350"/>
        </w:tabs>
        <w:rPr>
          <w:rFonts w:ascii="Arial" w:hAnsi="Arial" w:cs="Arial"/>
          <w:noProof/>
          <w:sz w:val="20"/>
          <w:szCs w:val="20"/>
        </w:rPr>
      </w:pPr>
      <w:hyperlink w:anchor="_Toc447195091"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_Toc447195091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157</w:t>
        </w:r>
        <w:r w:rsidR="002A499B" w:rsidRPr="00C8183B">
          <w:rPr>
            <w:rFonts w:ascii="Arial" w:hAnsi="Arial" w:cs="Arial"/>
            <w:noProof/>
            <w:webHidden/>
            <w:sz w:val="20"/>
            <w:szCs w:val="20"/>
          </w:rPr>
          <w:fldChar w:fldCharType="end"/>
        </w:r>
      </w:hyperlink>
    </w:p>
    <w:p w14:paraId="4746925F" w14:textId="77777777" w:rsidR="002A499B" w:rsidRPr="00C8183B" w:rsidRDefault="00E9134C">
      <w:pPr>
        <w:pStyle w:val="TOC5"/>
        <w:tabs>
          <w:tab w:val="right" w:leader="dot" w:pos="9350"/>
        </w:tabs>
        <w:rPr>
          <w:rFonts w:ascii="Arial" w:hAnsi="Arial" w:cs="Arial"/>
          <w:noProof/>
          <w:sz w:val="20"/>
          <w:szCs w:val="20"/>
        </w:rPr>
      </w:pPr>
      <w:hyperlink w:anchor="_Toc447195092"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_Toc447195092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7A2200">
          <w:rPr>
            <w:rFonts w:ascii="Arial" w:hAnsi="Arial" w:cs="Arial"/>
            <w:noProof/>
            <w:webHidden/>
            <w:sz w:val="20"/>
            <w:szCs w:val="20"/>
          </w:rPr>
          <w:t>157</w:t>
        </w:r>
        <w:r w:rsidR="002A499B" w:rsidRPr="00C8183B">
          <w:rPr>
            <w:rFonts w:ascii="Arial" w:hAnsi="Arial" w:cs="Arial"/>
            <w:noProof/>
            <w:webHidden/>
            <w:sz w:val="20"/>
            <w:szCs w:val="20"/>
          </w:rPr>
          <w:fldChar w:fldCharType="end"/>
        </w:r>
      </w:hyperlink>
    </w:p>
    <w:p w14:paraId="796A1C3A" w14:textId="77777777" w:rsidR="002A499B" w:rsidRPr="00C8183B" w:rsidRDefault="00E9134C">
      <w:pPr>
        <w:pStyle w:val="TOC4"/>
        <w:tabs>
          <w:tab w:val="right" w:leader="dot" w:pos="9350"/>
        </w:tabs>
        <w:rPr>
          <w:rFonts w:eastAsiaTheme="minorEastAsia" w:cs="Arial"/>
          <w:noProof/>
        </w:rPr>
      </w:pPr>
      <w:hyperlink w:anchor="_Toc447195093" w:history="1">
        <w:r w:rsidR="002A499B" w:rsidRPr="00C8183B">
          <w:rPr>
            <w:rStyle w:val="Hyperlink"/>
            <w:rFonts w:cs="Arial"/>
            <w:noProof/>
          </w:rPr>
          <w:t>Readmissions Measures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_Toc447195093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158</w:t>
        </w:r>
        <w:r w:rsidR="002A499B" w:rsidRPr="00C8183B">
          <w:rPr>
            <w:rFonts w:cs="Arial"/>
            <w:noProof/>
            <w:webHidden/>
          </w:rPr>
          <w:fldChar w:fldCharType="end"/>
        </w:r>
      </w:hyperlink>
    </w:p>
    <w:p w14:paraId="380FA5A1" w14:textId="77777777" w:rsidR="002A499B" w:rsidRPr="00C8183B" w:rsidRDefault="00E9134C">
      <w:pPr>
        <w:pStyle w:val="TOC1"/>
        <w:rPr>
          <w:rFonts w:eastAsiaTheme="minorEastAsia" w:cs="Arial"/>
          <w:noProof/>
        </w:rPr>
      </w:pPr>
      <w:hyperlink w:anchor="_Toc447195095" w:history="1">
        <w:r w:rsidR="002A499B" w:rsidRPr="00C8183B">
          <w:rPr>
            <w:rStyle w:val="Hyperlink"/>
            <w:rFonts w:cs="Arial"/>
            <w:noProof/>
          </w:rPr>
          <w:t>Endnotes and “More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_Toc447195095 \h </w:instrText>
        </w:r>
        <w:r w:rsidR="002A499B" w:rsidRPr="00C8183B">
          <w:rPr>
            <w:rFonts w:cs="Arial"/>
            <w:noProof/>
            <w:webHidden/>
          </w:rPr>
        </w:r>
        <w:r w:rsidR="002A499B" w:rsidRPr="00C8183B">
          <w:rPr>
            <w:rFonts w:cs="Arial"/>
            <w:noProof/>
            <w:webHidden/>
          </w:rPr>
          <w:fldChar w:fldCharType="separate"/>
        </w:r>
        <w:r w:rsidR="007A2200">
          <w:rPr>
            <w:rFonts w:cs="Arial"/>
            <w:noProof/>
            <w:webHidden/>
          </w:rPr>
          <w:t>160</w:t>
        </w:r>
        <w:r w:rsidR="002A499B" w:rsidRPr="00C8183B">
          <w:rPr>
            <w:rFonts w:cs="Arial"/>
            <w:noProof/>
            <w:webHidden/>
          </w:rPr>
          <w:fldChar w:fldCharType="end"/>
        </w:r>
      </w:hyperlink>
    </w:p>
    <w:p w14:paraId="2DDCAFC6" w14:textId="77777777" w:rsidR="001B07B8" w:rsidRPr="00C8183B" w:rsidRDefault="004656A6">
      <w:pPr>
        <w:rPr>
          <w:rFonts w:cs="Arial"/>
          <w:b/>
          <w:i/>
        </w:rPr>
      </w:pPr>
      <w:r w:rsidRPr="00C8183B">
        <w:rPr>
          <w:rFonts w:cs="Arial"/>
          <w:b/>
          <w:i/>
        </w:rPr>
        <w:fldChar w:fldCharType="end"/>
      </w:r>
      <w:r w:rsidR="001B07B8" w:rsidRPr="00C8183B">
        <w:rPr>
          <w:rFonts w:cs="Arial"/>
          <w:b/>
          <w:i/>
        </w:rPr>
        <w:br w:type="page"/>
      </w:r>
    </w:p>
    <w:p w14:paraId="06500165" w14:textId="77777777" w:rsidR="008733FC" w:rsidRPr="00C8183B" w:rsidRDefault="008733FC" w:rsidP="00FE54C0">
      <w:pPr>
        <w:pStyle w:val="SectionHeader"/>
        <w:rPr>
          <w:rFonts w:cs="Arial"/>
          <w:sz w:val="20"/>
          <w:szCs w:val="20"/>
        </w:rPr>
        <w:sectPr w:rsidR="008733FC" w:rsidRPr="00C8183B" w:rsidSect="006E50EF">
          <w:headerReference w:type="default" r:id="rId10"/>
          <w:footerReference w:type="default" r:id="rId11"/>
          <w:endnotePr>
            <w:numFmt w:val="decimal"/>
          </w:endnotePr>
          <w:pgSz w:w="12240" w:h="15840"/>
          <w:pgMar w:top="1080" w:right="1440" w:bottom="1080" w:left="1440" w:header="720" w:footer="720" w:gutter="0"/>
          <w:cols w:space="720"/>
          <w:titlePg/>
          <w:docGrid w:linePitch="272"/>
        </w:sectPr>
      </w:pPr>
    </w:p>
    <w:p w14:paraId="46523796" w14:textId="77777777" w:rsidR="006B5931" w:rsidRDefault="006B5931" w:rsidP="00FE54C0">
      <w:pPr>
        <w:pStyle w:val="SectionHeader"/>
      </w:pPr>
      <w:bookmarkStart w:id="2" w:name="_Toc447194947"/>
      <w:r>
        <w:lastRenderedPageBreak/>
        <w:t>Welcome to t</w:t>
      </w:r>
      <w:r w:rsidRPr="0031623E">
        <w:t xml:space="preserve">he </w:t>
      </w:r>
      <w:r w:rsidR="004F68CC">
        <w:t>2016</w:t>
      </w:r>
      <w:r w:rsidRPr="0031623E">
        <w:t xml:space="preserve"> Leapfrog Hospital Survey</w:t>
      </w:r>
      <w:bookmarkEnd w:id="2"/>
    </w:p>
    <w:p w14:paraId="5B2B62A9" w14:textId="77777777" w:rsidR="006B5931" w:rsidRPr="005C3E54" w:rsidRDefault="00E9134C" w:rsidP="006B5931">
      <w:pPr>
        <w:jc w:val="center"/>
        <w:rPr>
          <w:b/>
        </w:rPr>
      </w:pPr>
      <w:hyperlink r:id="rId12" w:history="1">
        <w:r w:rsidR="00257F86" w:rsidRPr="00EE24D9">
          <w:rPr>
            <w:rStyle w:val="Hyperlink"/>
            <w:b/>
          </w:rPr>
          <w:t>http://leapfroggroup.org/survey</w:t>
        </w:r>
      </w:hyperlink>
      <w:r w:rsidR="00257F86">
        <w:rPr>
          <w:b/>
        </w:rPr>
        <w:t xml:space="preserve"> </w:t>
      </w:r>
    </w:p>
    <w:p w14:paraId="2A74E030" w14:textId="77777777" w:rsidR="006B5931" w:rsidRDefault="006B5931" w:rsidP="006B5931"/>
    <w:p w14:paraId="60C94F67" w14:textId="77777777" w:rsidR="006B5931" w:rsidRDefault="006B5931" w:rsidP="006B5931"/>
    <w:p w14:paraId="25F80493" w14:textId="77777777" w:rsidR="006B5931" w:rsidRPr="00B71B5D" w:rsidRDefault="006B5931" w:rsidP="002A499B">
      <w:pPr>
        <w:pStyle w:val="Heading2"/>
      </w:pPr>
      <w:r>
        <w:br/>
      </w:r>
      <w:bookmarkStart w:id="3" w:name="_Toc447194948"/>
      <w:r w:rsidRPr="00B71B5D">
        <w:t xml:space="preserve">Important Notes about the </w:t>
      </w:r>
      <w:r w:rsidR="004F68CC">
        <w:t>2016 Survey</w:t>
      </w:r>
      <w:bookmarkEnd w:id="3"/>
    </w:p>
    <w:p w14:paraId="36D4534B" w14:textId="77777777" w:rsidR="006B5931" w:rsidRDefault="006B5931" w:rsidP="006B5931">
      <w:pPr>
        <w:rPr>
          <w:b/>
          <w:i/>
        </w:rPr>
      </w:pPr>
    </w:p>
    <w:p w14:paraId="0A8C4090" w14:textId="77777777" w:rsidR="006B5931" w:rsidRDefault="006B5931" w:rsidP="006B5931"/>
    <w:p w14:paraId="41957F66" w14:textId="77777777" w:rsidR="00257F86" w:rsidRDefault="00257F86" w:rsidP="00ED58C1">
      <w:pPr>
        <w:pStyle w:val="ListParagraph"/>
        <w:numPr>
          <w:ilvl w:val="0"/>
          <w:numId w:val="27"/>
        </w:numPr>
      </w:pPr>
      <w:r>
        <w:t xml:space="preserve">The Leapfrog Hospital Survey webpages have moved from </w:t>
      </w:r>
      <w:hyperlink r:id="rId13" w:history="1">
        <w:r w:rsidR="00BB6F9E" w:rsidRPr="000421AE">
          <w:rPr>
            <w:rStyle w:val="Hyperlink"/>
          </w:rPr>
          <w:t>https://leapfroghospitalsurvey.org</w:t>
        </w:r>
      </w:hyperlink>
      <w:r>
        <w:t xml:space="preserve"> to </w:t>
      </w:r>
      <w:hyperlink r:id="rId14" w:history="1">
        <w:r w:rsidRPr="00EE24D9">
          <w:rPr>
            <w:rStyle w:val="Hyperlink"/>
          </w:rPr>
          <w:t>https://leapfroggroup.org/survey</w:t>
        </w:r>
      </w:hyperlink>
      <w:r>
        <w:t xml:space="preserve">. Please bookmark this new URL. </w:t>
      </w:r>
    </w:p>
    <w:p w14:paraId="1F45308B" w14:textId="77777777" w:rsidR="00257F86" w:rsidRDefault="00257F86" w:rsidP="00257F86">
      <w:pPr>
        <w:pStyle w:val="ListParagraph"/>
        <w:ind w:left="360"/>
      </w:pPr>
    </w:p>
    <w:p w14:paraId="3C63F8B9" w14:textId="77777777" w:rsidR="0074030B" w:rsidRDefault="00A7507B" w:rsidP="00ED58C1">
      <w:pPr>
        <w:pStyle w:val="ListParagraph"/>
        <w:numPr>
          <w:ilvl w:val="0"/>
          <w:numId w:val="27"/>
        </w:numPr>
      </w:pPr>
      <w:r>
        <w:t xml:space="preserve">The </w:t>
      </w:r>
      <w:r w:rsidR="00257F86">
        <w:t xml:space="preserve">online </w:t>
      </w:r>
      <w:r>
        <w:t>survey platform</w:t>
      </w:r>
      <w:r w:rsidR="00257F86">
        <w:t xml:space="preserve"> has been updated and redesigned</w:t>
      </w:r>
      <w:r>
        <w:t xml:space="preserve"> </w:t>
      </w:r>
      <w:r w:rsidR="0074030B">
        <w:t xml:space="preserve">to improve the user experience. The new </w:t>
      </w:r>
      <w:r w:rsidR="00F4794D">
        <w:t>survey platform</w:t>
      </w:r>
      <w:r w:rsidR="002168A5">
        <w:t>,</w:t>
      </w:r>
      <w:r w:rsidR="00F4794D">
        <w:t xml:space="preserve"> which includes a redesigned </w:t>
      </w:r>
      <w:r w:rsidR="0074030B">
        <w:t xml:space="preserve">survey dashboard, </w:t>
      </w:r>
      <w:r w:rsidR="00F4794D">
        <w:t xml:space="preserve">redesigned </w:t>
      </w:r>
      <w:r w:rsidR="0074030B">
        <w:t>online survey tool, and</w:t>
      </w:r>
      <w:r w:rsidR="00F4794D">
        <w:t xml:space="preserve"> the link to the</w:t>
      </w:r>
      <w:r w:rsidR="0074030B">
        <w:t xml:space="preserve"> CPOE Evaluation Tool</w:t>
      </w:r>
      <w:r w:rsidR="002168A5">
        <w:t>,</w:t>
      </w:r>
      <w:r w:rsidR="0074030B">
        <w:t xml:space="preserve"> will not be available to hospitals until </w:t>
      </w:r>
      <w:r w:rsidR="0074030B" w:rsidRPr="0074030B">
        <w:rPr>
          <w:b/>
          <w:color w:val="FF0000"/>
        </w:rPr>
        <w:t>April 15, 2016</w:t>
      </w:r>
      <w:r w:rsidR="0074030B">
        <w:t>. Hospitals can download the hard copy of the survey on April 1</w:t>
      </w:r>
      <w:r w:rsidR="0074030B" w:rsidRPr="0074030B">
        <w:rPr>
          <w:vertAlign w:val="superscript"/>
        </w:rPr>
        <w:t>st</w:t>
      </w:r>
      <w:r w:rsidR="0074030B">
        <w:t xml:space="preserve"> </w:t>
      </w:r>
      <w:r w:rsidR="002168A5">
        <w:t xml:space="preserve">and use </w:t>
      </w:r>
      <w:r w:rsidR="004802A3">
        <w:t>it</w:t>
      </w:r>
      <w:r w:rsidR="00BB6F9E">
        <w:t xml:space="preserve"> </w:t>
      </w:r>
      <w:r w:rsidR="0074030B">
        <w:t>to gather data and information so they are ready to input survey responses on or after April 15</w:t>
      </w:r>
      <w:r w:rsidR="0074030B" w:rsidRPr="0074030B">
        <w:rPr>
          <w:vertAlign w:val="superscript"/>
        </w:rPr>
        <w:t>th</w:t>
      </w:r>
      <w:r w:rsidR="002168A5">
        <w:t>,</w:t>
      </w:r>
      <w:r w:rsidR="0074030B">
        <w:t xml:space="preserve"> when the new</w:t>
      </w:r>
      <w:r w:rsidR="004802A3">
        <w:t xml:space="preserve"> online</w:t>
      </w:r>
      <w:r w:rsidR="0074030B">
        <w:t xml:space="preserve"> survey platform is launched. </w:t>
      </w:r>
    </w:p>
    <w:p w14:paraId="62499BD5" w14:textId="77777777" w:rsidR="00BF7B1A" w:rsidRPr="00F4794D" w:rsidRDefault="00BF7B1A" w:rsidP="00257F86"/>
    <w:p w14:paraId="3CEC3749" w14:textId="7046FCB0" w:rsidR="00BF7B1A" w:rsidRPr="00F4794D" w:rsidRDefault="00BF7B1A" w:rsidP="008F75E0">
      <w:pPr>
        <w:pStyle w:val="ListParagraph"/>
        <w:numPr>
          <w:ilvl w:val="0"/>
          <w:numId w:val="27"/>
        </w:numPr>
        <w:rPr>
          <w:rStyle w:val="Hyperlink"/>
          <w:color w:val="auto"/>
          <w:u w:val="none"/>
        </w:rPr>
      </w:pPr>
      <w:r w:rsidRPr="00F4794D">
        <w:t xml:space="preserve">Note the word “hospital” used throughout this survey refers to an individual hospital. If your hospital is part of a multi-hospital healthcare system, you will need to complete the survey for each individual hospital within the system. Please refer to Leapfrog’s Multi-Campus Hospital Reporting Policy at </w:t>
      </w:r>
      <w:hyperlink r:id="rId15" w:history="1">
        <w:r w:rsidR="008F75E0" w:rsidRPr="00CF0CF0">
          <w:rPr>
            <w:rStyle w:val="Hyperlink"/>
          </w:rPr>
          <w:t>http://leapfroggroup.org/survey-materials/multi-campus-reporting-policy</w:t>
        </w:r>
      </w:hyperlink>
      <w:r w:rsidR="008F75E0">
        <w:t xml:space="preserve">. </w:t>
      </w:r>
    </w:p>
    <w:p w14:paraId="4D11BD7E" w14:textId="77777777" w:rsidR="005F2F6C" w:rsidRDefault="005F2F6C" w:rsidP="005F2F6C">
      <w:pPr>
        <w:pStyle w:val="ListParagraph"/>
      </w:pPr>
    </w:p>
    <w:p w14:paraId="3C9F59AC" w14:textId="77777777" w:rsidR="008E4FE8" w:rsidRPr="00590079" w:rsidRDefault="002C3019" w:rsidP="00ED58C1">
      <w:pPr>
        <w:pStyle w:val="ListParagraph"/>
        <w:numPr>
          <w:ilvl w:val="0"/>
          <w:numId w:val="27"/>
        </w:numPr>
      </w:pPr>
      <w:r>
        <w:t xml:space="preserve">Adult </w:t>
      </w:r>
      <w:r w:rsidR="00BD10D7">
        <w:t>h</w:t>
      </w:r>
      <w:r w:rsidR="005F2F6C">
        <w:t>ospitals that indicate they have a CPOE system in at least one inpatient unit are</w:t>
      </w:r>
      <w:r w:rsidR="00BD10D7">
        <w:t xml:space="preserve"> asked to </w:t>
      </w:r>
      <w:r w:rsidR="00BD10D7" w:rsidRPr="00A14147">
        <w:t>demonstrate</w:t>
      </w:r>
      <w:r w:rsidR="00EF6A70">
        <w:t>,</w:t>
      </w:r>
      <w:r w:rsidR="00BD10D7" w:rsidRPr="00A14147">
        <w:t xml:space="preserve"> via a test</w:t>
      </w:r>
      <w:r w:rsidR="005F2F6C" w:rsidRPr="00A14147">
        <w:t>, that the inpatient CPOE system can alert physicians to at least 50% of</w:t>
      </w:r>
      <w:r w:rsidR="005F2F6C">
        <w:t xml:space="preserve"> common serious prescribing errors in a majority of medication checking categories. Hospitals cannot access the CPOE Evaluation Tool until they have completed, affirmed, and submitted Section 2 CPOE of the online survey. More information about the CPOE Evaluation Tool</w:t>
      </w:r>
      <w:r w:rsidR="007B1741">
        <w:t>,</w:t>
      </w:r>
      <w:r w:rsidR="005F2F6C">
        <w:t xml:space="preserve"> including instructions, scoring, and FAQs are available</w:t>
      </w:r>
      <w:r w:rsidR="002168A5">
        <w:t xml:space="preserve"> at</w:t>
      </w:r>
      <w:r w:rsidR="005F2F6C">
        <w:t xml:space="preserve"> </w:t>
      </w:r>
      <w:hyperlink r:id="rId16" w:history="1">
        <w:r w:rsidR="00257F86" w:rsidRPr="00EE24D9">
          <w:rPr>
            <w:rStyle w:val="Hyperlink"/>
          </w:rPr>
          <w:t>http://leapfroggroup.org/survey-materials/survey-and-cpoe-materials</w:t>
        </w:r>
      </w:hyperlink>
      <w:r w:rsidR="00EC6FE5">
        <w:t xml:space="preserve">. </w:t>
      </w:r>
    </w:p>
    <w:p w14:paraId="483FFF97" w14:textId="77777777" w:rsidR="000E3CA7" w:rsidRPr="00590079" w:rsidRDefault="000E3CA7" w:rsidP="00BD10D7"/>
    <w:p w14:paraId="5A3D111B" w14:textId="77777777" w:rsidR="00937518" w:rsidRDefault="000E3CA7" w:rsidP="00ED58C1">
      <w:pPr>
        <w:pStyle w:val="ListParagraph"/>
        <w:numPr>
          <w:ilvl w:val="0"/>
          <w:numId w:val="27"/>
        </w:numPr>
      </w:pPr>
      <w:r w:rsidRPr="00590079">
        <w:t xml:space="preserve">Leapfrog Hospital Survey Results will be posted at </w:t>
      </w:r>
      <w:hyperlink r:id="rId17" w:history="1">
        <w:r w:rsidR="00257F86" w:rsidRPr="00EE24D9">
          <w:rPr>
            <w:rStyle w:val="Hyperlink"/>
          </w:rPr>
          <w:t>http://leapfroggroup.org/compare-hospitals</w:t>
        </w:r>
      </w:hyperlink>
      <w:r w:rsidR="000C3F52">
        <w:t xml:space="preserve"> </w:t>
      </w:r>
      <w:r w:rsidR="00A02841" w:rsidRPr="00590079">
        <w:t xml:space="preserve">on July 25, </w:t>
      </w:r>
      <w:r w:rsidR="004F68CC" w:rsidRPr="00590079">
        <w:t>2016</w:t>
      </w:r>
      <w:r w:rsidRPr="00590079">
        <w:t xml:space="preserve"> and then updated within the first 5 business days of each month to reflect survey</w:t>
      </w:r>
      <w:r w:rsidR="007C5559" w:rsidRPr="00590079">
        <w:t>s</w:t>
      </w:r>
      <w:r w:rsidRPr="00590079">
        <w:t xml:space="preserve"> submitted or re-submitted </w:t>
      </w:r>
      <w:r w:rsidR="007C5559" w:rsidRPr="00590079">
        <w:t xml:space="preserve">between </w:t>
      </w:r>
      <w:r w:rsidRPr="00590079">
        <w:t>June 30</w:t>
      </w:r>
      <w:r w:rsidRPr="00590079">
        <w:rPr>
          <w:vertAlign w:val="superscript"/>
        </w:rPr>
        <w:t>th</w:t>
      </w:r>
      <w:r w:rsidRPr="00590079">
        <w:t xml:space="preserve"> </w:t>
      </w:r>
      <w:r w:rsidR="007C5559" w:rsidRPr="00590079">
        <w:t xml:space="preserve">and </w:t>
      </w:r>
      <w:r w:rsidRPr="00590079">
        <w:t>December 31</w:t>
      </w:r>
      <w:r w:rsidRPr="00590079">
        <w:rPr>
          <w:vertAlign w:val="superscript"/>
        </w:rPr>
        <w:t>st</w:t>
      </w:r>
      <w:r w:rsidR="00A02841" w:rsidRPr="00590079">
        <w:t>, and previously submitted</w:t>
      </w:r>
      <w:r w:rsidR="00A02841">
        <w:t xml:space="preserve"> surveys that were corrected before January 31</w:t>
      </w:r>
      <w:r w:rsidR="00A02841" w:rsidRPr="00A02841">
        <w:rPr>
          <w:vertAlign w:val="superscript"/>
        </w:rPr>
        <w:t>st</w:t>
      </w:r>
      <w:r w:rsidR="00A02841">
        <w:t>. Survey Results are frozen from February to July 25</w:t>
      </w:r>
      <w:r w:rsidR="00A02841" w:rsidRPr="00A02841">
        <w:rPr>
          <w:vertAlign w:val="superscript"/>
        </w:rPr>
        <w:t>th</w:t>
      </w:r>
      <w:r w:rsidR="00A02841">
        <w:t>.</w:t>
      </w:r>
    </w:p>
    <w:p w14:paraId="73C61D0F" w14:textId="77777777" w:rsidR="00937518" w:rsidRDefault="00937518" w:rsidP="00937518">
      <w:pPr>
        <w:pStyle w:val="ListParagraph"/>
      </w:pPr>
    </w:p>
    <w:p w14:paraId="1255CA01" w14:textId="77777777" w:rsidR="007632E1" w:rsidRPr="001E2485" w:rsidRDefault="007632E1" w:rsidP="00ED58C1">
      <w:pPr>
        <w:pStyle w:val="ListParagraph"/>
        <w:numPr>
          <w:ilvl w:val="0"/>
          <w:numId w:val="27"/>
        </w:numPr>
      </w:pPr>
      <w:r>
        <w:t>All questions regarding the Leapfrog Hospital Survey should</w:t>
      </w:r>
      <w:r w:rsidR="00751044">
        <w:t xml:space="preserve"> be submitted to the Help Desk at </w:t>
      </w:r>
      <w:hyperlink r:id="rId18" w:history="1">
        <w:r w:rsidR="00751044" w:rsidRPr="00F74357">
          <w:rPr>
            <w:rStyle w:val="Hyperlink"/>
          </w:rPr>
          <w:t>https://leapfroghospitalsurvey.zendesk.com</w:t>
        </w:r>
      </w:hyperlink>
      <w:r w:rsidR="00751044">
        <w:t xml:space="preserve">. </w:t>
      </w:r>
      <w:r w:rsidR="00B82E87">
        <w:rPr>
          <w:snapToGrid w:val="0"/>
        </w:rPr>
        <w:t>Q</w:t>
      </w:r>
      <w:r w:rsidRPr="00937518">
        <w:rPr>
          <w:snapToGrid w:val="0"/>
        </w:rPr>
        <w:t xml:space="preserve">uestions submitted to the Help Desk will receive a </w:t>
      </w:r>
      <w:r w:rsidR="00723517">
        <w:rPr>
          <w:snapToGrid w:val="0"/>
        </w:rPr>
        <w:t>response within 24-48 hours</w:t>
      </w:r>
      <w:r w:rsidRPr="00937518">
        <w:rPr>
          <w:snapToGrid w:val="0"/>
        </w:rPr>
        <w:t>.</w:t>
      </w:r>
    </w:p>
    <w:p w14:paraId="00333E17" w14:textId="77777777" w:rsidR="001E2485" w:rsidRDefault="001E2485" w:rsidP="001E2485">
      <w:pPr>
        <w:pStyle w:val="ListParagraph"/>
      </w:pPr>
    </w:p>
    <w:p w14:paraId="48E1B4E6" w14:textId="77777777" w:rsidR="001E2485" w:rsidRDefault="001E2485" w:rsidP="00ED58C1">
      <w:pPr>
        <w:pStyle w:val="ListParagraph"/>
        <w:numPr>
          <w:ilvl w:val="0"/>
          <w:numId w:val="27"/>
        </w:numPr>
      </w:pPr>
      <w:r>
        <w:t>For hospitals that would li</w:t>
      </w:r>
      <w:r w:rsidR="00B82E87">
        <w:t>ke Leapfrog Hospital Survey Results</w:t>
      </w:r>
      <w:r>
        <w:t xml:space="preserve"> included in their </w:t>
      </w:r>
      <w:hyperlink r:id="rId19" w:history="1">
        <w:r w:rsidRPr="00840E07">
          <w:rPr>
            <w:rStyle w:val="Hyperlink"/>
            <w:b/>
          </w:rPr>
          <w:t>Hospital Safety Score</w:t>
        </w:r>
      </w:hyperlink>
      <w:r>
        <w:t xml:space="preserve">, please visit </w:t>
      </w:r>
      <w:hyperlink r:id="rId20" w:history="1">
        <w:r w:rsidRPr="00620FC6">
          <w:rPr>
            <w:rStyle w:val="Hyperlink"/>
          </w:rPr>
          <w:t>http://www.hospitalsafetyscore.org/for-hospitals/updates-and-timelines-for-hospitals</w:t>
        </w:r>
      </w:hyperlink>
      <w:r>
        <w:t xml:space="preserve"> for important information o</w:t>
      </w:r>
      <w:r w:rsidR="00666DDA">
        <w:t>n Data Snapshot Dates. A Leapfrog Hospital Survey must be submitted by the Data Snapshot Date</w:t>
      </w:r>
      <w:r w:rsidR="002168A5">
        <w:t xml:space="preserve"> in order</w:t>
      </w:r>
      <w:r w:rsidR="00666DDA">
        <w:t xml:space="preserve"> for survey data to be used in the Hospital Safety Score.</w:t>
      </w:r>
    </w:p>
    <w:p w14:paraId="15E5AC68" w14:textId="77777777" w:rsidR="00077CD6" w:rsidRDefault="00077CD6" w:rsidP="00077CD6">
      <w:pPr>
        <w:pStyle w:val="ListParagraph"/>
        <w:ind w:left="360"/>
      </w:pPr>
    </w:p>
    <w:p w14:paraId="2713D345" w14:textId="0D0141E3" w:rsidR="00077CD6" w:rsidRDefault="00077CD6" w:rsidP="00BB7F28">
      <w:pPr>
        <w:pStyle w:val="ListParagraph"/>
        <w:numPr>
          <w:ilvl w:val="0"/>
          <w:numId w:val="27"/>
        </w:numPr>
      </w:pPr>
      <w:r>
        <w:t xml:space="preserve">Leapfrog is committed to ensuring the accuracy of Leapfrog Hospital Survey results. Please review our protocols at: </w:t>
      </w:r>
      <w:hyperlink r:id="rId21" w:history="1">
        <w:r w:rsidR="00BB7F28" w:rsidRPr="008A2989">
          <w:rPr>
            <w:rStyle w:val="Hyperlink"/>
          </w:rPr>
          <w:t>http://www.leapfroggroup.org/survey-materials/data-accuracy</w:t>
        </w:r>
      </w:hyperlink>
      <w:r>
        <w:t xml:space="preserve">. </w:t>
      </w:r>
    </w:p>
    <w:p w14:paraId="3E9CCE77" w14:textId="77777777" w:rsidR="00BD10D7" w:rsidRDefault="00BD10D7" w:rsidP="00BD10D7">
      <w:pPr>
        <w:pStyle w:val="ListParagraph"/>
      </w:pPr>
    </w:p>
    <w:p w14:paraId="20A98140" w14:textId="77777777" w:rsidR="00614016" w:rsidRPr="00257F86" w:rsidRDefault="00BD10D7" w:rsidP="00ED58C1">
      <w:pPr>
        <w:pStyle w:val="ListParagraph"/>
        <w:numPr>
          <w:ilvl w:val="0"/>
          <w:numId w:val="27"/>
        </w:numPr>
        <w:rPr>
          <w:rFonts w:cs="Arial"/>
        </w:rPr>
      </w:pPr>
      <w:r w:rsidRPr="001B07B8">
        <w:rPr>
          <w:rFonts w:cs="Arial"/>
        </w:rPr>
        <w:t xml:space="preserve">The </w:t>
      </w:r>
      <w:r w:rsidR="004F68CC">
        <w:rPr>
          <w:rFonts w:cs="Arial"/>
        </w:rPr>
        <w:t>2016</w:t>
      </w:r>
      <w:r w:rsidRPr="001B07B8">
        <w:rPr>
          <w:rFonts w:cs="Arial"/>
        </w:rPr>
        <w:t xml:space="preserve"> Leapfrog Hospital Survey will close on</w:t>
      </w:r>
      <w:r w:rsidRPr="001B07B8">
        <w:rPr>
          <w:rFonts w:cs="Arial"/>
          <w:b/>
        </w:rPr>
        <w:t xml:space="preserve"> </w:t>
      </w:r>
      <w:r w:rsidRPr="00751044">
        <w:rPr>
          <w:rFonts w:cs="Arial"/>
          <w:b/>
          <w:color w:val="FF0000"/>
        </w:rPr>
        <w:t xml:space="preserve">December 31, </w:t>
      </w:r>
      <w:r w:rsidR="004F68CC" w:rsidRPr="00751044">
        <w:rPr>
          <w:rFonts w:cs="Arial"/>
          <w:b/>
          <w:color w:val="FF0000"/>
        </w:rPr>
        <w:t>2016</w:t>
      </w:r>
      <w:r w:rsidRPr="00751044">
        <w:rPr>
          <w:rFonts w:cs="Arial"/>
        </w:rPr>
        <w:t>. Hospitals</w:t>
      </w:r>
      <w:r w:rsidRPr="001B07B8">
        <w:rPr>
          <w:rFonts w:cs="Arial"/>
        </w:rPr>
        <w:t xml:space="preserve"> that do not submit a survey </w:t>
      </w:r>
      <w:r>
        <w:rPr>
          <w:rFonts w:cs="Arial"/>
        </w:rPr>
        <w:t xml:space="preserve">or CPOE Evaluation Tool (adult hospitals only) </w:t>
      </w:r>
      <w:r w:rsidRPr="001B07B8">
        <w:rPr>
          <w:rFonts w:cs="Arial"/>
        </w:rPr>
        <w:t xml:space="preserve">by </w:t>
      </w:r>
      <w:r w:rsidRPr="00277447">
        <w:rPr>
          <w:rFonts w:cs="Arial"/>
          <w:b/>
        </w:rPr>
        <w:t xml:space="preserve">December 31, </w:t>
      </w:r>
      <w:r w:rsidR="004F68CC" w:rsidRPr="00277447">
        <w:rPr>
          <w:rFonts w:cs="Arial"/>
          <w:b/>
        </w:rPr>
        <w:t>2016</w:t>
      </w:r>
      <w:r w:rsidRPr="00277447">
        <w:rPr>
          <w:rFonts w:cs="Arial"/>
          <w:b/>
        </w:rPr>
        <w:t xml:space="preserve"> at midnight Eastern Time</w:t>
      </w:r>
      <w:r>
        <w:rPr>
          <w:rFonts w:cs="Arial"/>
        </w:rPr>
        <w:t xml:space="preserve"> </w:t>
      </w:r>
      <w:r w:rsidRPr="001B07B8">
        <w:rPr>
          <w:rFonts w:cs="Arial"/>
        </w:rPr>
        <w:t>will have to w</w:t>
      </w:r>
      <w:r w:rsidR="00277447">
        <w:rPr>
          <w:rFonts w:cs="Arial"/>
        </w:rPr>
        <w:t>ait until the launch of the 2017</w:t>
      </w:r>
      <w:r>
        <w:rPr>
          <w:rFonts w:cs="Arial"/>
        </w:rPr>
        <w:t xml:space="preserve"> survey on April 1, </w:t>
      </w:r>
      <w:r w:rsidR="00277447">
        <w:rPr>
          <w:rFonts w:cs="Arial"/>
        </w:rPr>
        <w:t>2017</w:t>
      </w:r>
      <w:r w:rsidRPr="001B07B8">
        <w:rPr>
          <w:rFonts w:cs="Arial"/>
        </w:rPr>
        <w:t>.</w:t>
      </w:r>
    </w:p>
    <w:p w14:paraId="21D03BCF" w14:textId="77777777" w:rsidR="006B5931" w:rsidRPr="00BD10D7" w:rsidRDefault="006B5931" w:rsidP="00614016">
      <w:pPr>
        <w:pStyle w:val="ListParagraph"/>
        <w:ind w:left="360"/>
      </w:pPr>
    </w:p>
    <w:p w14:paraId="4C933995" w14:textId="77777777" w:rsidR="00257F86" w:rsidRDefault="00257F86">
      <w:pPr>
        <w:rPr>
          <w:b/>
          <w:snapToGrid w:val="0"/>
          <w:sz w:val="28"/>
          <w:u w:val="single"/>
          <w:lang w:eastAsia="ja-JP"/>
        </w:rPr>
      </w:pPr>
      <w:r>
        <w:rPr>
          <w:snapToGrid w:val="0"/>
        </w:rPr>
        <w:br w:type="page"/>
      </w:r>
    </w:p>
    <w:p w14:paraId="4714EA9C" w14:textId="77777777" w:rsidR="0010643F" w:rsidRPr="00F958AE" w:rsidRDefault="001000CF" w:rsidP="00954B73">
      <w:pPr>
        <w:pStyle w:val="Heading2"/>
        <w:rPr>
          <w:snapToGrid w:val="0"/>
        </w:rPr>
      </w:pPr>
      <w:bookmarkStart w:id="4" w:name="_Toc447194949"/>
      <w:r>
        <w:rPr>
          <w:snapToGrid w:val="0"/>
        </w:rPr>
        <w:lastRenderedPageBreak/>
        <w:t>Overview</w:t>
      </w:r>
      <w:r w:rsidR="00E26FA1" w:rsidRPr="00824972">
        <w:rPr>
          <w:snapToGrid w:val="0"/>
        </w:rPr>
        <w:t xml:space="preserve"> of the 2016</w:t>
      </w:r>
      <w:r w:rsidR="0010643F" w:rsidRPr="00824972">
        <w:rPr>
          <w:snapToGrid w:val="0"/>
        </w:rPr>
        <w:t xml:space="preserve"> Leapfrog Hospital Survey</w:t>
      </w:r>
      <w:bookmarkEnd w:id="4"/>
    </w:p>
    <w:p w14:paraId="08794894" w14:textId="77777777" w:rsidR="0010643F" w:rsidRDefault="0010643F" w:rsidP="0010643F">
      <w:pPr>
        <w:jc w:val="center"/>
        <w:rPr>
          <w:snapToGrid w:val="0"/>
        </w:rPr>
      </w:pPr>
    </w:p>
    <w:p w14:paraId="2FE20A71" w14:textId="77777777" w:rsidR="00203F62" w:rsidRDefault="0010643F" w:rsidP="00265528">
      <w:pPr>
        <w:rPr>
          <w:snapToGrid w:val="0"/>
        </w:rPr>
      </w:pPr>
      <w:r w:rsidRPr="00265528">
        <w:rPr>
          <w:snapToGrid w:val="0"/>
        </w:rPr>
        <w:t>The Leapfrog Hospital Surve</w:t>
      </w:r>
      <w:r w:rsidR="00F75ABF">
        <w:rPr>
          <w:snapToGrid w:val="0"/>
        </w:rPr>
        <w:t>y is divided into nine sections:</w:t>
      </w:r>
      <w:r w:rsidRPr="00265528">
        <w:rPr>
          <w:snapToGrid w:val="0"/>
        </w:rPr>
        <w:t xml:space="preserve"> </w:t>
      </w:r>
    </w:p>
    <w:p w14:paraId="0DB75F21" w14:textId="77777777" w:rsidR="00872296" w:rsidRDefault="00872296" w:rsidP="00265528">
      <w:pPr>
        <w:rPr>
          <w:snapToGrid w:val="0"/>
        </w:rPr>
      </w:pPr>
    </w:p>
    <w:tbl>
      <w:tblPr>
        <w:tblStyle w:val="TableGrid"/>
        <w:tblW w:w="0" w:type="auto"/>
        <w:jc w:val="center"/>
        <w:tblLook w:val="04A0" w:firstRow="1" w:lastRow="0" w:firstColumn="1" w:lastColumn="0" w:noHBand="0" w:noVBand="1"/>
      </w:tblPr>
      <w:tblGrid>
        <w:gridCol w:w="1008"/>
        <w:gridCol w:w="1980"/>
        <w:gridCol w:w="6588"/>
      </w:tblGrid>
      <w:tr w:rsidR="00872296" w14:paraId="3CF039E8" w14:textId="77777777" w:rsidTr="0046544E">
        <w:trPr>
          <w:jc w:val="center"/>
        </w:trPr>
        <w:tc>
          <w:tcPr>
            <w:tcW w:w="1008" w:type="dxa"/>
            <w:shd w:val="clear" w:color="auto" w:fill="17365D" w:themeFill="text2" w:themeFillShade="BF"/>
          </w:tcPr>
          <w:p w14:paraId="4EC932CE" w14:textId="77777777" w:rsidR="00872296" w:rsidRPr="00CC4B19" w:rsidRDefault="00872296" w:rsidP="00872296">
            <w:pPr>
              <w:jc w:val="center"/>
              <w:rPr>
                <w:b/>
                <w:snapToGrid w:val="0"/>
                <w:color w:val="FFFFFF" w:themeColor="background1"/>
              </w:rPr>
            </w:pPr>
            <w:r w:rsidRPr="00CC4B19">
              <w:rPr>
                <w:b/>
                <w:snapToGrid w:val="0"/>
                <w:color w:val="FFFFFF" w:themeColor="background1"/>
              </w:rPr>
              <w:t>Section #</w:t>
            </w:r>
          </w:p>
        </w:tc>
        <w:tc>
          <w:tcPr>
            <w:tcW w:w="1980" w:type="dxa"/>
            <w:shd w:val="clear" w:color="auto" w:fill="17365D" w:themeFill="text2" w:themeFillShade="BF"/>
          </w:tcPr>
          <w:p w14:paraId="17AEDD0F" w14:textId="77777777" w:rsidR="00872296" w:rsidRPr="00CC4B19" w:rsidRDefault="00872296" w:rsidP="00872296">
            <w:pPr>
              <w:jc w:val="center"/>
              <w:rPr>
                <w:b/>
                <w:snapToGrid w:val="0"/>
                <w:color w:val="FFFFFF" w:themeColor="background1"/>
              </w:rPr>
            </w:pPr>
            <w:r w:rsidRPr="00CC4B19">
              <w:rPr>
                <w:b/>
                <w:snapToGrid w:val="0"/>
                <w:color w:val="FFFFFF" w:themeColor="background1"/>
              </w:rPr>
              <w:t>Section Title</w:t>
            </w:r>
          </w:p>
        </w:tc>
        <w:tc>
          <w:tcPr>
            <w:tcW w:w="6588" w:type="dxa"/>
            <w:shd w:val="clear" w:color="auto" w:fill="17365D" w:themeFill="text2" w:themeFillShade="BF"/>
          </w:tcPr>
          <w:p w14:paraId="2A634238" w14:textId="77777777" w:rsidR="00872296" w:rsidRPr="00CC4B19" w:rsidRDefault="00872296" w:rsidP="00872296">
            <w:pPr>
              <w:jc w:val="center"/>
              <w:rPr>
                <w:b/>
                <w:snapToGrid w:val="0"/>
                <w:color w:val="FFFFFF" w:themeColor="background1"/>
              </w:rPr>
            </w:pPr>
            <w:r w:rsidRPr="00CC4B19">
              <w:rPr>
                <w:b/>
                <w:snapToGrid w:val="0"/>
                <w:color w:val="FFFFFF" w:themeColor="background1"/>
              </w:rPr>
              <w:t>Brief Description</w:t>
            </w:r>
          </w:p>
        </w:tc>
      </w:tr>
      <w:tr w:rsidR="00CF6F5B" w14:paraId="51247F5D" w14:textId="77777777" w:rsidTr="006F4717">
        <w:trPr>
          <w:jc w:val="center"/>
        </w:trPr>
        <w:tc>
          <w:tcPr>
            <w:tcW w:w="1008" w:type="dxa"/>
            <w:shd w:val="clear" w:color="auto" w:fill="auto"/>
          </w:tcPr>
          <w:p w14:paraId="66EA51C5" w14:textId="77777777" w:rsidR="00CF6F5B" w:rsidRPr="001C44BD" w:rsidRDefault="00CF6F5B" w:rsidP="00872296">
            <w:pPr>
              <w:jc w:val="center"/>
              <w:rPr>
                <w:b/>
                <w:snapToGrid w:val="0"/>
                <w:color w:val="000000" w:themeColor="text1"/>
                <w:highlight w:val="yellow"/>
              </w:rPr>
            </w:pPr>
          </w:p>
        </w:tc>
        <w:tc>
          <w:tcPr>
            <w:tcW w:w="1980" w:type="dxa"/>
            <w:shd w:val="clear" w:color="auto" w:fill="auto"/>
            <w:vAlign w:val="center"/>
          </w:tcPr>
          <w:p w14:paraId="464FE043" w14:textId="77777777" w:rsidR="00CF6F5B" w:rsidRPr="00824972" w:rsidRDefault="00E9134C" w:rsidP="00872296">
            <w:pPr>
              <w:jc w:val="center"/>
              <w:rPr>
                <w:b/>
                <w:snapToGrid w:val="0"/>
                <w:color w:val="000000" w:themeColor="text1"/>
              </w:rPr>
            </w:pPr>
            <w:hyperlink w:anchor="Sect1" w:history="1">
              <w:r w:rsidR="00F015F1">
                <w:rPr>
                  <w:rStyle w:val="Hyperlink"/>
                  <w:b/>
                  <w:snapToGrid w:val="0"/>
                </w:rPr>
                <w:t>Profile</w:t>
              </w:r>
            </w:hyperlink>
            <w:r w:rsidR="00CF6F5B" w:rsidRPr="00824972">
              <w:rPr>
                <w:b/>
                <w:snapToGrid w:val="0"/>
                <w:color w:val="000000" w:themeColor="text1"/>
              </w:rPr>
              <w:t xml:space="preserve"> </w:t>
            </w:r>
          </w:p>
          <w:p w14:paraId="015B4130" w14:textId="77777777" w:rsidR="00CF6F5B" w:rsidRPr="00824972" w:rsidRDefault="00CF6F5B" w:rsidP="00872296">
            <w:pPr>
              <w:jc w:val="center"/>
              <w:rPr>
                <w:b/>
                <w:snapToGrid w:val="0"/>
                <w:color w:val="000000" w:themeColor="text1"/>
              </w:rPr>
            </w:pPr>
          </w:p>
        </w:tc>
        <w:tc>
          <w:tcPr>
            <w:tcW w:w="6588" w:type="dxa"/>
            <w:shd w:val="clear" w:color="auto" w:fill="auto"/>
          </w:tcPr>
          <w:p w14:paraId="24E06F8F" w14:textId="77777777" w:rsidR="00CF6F5B" w:rsidRPr="00824972" w:rsidRDefault="00CF6F5B" w:rsidP="0074030B">
            <w:pPr>
              <w:rPr>
                <w:snapToGrid w:val="0"/>
                <w:color w:val="000000" w:themeColor="text1"/>
              </w:rPr>
            </w:pPr>
            <w:r w:rsidRPr="00824972">
              <w:rPr>
                <w:snapToGrid w:val="0"/>
                <w:color w:val="000000" w:themeColor="text1"/>
              </w:rPr>
              <w:t xml:space="preserve">The profile section asks you to </w:t>
            </w:r>
            <w:r w:rsidR="0074030B" w:rsidRPr="00824972">
              <w:rPr>
                <w:snapToGrid w:val="0"/>
                <w:color w:val="000000" w:themeColor="text1"/>
              </w:rPr>
              <w:t xml:space="preserve">provide certain </w:t>
            </w:r>
            <w:r w:rsidRPr="00824972">
              <w:rPr>
                <w:snapToGrid w:val="0"/>
                <w:color w:val="000000" w:themeColor="text1"/>
              </w:rPr>
              <w:t xml:space="preserve">demographic </w:t>
            </w:r>
            <w:r w:rsidR="0074030B" w:rsidRPr="00824972">
              <w:rPr>
                <w:snapToGrid w:val="0"/>
                <w:color w:val="000000" w:themeColor="text1"/>
              </w:rPr>
              <w:t xml:space="preserve">and </w:t>
            </w:r>
            <w:r w:rsidRPr="00824972">
              <w:rPr>
                <w:snapToGrid w:val="0"/>
                <w:color w:val="000000" w:themeColor="text1"/>
              </w:rPr>
              <w:t>contact inf</w:t>
            </w:r>
            <w:r w:rsidR="0074030B" w:rsidRPr="00824972">
              <w:rPr>
                <w:snapToGrid w:val="0"/>
                <w:color w:val="000000" w:themeColor="text1"/>
              </w:rPr>
              <w:t>ormation. The profile section can</w:t>
            </w:r>
            <w:r w:rsidRPr="00824972">
              <w:rPr>
                <w:snapToGrid w:val="0"/>
                <w:color w:val="000000" w:themeColor="text1"/>
              </w:rPr>
              <w:t xml:space="preserve"> be accessed and updated anytime</w:t>
            </w:r>
            <w:r w:rsidR="0074030B" w:rsidRPr="00824972">
              <w:rPr>
                <w:snapToGrid w:val="0"/>
                <w:color w:val="000000" w:themeColor="text1"/>
              </w:rPr>
              <w:t xml:space="preserve"> throughout the year</w:t>
            </w:r>
            <w:r w:rsidR="003351AA">
              <w:rPr>
                <w:snapToGrid w:val="0"/>
                <w:color w:val="000000" w:themeColor="text1"/>
              </w:rPr>
              <w:t xml:space="preserve"> by logging into the Survey D</w:t>
            </w:r>
            <w:r w:rsidRPr="00824972">
              <w:rPr>
                <w:snapToGrid w:val="0"/>
                <w:color w:val="000000" w:themeColor="text1"/>
              </w:rPr>
              <w:t xml:space="preserve">ashboard with your hospital’s security code. </w:t>
            </w:r>
          </w:p>
        </w:tc>
      </w:tr>
      <w:tr w:rsidR="00872296" w14:paraId="14F6D478" w14:textId="77777777" w:rsidTr="00BB6F9E">
        <w:trPr>
          <w:jc w:val="center"/>
        </w:trPr>
        <w:tc>
          <w:tcPr>
            <w:tcW w:w="1008" w:type="dxa"/>
            <w:vAlign w:val="center"/>
          </w:tcPr>
          <w:p w14:paraId="003703E5" w14:textId="77777777" w:rsidR="00872296" w:rsidRPr="00CC4B19" w:rsidRDefault="00872296" w:rsidP="002168A5">
            <w:pPr>
              <w:jc w:val="center"/>
              <w:rPr>
                <w:b/>
                <w:snapToGrid w:val="0"/>
              </w:rPr>
            </w:pPr>
            <w:r w:rsidRPr="00CC4B19">
              <w:rPr>
                <w:b/>
                <w:snapToGrid w:val="0"/>
              </w:rPr>
              <w:t>1</w:t>
            </w:r>
          </w:p>
        </w:tc>
        <w:tc>
          <w:tcPr>
            <w:tcW w:w="1980" w:type="dxa"/>
            <w:vAlign w:val="center"/>
          </w:tcPr>
          <w:p w14:paraId="599D0F9A" w14:textId="77777777" w:rsidR="00872296" w:rsidRPr="00824972" w:rsidRDefault="00E9134C" w:rsidP="001E0C89">
            <w:pPr>
              <w:jc w:val="center"/>
              <w:rPr>
                <w:b/>
                <w:snapToGrid w:val="0"/>
              </w:rPr>
            </w:pPr>
            <w:hyperlink w:anchor="_Basic_Hospital_Information" w:history="1">
              <w:r w:rsidR="00872296" w:rsidRPr="00824972">
                <w:rPr>
                  <w:rStyle w:val="Hyperlink"/>
                  <w:b/>
                  <w:snapToGrid w:val="0"/>
                </w:rPr>
                <w:t>Basic Hospital Information</w:t>
              </w:r>
            </w:hyperlink>
          </w:p>
        </w:tc>
        <w:tc>
          <w:tcPr>
            <w:tcW w:w="6588" w:type="dxa"/>
          </w:tcPr>
          <w:p w14:paraId="796C759D" w14:textId="77777777" w:rsidR="00872296" w:rsidRPr="00824972" w:rsidRDefault="0074030B" w:rsidP="00872296">
            <w:pPr>
              <w:rPr>
                <w:snapToGrid w:val="0"/>
              </w:rPr>
            </w:pPr>
            <w:r w:rsidRPr="00824972">
              <w:rPr>
                <w:snapToGrid w:val="0"/>
              </w:rPr>
              <w:t xml:space="preserve">The first section </w:t>
            </w:r>
            <w:r w:rsidR="00CF6F5B" w:rsidRPr="00824972">
              <w:rPr>
                <w:snapToGrid w:val="0"/>
              </w:rPr>
              <w:t xml:space="preserve">asks you to provide information about your hospital’s </w:t>
            </w:r>
            <w:r w:rsidR="008F685E">
              <w:rPr>
                <w:snapToGrid w:val="0"/>
              </w:rPr>
              <w:t xml:space="preserve">bed </w:t>
            </w:r>
            <w:r w:rsidR="00CF6F5B" w:rsidRPr="00824972">
              <w:rPr>
                <w:snapToGrid w:val="0"/>
              </w:rPr>
              <w:t xml:space="preserve">size and teaching status. </w:t>
            </w:r>
          </w:p>
          <w:p w14:paraId="50E8FB20" w14:textId="77777777" w:rsidR="00872296" w:rsidRPr="00824972" w:rsidRDefault="00872296" w:rsidP="00265528">
            <w:pPr>
              <w:rPr>
                <w:snapToGrid w:val="0"/>
              </w:rPr>
            </w:pPr>
          </w:p>
        </w:tc>
      </w:tr>
      <w:tr w:rsidR="00872296" w14:paraId="7FB3A4D9" w14:textId="77777777" w:rsidTr="00BB6F9E">
        <w:trPr>
          <w:jc w:val="center"/>
        </w:trPr>
        <w:tc>
          <w:tcPr>
            <w:tcW w:w="1008" w:type="dxa"/>
            <w:vAlign w:val="center"/>
          </w:tcPr>
          <w:p w14:paraId="5C41AAE7" w14:textId="77777777" w:rsidR="00872296" w:rsidRPr="00CC4B19" w:rsidRDefault="00872296" w:rsidP="002168A5">
            <w:pPr>
              <w:jc w:val="center"/>
              <w:rPr>
                <w:b/>
                <w:snapToGrid w:val="0"/>
              </w:rPr>
            </w:pPr>
            <w:r w:rsidRPr="00CC4B19">
              <w:rPr>
                <w:b/>
                <w:snapToGrid w:val="0"/>
              </w:rPr>
              <w:t>2</w:t>
            </w:r>
          </w:p>
        </w:tc>
        <w:tc>
          <w:tcPr>
            <w:tcW w:w="1980" w:type="dxa"/>
            <w:vAlign w:val="center"/>
          </w:tcPr>
          <w:p w14:paraId="5E46394E" w14:textId="77777777" w:rsidR="00872296" w:rsidRPr="00824972" w:rsidRDefault="00E9134C" w:rsidP="008F75E0">
            <w:pPr>
              <w:spacing w:before="120" w:after="120"/>
              <w:jc w:val="center"/>
              <w:rPr>
                <w:b/>
                <w:snapToGrid w:val="0"/>
              </w:rPr>
            </w:pPr>
            <w:hyperlink w:anchor="Sect2" w:history="1">
              <w:r w:rsidR="00872296" w:rsidRPr="00824972">
                <w:rPr>
                  <w:rStyle w:val="Hyperlink"/>
                  <w:b/>
                  <w:snapToGrid w:val="0"/>
                </w:rPr>
                <w:t>Computerized Physician Order Entry (CPOE)</w:t>
              </w:r>
            </w:hyperlink>
          </w:p>
        </w:tc>
        <w:tc>
          <w:tcPr>
            <w:tcW w:w="6588" w:type="dxa"/>
          </w:tcPr>
          <w:p w14:paraId="471159ED" w14:textId="77777777" w:rsidR="00872296" w:rsidRPr="00824972" w:rsidRDefault="00872296" w:rsidP="00265528">
            <w:pPr>
              <w:rPr>
                <w:snapToGrid w:val="0"/>
              </w:rPr>
            </w:pPr>
            <w:r w:rsidRPr="00824972">
              <w:rPr>
                <w:snapToGrid w:val="0"/>
              </w:rPr>
              <w:t xml:space="preserve">The second section is one of The Leapfrog Group’s original quality and safety standards, and is designed to determine your hospital’s use of CPOE to prevent medication errors. </w:t>
            </w:r>
          </w:p>
        </w:tc>
      </w:tr>
      <w:tr w:rsidR="00872296" w14:paraId="03769F33" w14:textId="77777777" w:rsidTr="00BB6F9E">
        <w:trPr>
          <w:jc w:val="center"/>
        </w:trPr>
        <w:tc>
          <w:tcPr>
            <w:tcW w:w="1008" w:type="dxa"/>
            <w:vAlign w:val="center"/>
          </w:tcPr>
          <w:p w14:paraId="29C80B2D" w14:textId="77777777" w:rsidR="00872296" w:rsidRPr="00CC4B19" w:rsidRDefault="00872296" w:rsidP="002168A5">
            <w:pPr>
              <w:jc w:val="center"/>
              <w:rPr>
                <w:b/>
                <w:snapToGrid w:val="0"/>
              </w:rPr>
            </w:pPr>
            <w:r w:rsidRPr="00CC4B19">
              <w:rPr>
                <w:b/>
                <w:snapToGrid w:val="0"/>
              </w:rPr>
              <w:t>3</w:t>
            </w:r>
          </w:p>
        </w:tc>
        <w:bookmarkStart w:id="5" w:name="Sect3"/>
        <w:tc>
          <w:tcPr>
            <w:tcW w:w="1980" w:type="dxa"/>
            <w:vAlign w:val="center"/>
          </w:tcPr>
          <w:p w14:paraId="7A617803" w14:textId="77777777" w:rsidR="00872296" w:rsidRPr="00824972" w:rsidRDefault="00A14147" w:rsidP="001E0C89">
            <w:pPr>
              <w:jc w:val="center"/>
              <w:rPr>
                <w:b/>
                <w:snapToGrid w:val="0"/>
              </w:rPr>
            </w:pPr>
            <w:r>
              <w:rPr>
                <w:b/>
                <w:snapToGrid w:val="0"/>
              </w:rPr>
              <w:fldChar w:fldCharType="begin"/>
            </w:r>
            <w:r>
              <w:rPr>
                <w:b/>
                <w:snapToGrid w:val="0"/>
              </w:rPr>
              <w:instrText xml:space="preserve"> HYPERLINK  \l "_3A_High-Risk_Surgical" </w:instrText>
            </w:r>
            <w:r>
              <w:rPr>
                <w:b/>
                <w:snapToGrid w:val="0"/>
              </w:rPr>
              <w:fldChar w:fldCharType="separate"/>
            </w:r>
            <w:r w:rsidR="00EE51D7" w:rsidRPr="00A14147">
              <w:rPr>
                <w:rStyle w:val="Hyperlink"/>
                <w:b/>
                <w:snapToGrid w:val="0"/>
              </w:rPr>
              <w:t>Evidence-Based Hospital Referral (EBHR)</w:t>
            </w:r>
            <w:bookmarkEnd w:id="5"/>
            <w:r>
              <w:rPr>
                <w:b/>
                <w:snapToGrid w:val="0"/>
              </w:rPr>
              <w:fldChar w:fldCharType="end"/>
            </w:r>
          </w:p>
        </w:tc>
        <w:tc>
          <w:tcPr>
            <w:tcW w:w="6588" w:type="dxa"/>
          </w:tcPr>
          <w:p w14:paraId="084613EA" w14:textId="77777777" w:rsidR="00872296" w:rsidRPr="00824972" w:rsidRDefault="00EE51D7" w:rsidP="001F28CB">
            <w:pPr>
              <w:rPr>
                <w:snapToGrid w:val="0"/>
              </w:rPr>
            </w:pPr>
            <w:r w:rsidRPr="00824972">
              <w:t xml:space="preserve">The third section is one of The Leapfrog Group’s original quality and safety standards, and is designed to determine your hospital’s performance on nationally endorsed quality of care measures for four high-risk surgical procedures. This section is not applicable </w:t>
            </w:r>
            <w:r w:rsidR="001F28CB">
              <w:t>to</w:t>
            </w:r>
            <w:r w:rsidR="001F28CB" w:rsidRPr="00824972">
              <w:t xml:space="preserve"> </w:t>
            </w:r>
            <w:r w:rsidRPr="00824972">
              <w:t xml:space="preserve">pediatric hospitals. </w:t>
            </w:r>
          </w:p>
        </w:tc>
      </w:tr>
      <w:tr w:rsidR="00872296" w14:paraId="41AE1A4A" w14:textId="77777777" w:rsidTr="00BB6F9E">
        <w:trPr>
          <w:jc w:val="center"/>
        </w:trPr>
        <w:tc>
          <w:tcPr>
            <w:tcW w:w="1008" w:type="dxa"/>
            <w:vAlign w:val="center"/>
          </w:tcPr>
          <w:p w14:paraId="78C61AED" w14:textId="77777777" w:rsidR="00872296" w:rsidRPr="00CC4B19" w:rsidRDefault="00872296" w:rsidP="002168A5">
            <w:pPr>
              <w:jc w:val="center"/>
              <w:rPr>
                <w:b/>
                <w:snapToGrid w:val="0"/>
              </w:rPr>
            </w:pPr>
            <w:r w:rsidRPr="00CC4B19">
              <w:rPr>
                <w:b/>
                <w:snapToGrid w:val="0"/>
              </w:rPr>
              <w:t>4</w:t>
            </w:r>
          </w:p>
        </w:tc>
        <w:tc>
          <w:tcPr>
            <w:tcW w:w="1980" w:type="dxa"/>
            <w:vAlign w:val="center"/>
          </w:tcPr>
          <w:p w14:paraId="6303E72A" w14:textId="77777777" w:rsidR="00872296" w:rsidRPr="00824972" w:rsidRDefault="00E9134C" w:rsidP="001E0C89">
            <w:pPr>
              <w:jc w:val="center"/>
              <w:rPr>
                <w:b/>
                <w:snapToGrid w:val="0"/>
              </w:rPr>
            </w:pPr>
            <w:hyperlink w:anchor="Sect4" w:history="1">
              <w:r w:rsidR="00872296" w:rsidRPr="00824972">
                <w:rPr>
                  <w:rStyle w:val="Hyperlink"/>
                  <w:b/>
                  <w:snapToGrid w:val="0"/>
                </w:rPr>
                <w:t>Maternity Care</w:t>
              </w:r>
            </w:hyperlink>
          </w:p>
        </w:tc>
        <w:tc>
          <w:tcPr>
            <w:tcW w:w="6588" w:type="dxa"/>
          </w:tcPr>
          <w:p w14:paraId="27C813D8" w14:textId="77777777" w:rsidR="00872296" w:rsidRPr="00824972" w:rsidRDefault="00872296" w:rsidP="00265528">
            <w:pPr>
              <w:rPr>
                <w:snapToGrid w:val="0"/>
              </w:rPr>
            </w:pPr>
            <w:r w:rsidRPr="00824972">
              <w:rPr>
                <w:snapToGrid w:val="0"/>
              </w:rPr>
              <w:t xml:space="preserve">The fourth section is designed to demonstrate your hospital’s performance on nationally endorsed maternity measures of care for normal and high-risk deliveries. </w:t>
            </w:r>
          </w:p>
        </w:tc>
      </w:tr>
      <w:tr w:rsidR="00872296" w14:paraId="0B5C498D" w14:textId="77777777" w:rsidTr="00BB6F9E">
        <w:trPr>
          <w:jc w:val="center"/>
        </w:trPr>
        <w:tc>
          <w:tcPr>
            <w:tcW w:w="1008" w:type="dxa"/>
            <w:vAlign w:val="center"/>
          </w:tcPr>
          <w:p w14:paraId="4F335409" w14:textId="77777777" w:rsidR="00872296" w:rsidRPr="00CC4B19" w:rsidRDefault="00872296" w:rsidP="002168A5">
            <w:pPr>
              <w:jc w:val="center"/>
              <w:rPr>
                <w:b/>
                <w:snapToGrid w:val="0"/>
              </w:rPr>
            </w:pPr>
            <w:r w:rsidRPr="00CC4B19">
              <w:rPr>
                <w:b/>
                <w:snapToGrid w:val="0"/>
              </w:rPr>
              <w:t>5</w:t>
            </w:r>
          </w:p>
        </w:tc>
        <w:tc>
          <w:tcPr>
            <w:tcW w:w="1980" w:type="dxa"/>
            <w:vAlign w:val="center"/>
          </w:tcPr>
          <w:p w14:paraId="7F2BBE39" w14:textId="77777777" w:rsidR="00872296" w:rsidRPr="00824972" w:rsidRDefault="00E9134C" w:rsidP="001E0C89">
            <w:pPr>
              <w:jc w:val="center"/>
              <w:rPr>
                <w:b/>
                <w:snapToGrid w:val="0"/>
              </w:rPr>
            </w:pPr>
            <w:hyperlink w:anchor="Sect5" w:history="1">
              <w:r w:rsidR="00872296" w:rsidRPr="00824972">
                <w:rPr>
                  <w:rStyle w:val="Hyperlink"/>
                  <w:b/>
                  <w:snapToGrid w:val="0"/>
                </w:rPr>
                <w:t>ICU Physician Staffing (IPS)</w:t>
              </w:r>
            </w:hyperlink>
          </w:p>
        </w:tc>
        <w:tc>
          <w:tcPr>
            <w:tcW w:w="6588" w:type="dxa"/>
          </w:tcPr>
          <w:p w14:paraId="4C2D928F" w14:textId="77777777" w:rsidR="00872296" w:rsidRPr="00824972" w:rsidRDefault="00872296" w:rsidP="00265528">
            <w:pPr>
              <w:rPr>
                <w:snapToGrid w:val="0"/>
              </w:rPr>
            </w:pPr>
            <w:r w:rsidRPr="00824972">
              <w:rPr>
                <w:snapToGrid w:val="0"/>
              </w:rPr>
              <w:t xml:space="preserve">The fifth section is one of The Leapfrog Group’s original quality and safety standards, and is designed to determine whether or not patients in ICUs are cared for by physicians certified in critical care. </w:t>
            </w:r>
          </w:p>
        </w:tc>
      </w:tr>
      <w:tr w:rsidR="00872296" w14:paraId="40C1AFF8" w14:textId="77777777" w:rsidTr="00BB6F9E">
        <w:trPr>
          <w:jc w:val="center"/>
        </w:trPr>
        <w:tc>
          <w:tcPr>
            <w:tcW w:w="1008" w:type="dxa"/>
            <w:vAlign w:val="center"/>
          </w:tcPr>
          <w:p w14:paraId="6E7E5247" w14:textId="77777777" w:rsidR="00872296" w:rsidRPr="00CC4B19" w:rsidRDefault="00CC4B19" w:rsidP="002168A5">
            <w:pPr>
              <w:jc w:val="center"/>
              <w:rPr>
                <w:b/>
                <w:snapToGrid w:val="0"/>
              </w:rPr>
            </w:pPr>
            <w:r w:rsidRPr="00CC4B19">
              <w:rPr>
                <w:b/>
                <w:snapToGrid w:val="0"/>
              </w:rPr>
              <w:t>6</w:t>
            </w:r>
          </w:p>
        </w:tc>
        <w:tc>
          <w:tcPr>
            <w:tcW w:w="1980" w:type="dxa"/>
            <w:vAlign w:val="center"/>
          </w:tcPr>
          <w:p w14:paraId="7F276680" w14:textId="77777777" w:rsidR="00872296" w:rsidRPr="00824972" w:rsidRDefault="00E9134C" w:rsidP="001E0C89">
            <w:pPr>
              <w:jc w:val="center"/>
              <w:rPr>
                <w:b/>
                <w:snapToGrid w:val="0"/>
              </w:rPr>
            </w:pPr>
            <w:hyperlink w:anchor="Sect6" w:history="1">
              <w:r w:rsidR="00CC4B19" w:rsidRPr="00824972">
                <w:rPr>
                  <w:rStyle w:val="Hyperlink"/>
                  <w:b/>
                  <w:snapToGrid w:val="0"/>
                </w:rPr>
                <w:t>Safe Practices Score</w:t>
              </w:r>
            </w:hyperlink>
            <w:r w:rsidR="00220448" w:rsidRPr="00824972">
              <w:rPr>
                <w:rStyle w:val="Hyperlink"/>
                <w:b/>
                <w:snapToGrid w:val="0"/>
              </w:rPr>
              <w:t xml:space="preserve"> (SPS)</w:t>
            </w:r>
          </w:p>
        </w:tc>
        <w:tc>
          <w:tcPr>
            <w:tcW w:w="6588" w:type="dxa"/>
          </w:tcPr>
          <w:p w14:paraId="25942E51" w14:textId="77777777" w:rsidR="00872296" w:rsidRPr="00824972" w:rsidRDefault="00CC4B19" w:rsidP="00265528">
            <w:pPr>
              <w:rPr>
                <w:snapToGrid w:val="0"/>
              </w:rPr>
            </w:pPr>
            <w:r w:rsidRPr="00824972">
              <w:rPr>
                <w:snapToGrid w:val="0"/>
              </w:rPr>
              <w:t xml:space="preserve">The sixth section is one of The Leapfrog Group’s original quality and safety standards, and is designed to determine </w:t>
            </w:r>
            <w:r w:rsidR="001F28CB">
              <w:rPr>
                <w:snapToGrid w:val="0"/>
              </w:rPr>
              <w:t xml:space="preserve">a </w:t>
            </w:r>
            <w:r w:rsidRPr="00824972">
              <w:rPr>
                <w:snapToGrid w:val="0"/>
              </w:rPr>
              <w:t xml:space="preserve">hospital’s adherence to eight of the thirty-four National Quality Forum’s safe practices. </w:t>
            </w:r>
          </w:p>
        </w:tc>
      </w:tr>
      <w:tr w:rsidR="00872296" w14:paraId="347300FB" w14:textId="77777777" w:rsidTr="00BB6F9E">
        <w:trPr>
          <w:jc w:val="center"/>
        </w:trPr>
        <w:tc>
          <w:tcPr>
            <w:tcW w:w="1008" w:type="dxa"/>
            <w:vAlign w:val="center"/>
          </w:tcPr>
          <w:p w14:paraId="61888F10" w14:textId="77777777" w:rsidR="00872296" w:rsidRPr="00CC4B19" w:rsidRDefault="00CC4B19" w:rsidP="002168A5">
            <w:pPr>
              <w:jc w:val="center"/>
              <w:rPr>
                <w:b/>
                <w:snapToGrid w:val="0"/>
              </w:rPr>
            </w:pPr>
            <w:r>
              <w:rPr>
                <w:b/>
                <w:snapToGrid w:val="0"/>
              </w:rPr>
              <w:t>7</w:t>
            </w:r>
          </w:p>
        </w:tc>
        <w:tc>
          <w:tcPr>
            <w:tcW w:w="1980" w:type="dxa"/>
            <w:vAlign w:val="center"/>
          </w:tcPr>
          <w:p w14:paraId="4EE54E13" w14:textId="77777777" w:rsidR="00872296" w:rsidRPr="00824972" w:rsidRDefault="00E9134C" w:rsidP="001E0C89">
            <w:pPr>
              <w:jc w:val="center"/>
              <w:rPr>
                <w:b/>
                <w:snapToGrid w:val="0"/>
              </w:rPr>
            </w:pPr>
            <w:hyperlink w:anchor="Sec7" w:history="1">
              <w:r w:rsidR="00CC4B19" w:rsidRPr="00824972">
                <w:rPr>
                  <w:rStyle w:val="Hyperlink"/>
                  <w:b/>
                  <w:snapToGrid w:val="0"/>
                </w:rPr>
                <w:t>Managing Serious Errors</w:t>
              </w:r>
            </w:hyperlink>
          </w:p>
        </w:tc>
        <w:tc>
          <w:tcPr>
            <w:tcW w:w="6588" w:type="dxa"/>
          </w:tcPr>
          <w:p w14:paraId="4DF11302" w14:textId="77777777" w:rsidR="00872296" w:rsidRPr="00824972" w:rsidRDefault="00CC4B19" w:rsidP="0085320B">
            <w:pPr>
              <w:rPr>
                <w:rFonts w:cs="Arial"/>
                <w:snapToGrid w:val="0"/>
              </w:rPr>
            </w:pPr>
            <w:r w:rsidRPr="00824972">
              <w:rPr>
                <w:rFonts w:cs="Arial"/>
                <w:snapToGrid w:val="0"/>
              </w:rPr>
              <w:t>The seventh section is designed to demonstrate your hospital’s performance in preventing hospital-acquired infections and other conditions</w:t>
            </w:r>
            <w:r w:rsidR="001F28CB">
              <w:rPr>
                <w:rFonts w:cs="Arial"/>
                <w:snapToGrid w:val="0"/>
              </w:rPr>
              <w:t>,</w:t>
            </w:r>
            <w:r w:rsidR="0085320B" w:rsidRPr="00824972">
              <w:rPr>
                <w:rFonts w:cs="Arial"/>
                <w:snapToGrid w:val="0"/>
              </w:rPr>
              <w:t xml:space="preserve"> </w:t>
            </w:r>
            <w:r w:rsidR="0085320B" w:rsidRPr="00824972">
              <w:rPr>
                <w:rFonts w:cs="Arial"/>
              </w:rPr>
              <w:t>as well as to evaluate your hospital’s Never Events policy.</w:t>
            </w:r>
          </w:p>
        </w:tc>
      </w:tr>
      <w:tr w:rsidR="00CC4B19" w14:paraId="75CA6315" w14:textId="77777777" w:rsidTr="00BB6F9E">
        <w:trPr>
          <w:jc w:val="center"/>
        </w:trPr>
        <w:tc>
          <w:tcPr>
            <w:tcW w:w="1008" w:type="dxa"/>
            <w:vAlign w:val="center"/>
          </w:tcPr>
          <w:p w14:paraId="3AF95B13" w14:textId="77777777" w:rsidR="00CC4B19" w:rsidRDefault="00CC4B19" w:rsidP="002168A5">
            <w:pPr>
              <w:jc w:val="center"/>
              <w:rPr>
                <w:b/>
                <w:snapToGrid w:val="0"/>
              </w:rPr>
            </w:pPr>
            <w:r>
              <w:rPr>
                <w:b/>
                <w:snapToGrid w:val="0"/>
              </w:rPr>
              <w:t>8</w:t>
            </w:r>
          </w:p>
        </w:tc>
        <w:tc>
          <w:tcPr>
            <w:tcW w:w="1980" w:type="dxa"/>
            <w:vAlign w:val="center"/>
          </w:tcPr>
          <w:p w14:paraId="0B27C318" w14:textId="77777777" w:rsidR="00CC4B19" w:rsidRPr="00824972" w:rsidRDefault="00E9134C" w:rsidP="008F75E0">
            <w:pPr>
              <w:spacing w:before="120" w:after="120"/>
              <w:jc w:val="center"/>
              <w:rPr>
                <w:b/>
                <w:snapToGrid w:val="0"/>
              </w:rPr>
            </w:pPr>
            <w:hyperlink w:anchor="Sect8" w:history="1">
              <w:r w:rsidR="00CC4B19" w:rsidRPr="00824972">
                <w:rPr>
                  <w:rStyle w:val="Hyperlink"/>
                  <w:b/>
                  <w:snapToGrid w:val="0"/>
                </w:rPr>
                <w:t>Bar Code Medication Administration</w:t>
              </w:r>
              <w:r w:rsidR="00CB3018" w:rsidRPr="00824972">
                <w:rPr>
                  <w:rStyle w:val="Hyperlink"/>
                  <w:b/>
                  <w:snapToGrid w:val="0"/>
                </w:rPr>
                <w:t xml:space="preserve"> </w:t>
              </w:r>
            </w:hyperlink>
          </w:p>
        </w:tc>
        <w:tc>
          <w:tcPr>
            <w:tcW w:w="6588" w:type="dxa"/>
          </w:tcPr>
          <w:p w14:paraId="0F74255F" w14:textId="77777777" w:rsidR="00CC4B19" w:rsidRPr="00824972" w:rsidRDefault="00F12850" w:rsidP="0085320B">
            <w:pPr>
              <w:rPr>
                <w:rFonts w:cs="Arial"/>
                <w:snapToGrid w:val="0"/>
              </w:rPr>
            </w:pPr>
            <w:r w:rsidRPr="00824972">
              <w:rPr>
                <w:rFonts w:cs="Arial"/>
                <w:snapToGrid w:val="0"/>
              </w:rPr>
              <w:t xml:space="preserve">The eighth section was new in </w:t>
            </w:r>
            <w:r w:rsidR="004F68CC" w:rsidRPr="00824972">
              <w:rPr>
                <w:rFonts w:cs="Arial"/>
                <w:snapToGrid w:val="0"/>
              </w:rPr>
              <w:t>201</w:t>
            </w:r>
            <w:r w:rsidR="00614016" w:rsidRPr="00824972">
              <w:rPr>
                <w:rFonts w:cs="Arial"/>
                <w:snapToGrid w:val="0"/>
              </w:rPr>
              <w:t>5 and</w:t>
            </w:r>
            <w:r w:rsidR="00CC4B19" w:rsidRPr="00824972">
              <w:rPr>
                <w:rFonts w:cs="Arial"/>
                <w:snapToGrid w:val="0"/>
              </w:rPr>
              <w:t xml:space="preserve"> is designed to demonstrate your hospital’s use of bar code medi</w:t>
            </w:r>
            <w:r w:rsidR="00283A08" w:rsidRPr="00824972">
              <w:rPr>
                <w:rFonts w:cs="Arial"/>
                <w:snapToGrid w:val="0"/>
              </w:rPr>
              <w:t>c</w:t>
            </w:r>
            <w:r w:rsidR="00CC4B19" w:rsidRPr="00824972">
              <w:rPr>
                <w:rFonts w:cs="Arial"/>
                <w:snapToGrid w:val="0"/>
              </w:rPr>
              <w:t xml:space="preserve">ation administration to prevent medication errors. </w:t>
            </w:r>
          </w:p>
        </w:tc>
      </w:tr>
      <w:tr w:rsidR="00CC4B19" w14:paraId="23DA8A3C" w14:textId="77777777" w:rsidTr="00BB6F9E">
        <w:trPr>
          <w:jc w:val="center"/>
        </w:trPr>
        <w:tc>
          <w:tcPr>
            <w:tcW w:w="1008" w:type="dxa"/>
            <w:vAlign w:val="center"/>
          </w:tcPr>
          <w:p w14:paraId="704817F5" w14:textId="77777777" w:rsidR="00CC4B19" w:rsidRPr="00F12850" w:rsidRDefault="00CC4B19" w:rsidP="002168A5">
            <w:pPr>
              <w:jc w:val="center"/>
              <w:rPr>
                <w:b/>
                <w:snapToGrid w:val="0"/>
                <w:highlight w:val="yellow"/>
              </w:rPr>
            </w:pPr>
            <w:r w:rsidRPr="00824972">
              <w:rPr>
                <w:b/>
                <w:snapToGrid w:val="0"/>
              </w:rPr>
              <w:t>9</w:t>
            </w:r>
          </w:p>
        </w:tc>
        <w:tc>
          <w:tcPr>
            <w:tcW w:w="1980" w:type="dxa"/>
            <w:vAlign w:val="center"/>
          </w:tcPr>
          <w:p w14:paraId="18CC119C" w14:textId="77777777" w:rsidR="00CC4B19" w:rsidRPr="00824972" w:rsidRDefault="00E9134C" w:rsidP="008118CF">
            <w:pPr>
              <w:jc w:val="center"/>
              <w:rPr>
                <w:b/>
                <w:snapToGrid w:val="0"/>
              </w:rPr>
            </w:pPr>
            <w:hyperlink w:anchor="Sect9" w:history="1">
              <w:r w:rsidR="008118CF">
                <w:rPr>
                  <w:rStyle w:val="Hyperlink"/>
                  <w:b/>
                  <w:snapToGrid w:val="0"/>
                </w:rPr>
                <w:t>Readmission</w:t>
              </w:r>
              <w:r w:rsidR="00CC4B19" w:rsidRPr="00824972">
                <w:rPr>
                  <w:rStyle w:val="Hyperlink"/>
                  <w:b/>
                  <w:snapToGrid w:val="0"/>
                </w:rPr>
                <w:t xml:space="preserve"> for Common Acute Conditions</w:t>
              </w:r>
            </w:hyperlink>
          </w:p>
        </w:tc>
        <w:tc>
          <w:tcPr>
            <w:tcW w:w="6588" w:type="dxa"/>
          </w:tcPr>
          <w:p w14:paraId="67CC4E08" w14:textId="77777777" w:rsidR="00CC4B19" w:rsidRPr="00BD5C4B" w:rsidRDefault="00CC4B19" w:rsidP="001F28CB">
            <w:pPr>
              <w:rPr>
                <w:snapToGrid w:val="0"/>
              </w:rPr>
            </w:pPr>
            <w:r w:rsidRPr="00BD5C4B">
              <w:rPr>
                <w:snapToGrid w:val="0"/>
              </w:rPr>
              <w:t xml:space="preserve">The ninth section is designed to </w:t>
            </w:r>
            <w:r w:rsidR="00F12850" w:rsidRPr="00BD5C4B">
              <w:rPr>
                <w:snapToGrid w:val="0"/>
              </w:rPr>
              <w:t>demonstrate your h</w:t>
            </w:r>
            <w:r w:rsidR="00EE51D7" w:rsidRPr="00BD5C4B">
              <w:rPr>
                <w:snapToGrid w:val="0"/>
              </w:rPr>
              <w:t>ospital’s performance on six</w:t>
            </w:r>
            <w:r w:rsidR="00F12850" w:rsidRPr="00BD5C4B">
              <w:rPr>
                <w:snapToGrid w:val="0"/>
              </w:rPr>
              <w:t xml:space="preserve"> readmission measures collected and </w:t>
            </w:r>
            <w:r w:rsidR="00614016" w:rsidRPr="00BD5C4B">
              <w:rPr>
                <w:snapToGrid w:val="0"/>
              </w:rPr>
              <w:t>reported</w:t>
            </w:r>
            <w:r w:rsidR="00F12850" w:rsidRPr="00BD5C4B">
              <w:rPr>
                <w:snapToGrid w:val="0"/>
              </w:rPr>
              <w:t xml:space="preserve"> by the Centers for Medicare and Medicaid Services. Responses for this section are pre-populated</w:t>
            </w:r>
            <w:r w:rsidR="00EE51D7" w:rsidRPr="00BD5C4B">
              <w:rPr>
                <w:snapToGrid w:val="0"/>
              </w:rPr>
              <w:t xml:space="preserve"> in the online survey tool. </w:t>
            </w:r>
            <w:r w:rsidR="00007CCE" w:rsidRPr="00BD5C4B">
              <w:rPr>
                <w:snapToGrid w:val="0"/>
              </w:rPr>
              <w:t xml:space="preserve">This section is not applicable </w:t>
            </w:r>
            <w:r w:rsidR="001F28CB">
              <w:rPr>
                <w:snapToGrid w:val="0"/>
              </w:rPr>
              <w:t>to</w:t>
            </w:r>
            <w:r w:rsidR="001F28CB" w:rsidRPr="00BD5C4B">
              <w:rPr>
                <w:snapToGrid w:val="0"/>
              </w:rPr>
              <w:t xml:space="preserve"> </w:t>
            </w:r>
            <w:r w:rsidR="00007CCE" w:rsidRPr="00BD5C4B">
              <w:rPr>
                <w:snapToGrid w:val="0"/>
              </w:rPr>
              <w:t>pediatric hospital</w:t>
            </w:r>
            <w:r w:rsidR="00270163" w:rsidRPr="00BD5C4B">
              <w:rPr>
                <w:snapToGrid w:val="0"/>
              </w:rPr>
              <w:t>s.</w:t>
            </w:r>
          </w:p>
        </w:tc>
      </w:tr>
    </w:tbl>
    <w:p w14:paraId="11F5E6E8" w14:textId="77777777" w:rsidR="00716787" w:rsidRDefault="00716787" w:rsidP="00265528">
      <w:pPr>
        <w:rPr>
          <w:snapToGrid w:val="0"/>
        </w:rPr>
      </w:pPr>
    </w:p>
    <w:p w14:paraId="21A81438" w14:textId="77777777" w:rsidR="0085320B" w:rsidRDefault="0085320B" w:rsidP="0085320B">
      <w:pPr>
        <w:pStyle w:val="FactSheetText"/>
      </w:pPr>
      <w:r w:rsidRPr="000E5654">
        <w:rPr>
          <w:rFonts w:ascii="Arial" w:hAnsi="Arial" w:cs="Arial"/>
          <w:b/>
          <w:snapToGrid w:val="0"/>
          <w:sz w:val="20"/>
          <w:szCs w:val="20"/>
        </w:rPr>
        <w:t xml:space="preserve">Section </w:t>
      </w:r>
      <w:r w:rsidR="002D698F" w:rsidRPr="000E5654">
        <w:rPr>
          <w:rFonts w:ascii="Arial" w:hAnsi="Arial" w:cs="Arial"/>
          <w:b/>
          <w:snapToGrid w:val="0"/>
          <w:sz w:val="20"/>
          <w:szCs w:val="20"/>
        </w:rPr>
        <w:t>one, as well as section</w:t>
      </w:r>
      <w:r w:rsidR="00F2209B">
        <w:rPr>
          <w:rFonts w:ascii="Arial" w:hAnsi="Arial" w:cs="Arial"/>
          <w:b/>
          <w:snapToGrid w:val="0"/>
          <w:sz w:val="20"/>
          <w:szCs w:val="20"/>
        </w:rPr>
        <w:t>s</w:t>
      </w:r>
      <w:r w:rsidR="002D698F" w:rsidRPr="000E5654">
        <w:rPr>
          <w:rFonts w:ascii="Arial" w:hAnsi="Arial" w:cs="Arial"/>
          <w:b/>
          <w:snapToGrid w:val="0"/>
          <w:sz w:val="20"/>
          <w:szCs w:val="20"/>
        </w:rPr>
        <w:t xml:space="preserve"> </w:t>
      </w:r>
      <w:r w:rsidRPr="000E5654">
        <w:rPr>
          <w:rFonts w:ascii="Arial" w:hAnsi="Arial" w:cs="Arial"/>
          <w:b/>
          <w:snapToGrid w:val="0"/>
          <w:sz w:val="20"/>
          <w:szCs w:val="20"/>
        </w:rPr>
        <w:t>two, three, five, or six are required in order to submit a Leapfrog Hospital Survey.</w:t>
      </w:r>
      <w:r w:rsidRPr="0085320B">
        <w:rPr>
          <w:rFonts w:ascii="Arial" w:hAnsi="Arial" w:cs="Arial"/>
          <w:snapToGrid w:val="0"/>
          <w:sz w:val="20"/>
          <w:szCs w:val="20"/>
        </w:rPr>
        <w:t xml:space="preserve"> Hospitals are strongly urged to submit all sections of the Leapfrog Hospital Survey that </w:t>
      </w:r>
      <w:r w:rsidRPr="00257F86">
        <w:rPr>
          <w:rFonts w:ascii="Arial" w:hAnsi="Arial" w:cs="Arial"/>
          <w:snapToGrid w:val="0"/>
          <w:sz w:val="20"/>
          <w:szCs w:val="20"/>
        </w:rPr>
        <w:t xml:space="preserve">are applicable to their facility. </w:t>
      </w:r>
      <w:r w:rsidRPr="00257F86">
        <w:rPr>
          <w:rFonts w:ascii="Arial" w:hAnsi="Arial" w:cs="Arial"/>
          <w:sz w:val="20"/>
          <w:szCs w:val="20"/>
        </w:rPr>
        <w:t xml:space="preserve">For a more detailed overview of the </w:t>
      </w:r>
      <w:r w:rsidR="004F68CC" w:rsidRPr="00257F86">
        <w:rPr>
          <w:rFonts w:ascii="Arial" w:hAnsi="Arial" w:cs="Arial"/>
          <w:sz w:val="20"/>
          <w:szCs w:val="20"/>
        </w:rPr>
        <w:t>2016</w:t>
      </w:r>
      <w:r w:rsidRPr="00257F86">
        <w:rPr>
          <w:rFonts w:ascii="Arial" w:hAnsi="Arial" w:cs="Arial"/>
          <w:sz w:val="20"/>
          <w:szCs w:val="20"/>
        </w:rPr>
        <w:t xml:space="preserve"> Leapfrog Hospital Survey, including a crosswalk of nationally endorsed measures and a description of how measures are publicly reported on the Leapfrog Hospital Survey Results Website, </w:t>
      </w:r>
      <w:r w:rsidR="00257F86" w:rsidRPr="00257F86">
        <w:rPr>
          <w:rFonts w:ascii="Arial" w:hAnsi="Arial" w:cs="Arial"/>
          <w:sz w:val="20"/>
          <w:szCs w:val="20"/>
        </w:rPr>
        <w:t xml:space="preserve">visit </w:t>
      </w:r>
      <w:hyperlink r:id="rId22" w:history="1">
        <w:r w:rsidR="00257F86" w:rsidRPr="00257F86">
          <w:rPr>
            <w:rStyle w:val="Hyperlink"/>
            <w:rFonts w:ascii="Arial" w:hAnsi="Arial" w:cs="Arial"/>
            <w:sz w:val="20"/>
            <w:szCs w:val="20"/>
          </w:rPr>
          <w:t>http://leapfroggroup.org/survey-materials/get-started</w:t>
        </w:r>
      </w:hyperlink>
      <w:r w:rsidR="00257F86" w:rsidRPr="00257F86">
        <w:rPr>
          <w:rFonts w:ascii="Arial" w:hAnsi="Arial" w:cs="Arial"/>
          <w:sz w:val="20"/>
          <w:szCs w:val="20"/>
        </w:rPr>
        <w:t>.</w:t>
      </w:r>
      <w:r w:rsidR="00257F86">
        <w:t xml:space="preserve"> </w:t>
      </w:r>
    </w:p>
    <w:p w14:paraId="481C7C30" w14:textId="77777777" w:rsidR="00257F86" w:rsidRDefault="00257F86" w:rsidP="0085320B">
      <w:pPr>
        <w:pStyle w:val="FactSheetText"/>
      </w:pPr>
    </w:p>
    <w:p w14:paraId="07D52119" w14:textId="77777777" w:rsidR="00257F86" w:rsidRPr="00F4794D" w:rsidRDefault="00257F86" w:rsidP="00257F86">
      <w:r w:rsidRPr="00F4794D">
        <w:t xml:space="preserve">For background information about the Leapfrog Hospital Survey, including Fact Sheets, Bibliographies, and White Papers, visit </w:t>
      </w:r>
      <w:hyperlink r:id="rId23" w:history="1">
        <w:r w:rsidRPr="00EE24D9">
          <w:rPr>
            <w:rStyle w:val="Hyperlink"/>
          </w:rPr>
          <w:t>http://leapfroggroup.org/ratings-reports/survey-content</w:t>
        </w:r>
      </w:hyperlink>
      <w:r w:rsidRPr="00F4794D">
        <w:t xml:space="preserve">. </w:t>
      </w:r>
    </w:p>
    <w:p w14:paraId="16635F87" w14:textId="77777777" w:rsidR="00257F86" w:rsidRDefault="00257F86" w:rsidP="0085320B">
      <w:pPr>
        <w:pStyle w:val="FactSheetText"/>
        <w:rPr>
          <w:rFonts w:ascii="Arial" w:hAnsi="Arial" w:cs="Arial"/>
          <w:snapToGrid w:val="0"/>
          <w:sz w:val="20"/>
          <w:szCs w:val="20"/>
        </w:rPr>
      </w:pPr>
    </w:p>
    <w:p w14:paraId="7D546E4B" w14:textId="77777777" w:rsidR="00257F86" w:rsidRDefault="00257F86" w:rsidP="0085320B">
      <w:pPr>
        <w:pStyle w:val="FactSheetText"/>
        <w:rPr>
          <w:rFonts w:ascii="Arial" w:hAnsi="Arial" w:cs="Arial"/>
          <w:snapToGrid w:val="0"/>
          <w:sz w:val="20"/>
          <w:szCs w:val="20"/>
        </w:rPr>
      </w:pPr>
    </w:p>
    <w:p w14:paraId="2B18328D" w14:textId="77777777" w:rsidR="00257F86" w:rsidRDefault="00257F86" w:rsidP="0085320B">
      <w:pPr>
        <w:pStyle w:val="FactSheetText"/>
        <w:rPr>
          <w:rFonts w:ascii="Arial" w:hAnsi="Arial" w:cs="Arial"/>
          <w:snapToGrid w:val="0"/>
          <w:sz w:val="20"/>
          <w:szCs w:val="20"/>
        </w:rPr>
      </w:pPr>
    </w:p>
    <w:p w14:paraId="5A581613" w14:textId="77777777" w:rsidR="00257F86" w:rsidRPr="0085320B" w:rsidRDefault="00257F86" w:rsidP="0085320B">
      <w:pPr>
        <w:pStyle w:val="FactSheetText"/>
        <w:rPr>
          <w:rFonts w:ascii="Arial" w:hAnsi="Arial" w:cs="Arial"/>
          <w:snapToGrid w:val="0"/>
          <w:sz w:val="20"/>
          <w:szCs w:val="20"/>
        </w:rPr>
      </w:pPr>
    </w:p>
    <w:p w14:paraId="0053C25B" w14:textId="77777777" w:rsidR="0085320B" w:rsidRPr="0085320B" w:rsidRDefault="0085320B" w:rsidP="0010643F">
      <w:pPr>
        <w:rPr>
          <w:rFonts w:cs="Arial"/>
          <w:snapToGrid w:val="0"/>
        </w:rPr>
      </w:pPr>
    </w:p>
    <w:p w14:paraId="2853BC4E" w14:textId="77777777" w:rsidR="0010643F" w:rsidRDefault="00863752" w:rsidP="0010643F">
      <w:pPr>
        <w:rPr>
          <w:snapToGrid w:val="0"/>
        </w:rPr>
      </w:pPr>
      <w:r>
        <w:rPr>
          <w:snapToGrid w:val="0"/>
        </w:rPr>
        <w:t xml:space="preserve">Each of the nine survey </w:t>
      </w:r>
      <w:r w:rsidR="00B0355B">
        <w:rPr>
          <w:snapToGrid w:val="0"/>
        </w:rPr>
        <w:t>sections</w:t>
      </w:r>
      <w:r w:rsidR="0010643F">
        <w:rPr>
          <w:snapToGrid w:val="0"/>
        </w:rPr>
        <w:t xml:space="preserve"> is organized in the same format</w:t>
      </w:r>
      <w:r w:rsidR="00B0355B">
        <w:rPr>
          <w:snapToGrid w:val="0"/>
        </w:rPr>
        <w:t xml:space="preserve"> in the hard </w:t>
      </w:r>
      <w:r w:rsidR="00627405">
        <w:rPr>
          <w:snapToGrid w:val="0"/>
        </w:rPr>
        <w:t>copy of the survey</w:t>
      </w:r>
      <w:r w:rsidR="0010643F">
        <w:rPr>
          <w:snapToGrid w:val="0"/>
        </w:rPr>
        <w:t>:</w:t>
      </w:r>
    </w:p>
    <w:p w14:paraId="2F6BCC5D" w14:textId="77777777" w:rsidR="00B0355B" w:rsidRDefault="00B0355B" w:rsidP="0010643F">
      <w:pPr>
        <w:rPr>
          <w:snapToGrid w:val="0"/>
        </w:rPr>
      </w:pPr>
    </w:p>
    <w:p w14:paraId="558BCD59" w14:textId="77777777" w:rsidR="0010643F" w:rsidRPr="00BF09C2" w:rsidRDefault="0010643F" w:rsidP="00ED58C1">
      <w:pPr>
        <w:pStyle w:val="ListParagraph"/>
        <w:numPr>
          <w:ilvl w:val="0"/>
          <w:numId w:val="64"/>
        </w:numPr>
        <w:rPr>
          <w:snapToGrid w:val="0"/>
        </w:rPr>
      </w:pPr>
      <w:r w:rsidRPr="00BF09C2">
        <w:rPr>
          <w:b/>
          <w:snapToGrid w:val="0"/>
          <w:u w:val="single"/>
        </w:rPr>
        <w:t>General information</w:t>
      </w:r>
      <w:r w:rsidRPr="00BF09C2">
        <w:rPr>
          <w:snapToGrid w:val="0"/>
        </w:rPr>
        <w:t xml:space="preserve"> about The </w:t>
      </w:r>
      <w:r w:rsidR="00BF27F1" w:rsidRPr="00BF09C2">
        <w:rPr>
          <w:snapToGrid w:val="0"/>
        </w:rPr>
        <w:t>Leapfrog Group standard [</w:t>
      </w:r>
      <w:r w:rsidRPr="00BF09C2">
        <w:rPr>
          <w:snapToGrid w:val="0"/>
        </w:rPr>
        <w:t>hard</w:t>
      </w:r>
      <w:r w:rsidR="00BF27F1" w:rsidRPr="00BF09C2">
        <w:rPr>
          <w:snapToGrid w:val="0"/>
        </w:rPr>
        <w:t xml:space="preserve"> </w:t>
      </w:r>
      <w:r w:rsidRPr="00BF09C2">
        <w:rPr>
          <w:snapToGrid w:val="0"/>
        </w:rPr>
        <w:t xml:space="preserve">copy only]. </w:t>
      </w:r>
    </w:p>
    <w:p w14:paraId="6F51A6B2" w14:textId="77777777" w:rsidR="0010643F" w:rsidRPr="00BF09C2" w:rsidRDefault="0010643F" w:rsidP="00ED58C1">
      <w:pPr>
        <w:pStyle w:val="ListParagraph"/>
        <w:numPr>
          <w:ilvl w:val="0"/>
          <w:numId w:val="64"/>
        </w:numPr>
        <w:rPr>
          <w:snapToGrid w:val="0"/>
        </w:rPr>
      </w:pPr>
      <w:r w:rsidRPr="00BF09C2">
        <w:rPr>
          <w:b/>
          <w:snapToGrid w:val="0"/>
          <w:u w:val="single"/>
        </w:rPr>
        <w:t>Reporting periods</w:t>
      </w:r>
      <w:r w:rsidRPr="00BF09C2">
        <w:rPr>
          <w:snapToGrid w:val="0"/>
        </w:rPr>
        <w:t xml:space="preserve"> to provide hospitals with specific periods of time for each set of questions</w:t>
      </w:r>
      <w:r w:rsidR="00283A08">
        <w:rPr>
          <w:snapToGrid w:val="0"/>
        </w:rPr>
        <w:t>.</w:t>
      </w:r>
      <w:r w:rsidRPr="00BF09C2">
        <w:rPr>
          <w:snapToGrid w:val="0"/>
        </w:rPr>
        <w:t xml:space="preserve"> </w:t>
      </w:r>
    </w:p>
    <w:p w14:paraId="2A74F2ED" w14:textId="77777777" w:rsidR="0010643F" w:rsidRPr="00BF09C2" w:rsidRDefault="0010643F" w:rsidP="00ED58C1">
      <w:pPr>
        <w:pStyle w:val="ListParagraph"/>
        <w:numPr>
          <w:ilvl w:val="0"/>
          <w:numId w:val="64"/>
        </w:numPr>
        <w:rPr>
          <w:snapToGrid w:val="0"/>
        </w:rPr>
      </w:pPr>
      <w:r w:rsidRPr="00BF09C2">
        <w:rPr>
          <w:b/>
          <w:snapToGrid w:val="0"/>
          <w:u w:val="single"/>
        </w:rPr>
        <w:t>Survey questions</w:t>
      </w:r>
      <w:r w:rsidRPr="00BF09C2">
        <w:rPr>
          <w:snapToGrid w:val="0"/>
        </w:rPr>
        <w:t xml:space="preserve"> </w:t>
      </w:r>
      <w:r w:rsidR="00270163">
        <w:rPr>
          <w:snapToGrid w:val="0"/>
        </w:rPr>
        <w:t>which may include references to end</w:t>
      </w:r>
      <w:r w:rsidRPr="00BF09C2">
        <w:rPr>
          <w:snapToGrid w:val="0"/>
        </w:rPr>
        <w:t xml:space="preserve">notes. </w:t>
      </w:r>
      <w:r w:rsidR="00270163">
        <w:rPr>
          <w:snapToGrid w:val="0"/>
        </w:rPr>
        <w:t>The survey questions and end</w:t>
      </w:r>
      <w:r w:rsidRPr="00BF09C2">
        <w:rPr>
          <w:snapToGrid w:val="0"/>
        </w:rPr>
        <w:t xml:space="preserve">notes match the online survey tool exactly. </w:t>
      </w:r>
    </w:p>
    <w:p w14:paraId="6398361A" w14:textId="77777777" w:rsidR="0010643F" w:rsidRPr="00BF09C2" w:rsidRDefault="0010643F" w:rsidP="00ED58C1">
      <w:pPr>
        <w:pStyle w:val="ListParagraph"/>
        <w:numPr>
          <w:ilvl w:val="0"/>
          <w:numId w:val="64"/>
        </w:numPr>
        <w:rPr>
          <w:snapToGrid w:val="0"/>
        </w:rPr>
      </w:pPr>
      <w:r w:rsidRPr="00BF09C2">
        <w:rPr>
          <w:b/>
          <w:snapToGrid w:val="0"/>
          <w:u w:val="single"/>
        </w:rPr>
        <w:t>Affirmation of accuracy</w:t>
      </w:r>
      <w:r w:rsidR="005E0CCA">
        <w:rPr>
          <w:snapToGrid w:val="0"/>
        </w:rPr>
        <w:t xml:space="preserve"> by your hospital’s CEO/</w:t>
      </w:r>
      <w:r w:rsidR="00283A08">
        <w:rPr>
          <w:snapToGrid w:val="0"/>
        </w:rPr>
        <w:t>C</w:t>
      </w:r>
      <w:r w:rsidR="00283A08" w:rsidRPr="00BF09C2">
        <w:rPr>
          <w:snapToGrid w:val="0"/>
        </w:rPr>
        <w:t xml:space="preserve">hief </w:t>
      </w:r>
      <w:r w:rsidR="00283A08">
        <w:rPr>
          <w:snapToGrid w:val="0"/>
        </w:rPr>
        <w:t>A</w:t>
      </w:r>
      <w:r w:rsidRPr="00BF09C2">
        <w:rPr>
          <w:snapToGrid w:val="0"/>
        </w:rPr>
        <w:t xml:space="preserve">dministrative </w:t>
      </w:r>
      <w:r w:rsidR="00283A08">
        <w:rPr>
          <w:snapToGrid w:val="0"/>
        </w:rPr>
        <w:t>O</w:t>
      </w:r>
      <w:r w:rsidRPr="00BF09C2">
        <w:rPr>
          <w:snapToGrid w:val="0"/>
        </w:rPr>
        <w:t xml:space="preserve">fficer or </w:t>
      </w:r>
      <w:r>
        <w:t>by an individual that ha</w:t>
      </w:r>
      <w:r w:rsidR="005E0CCA">
        <w:t xml:space="preserve">s been designated </w:t>
      </w:r>
      <w:r>
        <w:t>by the hospital CEO</w:t>
      </w:r>
      <w:r w:rsidRPr="00BF09C2">
        <w:rPr>
          <w:snapToGrid w:val="0"/>
        </w:rPr>
        <w:t>. These statements affirm the a</w:t>
      </w:r>
      <w:r w:rsidR="005E0CCA">
        <w:rPr>
          <w:snapToGrid w:val="0"/>
        </w:rPr>
        <w:t>ccuracy of your hospital’s responses</w:t>
      </w:r>
      <w:r w:rsidRPr="00BF09C2">
        <w:rPr>
          <w:snapToGrid w:val="0"/>
        </w:rPr>
        <w:t>.</w:t>
      </w:r>
    </w:p>
    <w:p w14:paraId="616072A3" w14:textId="77777777" w:rsidR="0010643F" w:rsidRPr="00283A08" w:rsidRDefault="0010643F" w:rsidP="00ED58C1">
      <w:pPr>
        <w:pStyle w:val="ListParagraph"/>
        <w:numPr>
          <w:ilvl w:val="0"/>
          <w:numId w:val="64"/>
        </w:numPr>
        <w:rPr>
          <w:b/>
          <w:snapToGrid w:val="0"/>
          <w:u w:val="single"/>
        </w:rPr>
      </w:pPr>
      <w:r w:rsidRPr="00BF09C2">
        <w:rPr>
          <w:b/>
          <w:snapToGrid w:val="0"/>
          <w:u w:val="single"/>
        </w:rPr>
        <w:t xml:space="preserve">Reference </w:t>
      </w:r>
      <w:r w:rsidR="004802A3">
        <w:rPr>
          <w:b/>
          <w:snapToGrid w:val="0"/>
          <w:u w:val="single"/>
        </w:rPr>
        <w:t>i</w:t>
      </w:r>
      <w:r w:rsidRPr="00BF09C2">
        <w:rPr>
          <w:b/>
          <w:snapToGrid w:val="0"/>
          <w:u w:val="single"/>
        </w:rPr>
        <w:t>nformation</w:t>
      </w:r>
      <w:r w:rsidRPr="00BF09C2">
        <w:rPr>
          <w:snapToGrid w:val="0"/>
        </w:rPr>
        <w:t xml:space="preserve"> which includes ‘What’s New’ and ‘C</w:t>
      </w:r>
      <w:r w:rsidR="005E0CCA">
        <w:rPr>
          <w:snapToGrid w:val="0"/>
        </w:rPr>
        <w:t>hange Summaries</w:t>
      </w:r>
      <w:r w:rsidRPr="00BF09C2">
        <w:rPr>
          <w:snapToGrid w:val="0"/>
        </w:rPr>
        <w:t>,</w:t>
      </w:r>
      <w:r w:rsidR="005E0CCA">
        <w:rPr>
          <w:snapToGrid w:val="0"/>
        </w:rPr>
        <w:t>’</w:t>
      </w:r>
      <w:r w:rsidRPr="00BF09C2">
        <w:rPr>
          <w:snapToGrid w:val="0"/>
        </w:rPr>
        <w:t xml:space="preserve"> important measure specifications, answers to </w:t>
      </w:r>
      <w:r w:rsidR="00283A08">
        <w:rPr>
          <w:snapToGrid w:val="0"/>
        </w:rPr>
        <w:t>frequently</w:t>
      </w:r>
      <w:r w:rsidR="00283A08" w:rsidRPr="00BF09C2">
        <w:rPr>
          <w:snapToGrid w:val="0"/>
        </w:rPr>
        <w:t xml:space="preserve"> </w:t>
      </w:r>
      <w:r w:rsidRPr="00BF09C2">
        <w:rPr>
          <w:snapToGrid w:val="0"/>
        </w:rPr>
        <w:t>asked questions, and other notes that must be carefully reviewed before providing response</w:t>
      </w:r>
      <w:r w:rsidR="00283A08">
        <w:rPr>
          <w:snapToGrid w:val="0"/>
        </w:rPr>
        <w:t>s</w:t>
      </w:r>
      <w:r w:rsidRPr="00BF09C2">
        <w:rPr>
          <w:snapToGrid w:val="0"/>
        </w:rPr>
        <w:t xml:space="preserve"> to any of the survey questions</w:t>
      </w:r>
      <w:r w:rsidR="00BF27F1" w:rsidRPr="00BF09C2">
        <w:rPr>
          <w:snapToGrid w:val="0"/>
        </w:rPr>
        <w:t xml:space="preserve"> [hard copy only]</w:t>
      </w:r>
      <w:r w:rsidRPr="00BF09C2">
        <w:rPr>
          <w:snapToGrid w:val="0"/>
        </w:rPr>
        <w:t xml:space="preserve">. </w:t>
      </w:r>
    </w:p>
    <w:p w14:paraId="4C1AC655" w14:textId="77777777" w:rsidR="00283A08" w:rsidRPr="00BF09C2" w:rsidRDefault="00283A08" w:rsidP="00283A08">
      <w:pPr>
        <w:pStyle w:val="ListParagraph"/>
        <w:rPr>
          <w:b/>
          <w:snapToGrid w:val="0"/>
          <w:u w:val="single"/>
        </w:rPr>
      </w:pPr>
    </w:p>
    <w:p w14:paraId="3A379308" w14:textId="77777777" w:rsidR="00627405" w:rsidRDefault="00627405" w:rsidP="00D25999">
      <w:r>
        <w:t>The online survey tool will only include the reporting periods</w:t>
      </w:r>
      <w:r w:rsidR="00EF6A70">
        <w:t xml:space="preserve">, </w:t>
      </w:r>
      <w:r>
        <w:t xml:space="preserve">survey questions, endnotes, and the affirmation of accuracy following each section. General information and reference information are not included in the online survey tool. </w:t>
      </w:r>
    </w:p>
    <w:p w14:paraId="01105FD2" w14:textId="77777777" w:rsidR="00627405" w:rsidRDefault="00627405" w:rsidP="00D25999"/>
    <w:p w14:paraId="6C389A75" w14:textId="77777777" w:rsidR="00D25999" w:rsidRPr="005C3E54" w:rsidRDefault="00D25999" w:rsidP="00D25999">
      <w:r>
        <w:t xml:space="preserve">In addition </w:t>
      </w:r>
      <w:r w:rsidR="00BF7ACA">
        <w:t xml:space="preserve">to the survey questions, </w:t>
      </w:r>
      <w:r w:rsidR="00863752">
        <w:t xml:space="preserve">adult </w:t>
      </w:r>
      <w:r>
        <w:t>hospitals that indicate they have a CPOE system in at least one inpatient unit are asked to demonstrate</w:t>
      </w:r>
      <w:r w:rsidR="00EF6A70">
        <w:t>,</w:t>
      </w:r>
      <w:r>
        <w:t xml:space="preserve"> via a test, that the inpatient CPOE system can alert physicians to at least 50% of common serious prescribing errors in a majority of medication </w:t>
      </w:r>
      <w:r w:rsidR="00EF6A70">
        <w:t xml:space="preserve">order </w:t>
      </w:r>
      <w:r>
        <w:t xml:space="preserve">checking categories. </w:t>
      </w:r>
      <w:r w:rsidR="00863752">
        <w:t>Adult h</w:t>
      </w:r>
      <w:r>
        <w:t>ospitals cannot access the CPOE Evaluation Tool until they have completed, affirmed, and submitted Section 2 CPOE of the online survey. More information about the CPOE Evaluation Tool</w:t>
      </w:r>
      <w:r w:rsidR="007B1741">
        <w:t>,</w:t>
      </w:r>
      <w:r>
        <w:t xml:space="preserve"> including instructions, scoring, and FAQs are </w:t>
      </w:r>
      <w:r w:rsidRPr="000E5654">
        <w:t>avai</w:t>
      </w:r>
      <w:r w:rsidR="008C4F84">
        <w:t xml:space="preserve">lable at </w:t>
      </w:r>
      <w:hyperlink r:id="rId24" w:history="1">
        <w:r w:rsidR="008C4F84" w:rsidRPr="00EE24D9">
          <w:rPr>
            <w:rStyle w:val="Hyperlink"/>
          </w:rPr>
          <w:t>http://leapfroggroup.org/survey-materials/prepare-cpoe-tool</w:t>
        </w:r>
      </w:hyperlink>
      <w:r w:rsidR="008C4F84">
        <w:t xml:space="preserve">. </w:t>
      </w:r>
    </w:p>
    <w:p w14:paraId="528A69EC" w14:textId="77777777" w:rsidR="00D25999" w:rsidRDefault="00D25999" w:rsidP="00221026"/>
    <w:p w14:paraId="230E6C03" w14:textId="77777777" w:rsidR="00221026" w:rsidRPr="00221026" w:rsidRDefault="00221026" w:rsidP="00221026">
      <w:pPr>
        <w:rPr>
          <w:snapToGrid w:val="0"/>
        </w:rPr>
      </w:pPr>
      <w:r w:rsidRPr="00221026">
        <w:t>Any changes made to the measure specifications in the middle of the survey cycle will be reflected in the hard copy of the survey in the Reference Information</w:t>
      </w:r>
      <w:r>
        <w:t xml:space="preserve"> sections under the ‘Change Summary’ header (see </w:t>
      </w:r>
      <w:r w:rsidRPr="00221026">
        <w:t>Table of Contents</w:t>
      </w:r>
      <w:r>
        <w:t>).</w:t>
      </w:r>
      <w:r w:rsidR="007B1741">
        <w:t xml:space="preserve"> </w:t>
      </w:r>
      <w:r>
        <w:t xml:space="preserve">In addition, the updates to the specifications will be highlighted in yellow. If the changes are substantial, we will email the survey contact your hospital indicated in the profile section of the survey. If the notification is sent before your hospital submits a </w:t>
      </w:r>
      <w:r w:rsidR="004F68CC">
        <w:t>2016</w:t>
      </w:r>
      <w:r>
        <w:t xml:space="preserve"> Leapfrog Hospital Survey, the email will go to the survey contact provided in the last survey submitted in the 201</w:t>
      </w:r>
      <w:r w:rsidR="00614016">
        <w:t>5</w:t>
      </w:r>
      <w:r>
        <w:t xml:space="preserve"> survey cycle. </w:t>
      </w:r>
      <w:r w:rsidRPr="00221026">
        <w:rPr>
          <w:rFonts w:cs="Arial"/>
          <w:color w:val="FF0000"/>
        </w:rPr>
        <w:t xml:space="preserve"> </w:t>
      </w:r>
    </w:p>
    <w:p w14:paraId="7B526A6E" w14:textId="77777777" w:rsidR="00221026" w:rsidRDefault="00221026" w:rsidP="0010643F">
      <w:pPr>
        <w:rPr>
          <w:snapToGrid w:val="0"/>
        </w:rPr>
      </w:pPr>
    </w:p>
    <w:p w14:paraId="23C9F8C5" w14:textId="77777777" w:rsidR="0010643F" w:rsidRDefault="0010643F" w:rsidP="0010643F">
      <w:pPr>
        <w:rPr>
          <w:snapToGrid w:val="0"/>
        </w:rPr>
      </w:pPr>
      <w:r>
        <w:rPr>
          <w:snapToGrid w:val="0"/>
        </w:rPr>
        <w:t>The Leapfrog Group and its participating members are committed to presenting information that is as current as possible, and therefore allow hospitals to update and re-submit their survey up until December 31</w:t>
      </w:r>
      <w:r w:rsidRPr="00293F23">
        <w:rPr>
          <w:snapToGrid w:val="0"/>
          <w:vertAlign w:val="superscript"/>
        </w:rPr>
        <w:t>st</w:t>
      </w:r>
      <w:r>
        <w:rPr>
          <w:snapToGrid w:val="0"/>
        </w:rPr>
        <w:t>. Please carefully review the reporting periods in each section before updating your survey. Leapfrog Hospital Survey Results are updated monthly beginning on July 25</w:t>
      </w:r>
      <w:r w:rsidRPr="00E14E1A">
        <w:rPr>
          <w:snapToGrid w:val="0"/>
          <w:vertAlign w:val="superscript"/>
        </w:rPr>
        <w:t>th</w:t>
      </w:r>
      <w:r>
        <w:rPr>
          <w:snapToGrid w:val="0"/>
        </w:rPr>
        <w:t xml:space="preserve"> at Leapfrog’s public reporting website</w:t>
      </w:r>
      <w:r w:rsidR="007B1741">
        <w:rPr>
          <w:snapToGrid w:val="0"/>
        </w:rPr>
        <w:t>,</w:t>
      </w:r>
      <w:r>
        <w:rPr>
          <w:snapToGrid w:val="0"/>
        </w:rPr>
        <w:t xml:space="preserve"> </w:t>
      </w:r>
      <w:hyperlink r:id="rId25" w:history="1">
        <w:r w:rsidR="001036BE" w:rsidRPr="00EE24D9">
          <w:rPr>
            <w:rStyle w:val="Hyperlink"/>
            <w:snapToGrid w:val="0"/>
          </w:rPr>
          <w:t>http://leapfroggroup.org/compare-hospitals</w:t>
        </w:r>
      </w:hyperlink>
      <w:r w:rsidR="001036BE">
        <w:rPr>
          <w:rStyle w:val="Hyperlink"/>
          <w:snapToGrid w:val="0"/>
          <w:u w:val="none"/>
        </w:rPr>
        <w:t xml:space="preserve">. </w:t>
      </w:r>
      <w:r>
        <w:rPr>
          <w:rStyle w:val="Hyperlink"/>
          <w:snapToGrid w:val="0"/>
          <w:color w:val="auto"/>
          <w:u w:val="none"/>
        </w:rPr>
        <w:t>Hospitals are required</w:t>
      </w:r>
      <w:r>
        <w:rPr>
          <w:snapToGrid w:val="0"/>
        </w:rPr>
        <w:t xml:space="preserve"> to update the information in t</w:t>
      </w:r>
      <w:r w:rsidR="00CE67E3">
        <w:rPr>
          <w:snapToGrid w:val="0"/>
        </w:rPr>
        <w:t>heir</w:t>
      </w:r>
      <w:r>
        <w:rPr>
          <w:snapToGrid w:val="0"/>
        </w:rPr>
        <w:t xml:space="preserve"> survey within 30 days of any change in status. We reserve the right to decertify information that is not current.</w:t>
      </w:r>
    </w:p>
    <w:p w14:paraId="16596C52" w14:textId="77777777" w:rsidR="00EC23A5" w:rsidRDefault="00EC23A5" w:rsidP="0010643F">
      <w:pPr>
        <w:rPr>
          <w:snapToGrid w:val="0"/>
        </w:rPr>
      </w:pPr>
    </w:p>
    <w:p w14:paraId="7F9D3597" w14:textId="2B329D9A" w:rsidR="00EC23A5" w:rsidRDefault="00EC23A5" w:rsidP="00EC23A5">
      <w:r>
        <w:t xml:space="preserve">Leapfrog is committed to ensuring the accuracy of Leapfrog Hospital Survey results. Please review our protocols at: </w:t>
      </w:r>
      <w:hyperlink r:id="rId26" w:history="1">
        <w:r w:rsidR="00BB7F28" w:rsidRPr="008A2989">
          <w:rPr>
            <w:rStyle w:val="Hyperlink"/>
          </w:rPr>
          <w:t>http://www.leapfroggroup.org/survey-materials/data-accuracy</w:t>
        </w:r>
      </w:hyperlink>
      <w:r>
        <w:t xml:space="preserve">. </w:t>
      </w:r>
    </w:p>
    <w:p w14:paraId="4D1DDDB6" w14:textId="77777777" w:rsidR="00EC23A5" w:rsidRDefault="00EC23A5" w:rsidP="0010643F">
      <w:pPr>
        <w:rPr>
          <w:snapToGrid w:val="0"/>
        </w:rPr>
      </w:pPr>
    </w:p>
    <w:p w14:paraId="0DCF72B3" w14:textId="77777777" w:rsidR="0010643F" w:rsidRDefault="0010643F" w:rsidP="0010643F">
      <w:pPr>
        <w:rPr>
          <w:snapToGrid w:val="0"/>
          <w:highlight w:val="yellow"/>
        </w:rPr>
      </w:pPr>
    </w:p>
    <w:p w14:paraId="6A6FFFDC" w14:textId="77777777" w:rsidR="006F7B4B" w:rsidRPr="00B41914" w:rsidRDefault="008A0BD1" w:rsidP="006F7B4B">
      <w:pPr>
        <w:rPr>
          <w:b/>
          <w:sz w:val="28"/>
          <w:u w:val="single"/>
          <w:lang w:eastAsia="ja-JP"/>
        </w:rPr>
      </w:pPr>
      <w:r>
        <w:br w:type="page"/>
      </w:r>
    </w:p>
    <w:p w14:paraId="65B79C05" w14:textId="77777777" w:rsidR="0010643F" w:rsidRPr="00B41914" w:rsidRDefault="00B76006" w:rsidP="00954B73">
      <w:pPr>
        <w:pStyle w:val="Heading2"/>
      </w:pPr>
      <w:bookmarkStart w:id="6" w:name="_Toc447194950"/>
      <w:r>
        <w:lastRenderedPageBreak/>
        <w:t>Pre-Submission Checklist</w:t>
      </w:r>
      <w:bookmarkEnd w:id="6"/>
      <w:r w:rsidR="00834A44">
        <w:t xml:space="preserve"> </w:t>
      </w:r>
    </w:p>
    <w:p w14:paraId="4FE96ABF" w14:textId="77777777" w:rsidR="0010643F" w:rsidRDefault="0010643F" w:rsidP="007A44CB">
      <w:pPr>
        <w:pStyle w:val="Heading3"/>
        <w:rPr>
          <w:snapToGrid w:val="0"/>
        </w:rPr>
      </w:pPr>
    </w:p>
    <w:p w14:paraId="48B0EFB0" w14:textId="77777777" w:rsidR="0010643F" w:rsidRDefault="00E02F8B" w:rsidP="0010643F">
      <w:pPr>
        <w:rPr>
          <w:snapToGrid w:val="0"/>
        </w:rPr>
      </w:pPr>
      <w:r>
        <w:rPr>
          <w:snapToGrid w:val="0"/>
        </w:rPr>
        <w:t xml:space="preserve">Before you </w:t>
      </w:r>
      <w:r w:rsidR="00834A44">
        <w:rPr>
          <w:snapToGrid w:val="0"/>
        </w:rPr>
        <w:t>complete and submit</w:t>
      </w:r>
      <w:r>
        <w:rPr>
          <w:snapToGrid w:val="0"/>
        </w:rPr>
        <w:t xml:space="preserve"> the online survey tool, there are a number of steps every hospital shoul</w:t>
      </w:r>
      <w:r w:rsidR="00B76006">
        <w:rPr>
          <w:snapToGrid w:val="0"/>
        </w:rPr>
        <w:t>d complete</w:t>
      </w:r>
      <w:r>
        <w:rPr>
          <w:snapToGrid w:val="0"/>
        </w:rPr>
        <w:t>:</w:t>
      </w:r>
    </w:p>
    <w:p w14:paraId="46E805A9" w14:textId="77777777" w:rsidR="00E02F8B" w:rsidRDefault="00E02F8B" w:rsidP="0010643F">
      <w:pPr>
        <w:rPr>
          <w:snapToGrid w:val="0"/>
        </w:rPr>
      </w:pPr>
    </w:p>
    <w:p w14:paraId="4E2DEC40" w14:textId="77777777" w:rsidR="00D86EA9" w:rsidRPr="00D86EA9" w:rsidRDefault="00501FCC" w:rsidP="00ED58C1">
      <w:pPr>
        <w:numPr>
          <w:ilvl w:val="0"/>
          <w:numId w:val="46"/>
        </w:numPr>
        <w:tabs>
          <w:tab w:val="num" w:pos="360"/>
        </w:tabs>
        <w:ind w:left="360"/>
        <w:rPr>
          <w:snapToGrid w:val="0"/>
        </w:rPr>
      </w:pPr>
      <w:r>
        <w:rPr>
          <w:b/>
          <w:snapToGrid w:val="0"/>
        </w:rPr>
        <w:t xml:space="preserve">Visit the survey website </w:t>
      </w:r>
      <w:r w:rsidR="00CF01F4">
        <w:rPr>
          <w:b/>
          <w:snapToGrid w:val="0"/>
        </w:rPr>
        <w:t xml:space="preserve">pages </w:t>
      </w:r>
      <w:r>
        <w:rPr>
          <w:b/>
          <w:snapToGrid w:val="0"/>
        </w:rPr>
        <w:t>at</w:t>
      </w:r>
      <w:r w:rsidR="00CF01F4">
        <w:rPr>
          <w:b/>
          <w:snapToGrid w:val="0"/>
        </w:rPr>
        <w:t xml:space="preserve"> </w:t>
      </w:r>
      <w:hyperlink r:id="rId27" w:history="1">
        <w:r w:rsidR="00CF01F4" w:rsidRPr="00BB6F9E">
          <w:rPr>
            <w:rStyle w:val="Hyperlink"/>
            <w:snapToGrid w:val="0"/>
          </w:rPr>
          <w:t>http://leapfroggroup.org/survey</w:t>
        </w:r>
      </w:hyperlink>
      <w:r>
        <w:rPr>
          <w:b/>
          <w:snapToGrid w:val="0"/>
        </w:rPr>
        <w:t>.</w:t>
      </w:r>
      <w:r w:rsidR="00CF01F4">
        <w:rPr>
          <w:b/>
          <w:snapToGrid w:val="0"/>
        </w:rPr>
        <w:t xml:space="preserve"> </w:t>
      </w:r>
    </w:p>
    <w:p w14:paraId="52CD3482" w14:textId="77777777" w:rsidR="00D86EA9" w:rsidRDefault="00D86EA9" w:rsidP="00D86EA9">
      <w:pPr>
        <w:ind w:left="360"/>
        <w:rPr>
          <w:snapToGrid w:val="0"/>
        </w:rPr>
      </w:pPr>
    </w:p>
    <w:p w14:paraId="2564303A" w14:textId="0195EF08" w:rsidR="001338CC" w:rsidRPr="00D86EA9" w:rsidRDefault="00D5582E" w:rsidP="00ED58C1">
      <w:pPr>
        <w:numPr>
          <w:ilvl w:val="0"/>
          <w:numId w:val="46"/>
        </w:numPr>
        <w:tabs>
          <w:tab w:val="num" w:pos="360"/>
        </w:tabs>
        <w:ind w:left="360"/>
        <w:rPr>
          <w:snapToGrid w:val="0"/>
        </w:rPr>
      </w:pPr>
      <w:r w:rsidRPr="00D86EA9">
        <w:rPr>
          <w:b/>
          <w:snapToGrid w:val="0"/>
        </w:rPr>
        <w:t>Make sure you have a 16-digit security code</w:t>
      </w:r>
      <w:r w:rsidR="001E56BE" w:rsidRPr="00D86EA9">
        <w:rPr>
          <w:snapToGrid w:val="0"/>
        </w:rPr>
        <w:t>. If you don’t,</w:t>
      </w:r>
      <w:r w:rsidR="00EC5468">
        <w:rPr>
          <w:snapToGrid w:val="0"/>
        </w:rPr>
        <w:t xml:space="preserve"> download</w:t>
      </w:r>
      <w:r w:rsidRPr="00D86EA9">
        <w:rPr>
          <w:snapToGrid w:val="0"/>
        </w:rPr>
        <w:t xml:space="preserve"> a Security Code Request Form</w:t>
      </w:r>
      <w:r w:rsidR="001338CC" w:rsidRPr="00D86EA9">
        <w:rPr>
          <w:snapToGrid w:val="0"/>
        </w:rPr>
        <w:t xml:space="preserve"> which can be found at </w:t>
      </w:r>
      <w:hyperlink r:id="rId28" w:history="1">
        <w:r w:rsidR="001338CC" w:rsidRPr="00D86EA9">
          <w:rPr>
            <w:rStyle w:val="Hyperlink"/>
            <w:snapToGrid w:val="0"/>
          </w:rPr>
          <w:t>http://leapfroggroup.org/survey-materials/security-code</w:t>
        </w:r>
      </w:hyperlink>
      <w:r w:rsidR="001338CC" w:rsidRPr="00D86EA9">
        <w:rPr>
          <w:snapToGrid w:val="0"/>
        </w:rPr>
        <w:t xml:space="preserve">. </w:t>
      </w:r>
      <w:r w:rsidR="005237CA" w:rsidRPr="00D86EA9">
        <w:rPr>
          <w:snapToGrid w:val="0"/>
        </w:rPr>
        <w:t xml:space="preserve">If your hospital is part of a multi-hospital healthcare system, </w:t>
      </w:r>
      <w:r w:rsidR="005237CA" w:rsidRPr="00F4794D">
        <w:t xml:space="preserve">you will need to </w:t>
      </w:r>
      <w:r w:rsidR="005237CA">
        <w:t xml:space="preserve">a separate security code for each </w:t>
      </w:r>
      <w:r w:rsidR="005237CA" w:rsidRPr="00F4794D">
        <w:t xml:space="preserve">individual hospital within the system. Please refer to Leapfrog’s Multi-Campus Hospital Reporting Policy at </w:t>
      </w:r>
      <w:hyperlink r:id="rId29" w:history="1">
        <w:r w:rsidR="005237CA" w:rsidRPr="00EE24D9">
          <w:rPr>
            <w:rStyle w:val="Hyperlink"/>
          </w:rPr>
          <w:t>http://leapfroggroup.org/survey-materials/get-started</w:t>
        </w:r>
      </w:hyperlink>
      <w:r w:rsidR="005237CA" w:rsidRPr="00F4794D">
        <w:t xml:space="preserve">. </w:t>
      </w:r>
    </w:p>
    <w:p w14:paraId="0F9AE21D" w14:textId="77777777" w:rsidR="001338CC" w:rsidRDefault="001338CC" w:rsidP="001338CC">
      <w:pPr>
        <w:pStyle w:val="ListParagraph"/>
        <w:rPr>
          <w:b/>
          <w:snapToGrid w:val="0"/>
        </w:rPr>
      </w:pPr>
    </w:p>
    <w:p w14:paraId="43E11920" w14:textId="77777777" w:rsidR="001338CC" w:rsidRDefault="0010643F" w:rsidP="00ED58C1">
      <w:pPr>
        <w:numPr>
          <w:ilvl w:val="0"/>
          <w:numId w:val="46"/>
        </w:numPr>
        <w:tabs>
          <w:tab w:val="num" w:pos="360"/>
        </w:tabs>
        <w:ind w:left="360"/>
        <w:rPr>
          <w:snapToGrid w:val="0"/>
        </w:rPr>
      </w:pPr>
      <w:r w:rsidRPr="001338CC">
        <w:rPr>
          <w:b/>
          <w:snapToGrid w:val="0"/>
        </w:rPr>
        <w:t>Download a hard copy of the survey</w:t>
      </w:r>
      <w:r w:rsidR="001338CC" w:rsidRPr="001338CC">
        <w:rPr>
          <w:snapToGrid w:val="0"/>
        </w:rPr>
        <w:t xml:space="preserve"> at </w:t>
      </w:r>
      <w:hyperlink r:id="rId30" w:history="1">
        <w:r w:rsidR="001338CC" w:rsidRPr="001338CC">
          <w:rPr>
            <w:rStyle w:val="Hyperlink"/>
            <w:snapToGrid w:val="0"/>
          </w:rPr>
          <w:t>http://leapfroggroup.org/survey-materials/survey-and-cpoe-materials</w:t>
        </w:r>
      </w:hyperlink>
      <w:r w:rsidR="001338CC" w:rsidRPr="001338CC">
        <w:rPr>
          <w:snapToGrid w:val="0"/>
        </w:rPr>
        <w:t xml:space="preserve">. </w:t>
      </w:r>
      <w:r w:rsidR="00E02F8B" w:rsidRPr="001338CC">
        <w:rPr>
          <w:snapToGrid w:val="0"/>
        </w:rPr>
        <w:t xml:space="preserve">Read through the </w:t>
      </w:r>
      <w:r w:rsidR="00E02F8B" w:rsidRPr="001338CC">
        <w:rPr>
          <w:snapToGrid w:val="0"/>
          <w:u w:val="single"/>
        </w:rPr>
        <w:t>entire survey</w:t>
      </w:r>
      <w:r w:rsidRPr="001338CC">
        <w:rPr>
          <w:snapToGrid w:val="0"/>
          <w:u w:val="single"/>
        </w:rPr>
        <w:t xml:space="preserve"> </w:t>
      </w:r>
      <w:r w:rsidR="00760EB2" w:rsidRPr="001338CC">
        <w:rPr>
          <w:snapToGrid w:val="0"/>
          <w:u w:val="single"/>
        </w:rPr>
        <w:t>document</w:t>
      </w:r>
      <w:r w:rsidR="00760EB2" w:rsidRPr="001338CC">
        <w:rPr>
          <w:snapToGrid w:val="0"/>
        </w:rPr>
        <w:t xml:space="preserve"> </w:t>
      </w:r>
      <w:r w:rsidRPr="001338CC">
        <w:rPr>
          <w:snapToGrid w:val="0"/>
        </w:rPr>
        <w:t>to ensure that you understan</w:t>
      </w:r>
      <w:r w:rsidR="001338CC">
        <w:rPr>
          <w:snapToGrid w:val="0"/>
        </w:rPr>
        <w:t>d what information is required.</w:t>
      </w:r>
    </w:p>
    <w:p w14:paraId="2D8DA902" w14:textId="77777777" w:rsidR="001338CC" w:rsidRDefault="001338CC" w:rsidP="001338CC">
      <w:pPr>
        <w:pStyle w:val="ListParagraph"/>
        <w:rPr>
          <w:b/>
        </w:rPr>
      </w:pPr>
    </w:p>
    <w:p w14:paraId="2E997709" w14:textId="77777777" w:rsidR="0010643F" w:rsidRPr="001338CC" w:rsidRDefault="0010643F" w:rsidP="00ED58C1">
      <w:pPr>
        <w:numPr>
          <w:ilvl w:val="0"/>
          <w:numId w:val="46"/>
        </w:numPr>
        <w:tabs>
          <w:tab w:val="num" w:pos="360"/>
        </w:tabs>
        <w:ind w:left="360"/>
        <w:rPr>
          <w:snapToGrid w:val="0"/>
        </w:rPr>
      </w:pPr>
      <w:r w:rsidRPr="001338CC">
        <w:rPr>
          <w:b/>
        </w:rPr>
        <w:t xml:space="preserve">Review the </w:t>
      </w:r>
      <w:r w:rsidR="00FB3132" w:rsidRPr="001338CC">
        <w:rPr>
          <w:b/>
        </w:rPr>
        <w:t>reference information</w:t>
      </w:r>
      <w:r>
        <w:t xml:space="preserve"> provided </w:t>
      </w:r>
      <w:r w:rsidR="00E02F8B">
        <w:t xml:space="preserve">in each section of </w:t>
      </w:r>
      <w:r>
        <w:t>th</w:t>
      </w:r>
      <w:r w:rsidR="00926CFF">
        <w:t>e survey</w:t>
      </w:r>
      <w:r>
        <w:t xml:space="preserve"> document and also downloa</w:t>
      </w:r>
      <w:r w:rsidR="00220448">
        <w:t>d other supporting materials</w:t>
      </w:r>
      <w:r w:rsidR="001338CC">
        <w:t xml:space="preserve"> from </w:t>
      </w:r>
      <w:hyperlink r:id="rId31" w:history="1">
        <w:r w:rsidR="001338CC" w:rsidRPr="00EE24D9">
          <w:rPr>
            <w:rStyle w:val="Hyperlink"/>
          </w:rPr>
          <w:t>http://leapfroggroup.org/survey-materials/survey-and-cpoe-materials</w:t>
        </w:r>
      </w:hyperlink>
      <w:r w:rsidR="001338CC">
        <w:t xml:space="preserve">. </w:t>
      </w:r>
      <w:r>
        <w:t>Th</w:t>
      </w:r>
      <w:r w:rsidR="00220448">
        <w:t>ese documents</w:t>
      </w:r>
      <w:r w:rsidR="00ED4FAB">
        <w:t xml:space="preserve"> and tools</w:t>
      </w:r>
      <w:r w:rsidR="00220448">
        <w:t xml:space="preserve"> contain information that you</w:t>
      </w:r>
      <w:r>
        <w:t xml:space="preserve"> will need to </w:t>
      </w:r>
      <w:r w:rsidR="00FB3132">
        <w:t xml:space="preserve">accurately </w:t>
      </w:r>
      <w:r>
        <w:t>respond to the survey questions.</w:t>
      </w:r>
    </w:p>
    <w:p w14:paraId="50786EC8" w14:textId="77777777" w:rsidR="00220448" w:rsidRPr="00220448" w:rsidRDefault="00220448" w:rsidP="00220448">
      <w:pPr>
        <w:rPr>
          <w:b/>
          <w:i/>
        </w:rPr>
      </w:pPr>
    </w:p>
    <w:p w14:paraId="373ED8AE" w14:textId="77777777" w:rsidR="00834A44" w:rsidRDefault="00834A44" w:rsidP="00ED58C1">
      <w:pPr>
        <w:numPr>
          <w:ilvl w:val="0"/>
          <w:numId w:val="46"/>
        </w:numPr>
        <w:tabs>
          <w:tab w:val="num" w:pos="360"/>
        </w:tabs>
        <w:ind w:left="360"/>
        <w:rPr>
          <w:snapToGrid w:val="0"/>
        </w:rPr>
      </w:pPr>
      <w:r w:rsidRPr="00834A44">
        <w:rPr>
          <w:b/>
          <w:snapToGrid w:val="0"/>
        </w:rPr>
        <w:t>Identify individuals from your hospital to help you</w:t>
      </w:r>
      <w:r>
        <w:rPr>
          <w:snapToGrid w:val="0"/>
        </w:rPr>
        <w:t xml:space="preserve"> gather the data you </w:t>
      </w:r>
      <w:r w:rsidR="00840E07">
        <w:rPr>
          <w:snapToGrid w:val="0"/>
        </w:rPr>
        <w:t xml:space="preserve">will </w:t>
      </w:r>
      <w:r>
        <w:rPr>
          <w:snapToGrid w:val="0"/>
        </w:rPr>
        <w:t>need to complete t</w:t>
      </w:r>
      <w:r w:rsidR="00926CFF">
        <w:rPr>
          <w:snapToGrid w:val="0"/>
        </w:rPr>
        <w:t>he</w:t>
      </w:r>
      <w:r>
        <w:rPr>
          <w:snapToGrid w:val="0"/>
        </w:rPr>
        <w:t xml:space="preserve"> various sections of the survey. </w:t>
      </w:r>
    </w:p>
    <w:p w14:paraId="010B65E1" w14:textId="77777777" w:rsidR="003C0228" w:rsidRDefault="003C0228" w:rsidP="004610C1">
      <w:pPr>
        <w:rPr>
          <w:snapToGrid w:val="0"/>
        </w:rPr>
      </w:pPr>
    </w:p>
    <w:p w14:paraId="2D5013F9" w14:textId="77777777" w:rsidR="00905C82" w:rsidRDefault="004045F6" w:rsidP="00ED58C1">
      <w:pPr>
        <w:numPr>
          <w:ilvl w:val="0"/>
          <w:numId w:val="46"/>
        </w:numPr>
        <w:tabs>
          <w:tab w:val="num" w:pos="360"/>
        </w:tabs>
        <w:ind w:left="360"/>
        <w:rPr>
          <w:snapToGrid w:val="0"/>
        </w:rPr>
      </w:pPr>
      <w:r>
        <w:rPr>
          <w:b/>
          <w:snapToGrid w:val="0"/>
        </w:rPr>
        <w:t xml:space="preserve">Complete a hard </w:t>
      </w:r>
      <w:r w:rsidR="005F3BD2">
        <w:rPr>
          <w:b/>
          <w:snapToGrid w:val="0"/>
        </w:rPr>
        <w:t xml:space="preserve">copy </w:t>
      </w:r>
      <w:r w:rsidR="00834A44" w:rsidRPr="007A6593">
        <w:rPr>
          <w:b/>
          <w:snapToGrid w:val="0"/>
        </w:rPr>
        <w:t>of the survey</w:t>
      </w:r>
      <w:r>
        <w:rPr>
          <w:b/>
          <w:snapToGrid w:val="0"/>
        </w:rPr>
        <w:t xml:space="preserve"> before you log into the online survey tool</w:t>
      </w:r>
      <w:r w:rsidR="00834A44">
        <w:rPr>
          <w:snapToGrid w:val="0"/>
        </w:rPr>
        <w:t xml:space="preserve">. </w:t>
      </w:r>
      <w:r w:rsidR="0010643F">
        <w:rPr>
          <w:snapToGrid w:val="0"/>
        </w:rPr>
        <w:t>This will expedite the online</w:t>
      </w:r>
      <w:r w:rsidR="00834A44">
        <w:rPr>
          <w:snapToGrid w:val="0"/>
        </w:rPr>
        <w:t xml:space="preserve"> completion and </w:t>
      </w:r>
      <w:r w:rsidR="00840E07">
        <w:rPr>
          <w:snapToGrid w:val="0"/>
        </w:rPr>
        <w:t xml:space="preserve">help to </w:t>
      </w:r>
      <w:r w:rsidR="00834A44">
        <w:rPr>
          <w:snapToGrid w:val="0"/>
        </w:rPr>
        <w:t>avoid the online survey tool</w:t>
      </w:r>
      <w:r w:rsidR="0010643F">
        <w:rPr>
          <w:snapToGrid w:val="0"/>
        </w:rPr>
        <w:t xml:space="preserve"> "timing out" after 20 minutes of idle time (a security precaution). Once all </w:t>
      </w:r>
      <w:r>
        <w:rPr>
          <w:snapToGrid w:val="0"/>
        </w:rPr>
        <w:t xml:space="preserve">of the </w:t>
      </w:r>
      <w:r w:rsidR="0010643F">
        <w:rPr>
          <w:snapToGrid w:val="0"/>
        </w:rPr>
        <w:t>information has been collected</w:t>
      </w:r>
      <w:r>
        <w:rPr>
          <w:snapToGrid w:val="0"/>
        </w:rPr>
        <w:t xml:space="preserve"> and recorded in the hard copy of the survey, the CEO or his/her designee</w:t>
      </w:r>
      <w:r w:rsidR="0010643F">
        <w:rPr>
          <w:snapToGrid w:val="0"/>
        </w:rPr>
        <w:t xml:space="preserve"> can typically complete t</w:t>
      </w:r>
      <w:r w:rsidR="00ED4FAB">
        <w:rPr>
          <w:snapToGrid w:val="0"/>
        </w:rPr>
        <w:t>he survey online in less than 60</w:t>
      </w:r>
      <w:r w:rsidR="0010643F">
        <w:rPr>
          <w:snapToGrid w:val="0"/>
        </w:rPr>
        <w:t xml:space="preserve"> minutes from the hardcopy record. Please note, responses can only be submitted using the online survey tool.</w:t>
      </w:r>
    </w:p>
    <w:p w14:paraId="741B09E0" w14:textId="77777777" w:rsidR="00777CF3" w:rsidRDefault="00777CF3" w:rsidP="00777CF3">
      <w:pPr>
        <w:pStyle w:val="ListParagraph"/>
        <w:rPr>
          <w:snapToGrid w:val="0"/>
        </w:rPr>
      </w:pPr>
    </w:p>
    <w:p w14:paraId="4C56DA96" w14:textId="0EC5F6FB" w:rsidR="00777CF3" w:rsidRDefault="00777CF3" w:rsidP="00ED58C1">
      <w:pPr>
        <w:numPr>
          <w:ilvl w:val="0"/>
          <w:numId w:val="46"/>
        </w:numPr>
        <w:tabs>
          <w:tab w:val="num" w:pos="360"/>
        </w:tabs>
        <w:ind w:left="360"/>
        <w:rPr>
          <w:snapToGrid w:val="0"/>
        </w:rPr>
      </w:pPr>
      <w:r w:rsidRPr="00777CF3">
        <w:rPr>
          <w:b/>
          <w:snapToGrid w:val="0"/>
        </w:rPr>
        <w:t>Download and review a copy of the Quick Start Guide</w:t>
      </w:r>
      <w:r>
        <w:rPr>
          <w:snapToGrid w:val="0"/>
        </w:rPr>
        <w:t xml:space="preserve"> at </w:t>
      </w:r>
      <w:hyperlink r:id="rId32" w:history="1">
        <w:r w:rsidRPr="00F74357">
          <w:rPr>
            <w:rStyle w:val="Hyperlink"/>
          </w:rPr>
          <w:t>http://leapfroggroup.org/survey-materials/get-started</w:t>
        </w:r>
      </w:hyperlink>
      <w:r>
        <w:t xml:space="preserve">. This document includes important instructions on how to navigate the new online survey tool. </w:t>
      </w:r>
      <w:r w:rsidR="00EC5468">
        <w:t>(Will not be available until April 15th)</w:t>
      </w:r>
    </w:p>
    <w:p w14:paraId="3B0C86A2" w14:textId="77777777" w:rsidR="00905C82" w:rsidRPr="00905C82" w:rsidRDefault="00905C82" w:rsidP="00905C82">
      <w:pPr>
        <w:ind w:left="360"/>
        <w:rPr>
          <w:snapToGrid w:val="0"/>
        </w:rPr>
      </w:pPr>
    </w:p>
    <w:p w14:paraId="6A95BC08" w14:textId="77777777" w:rsidR="00ED474B" w:rsidRDefault="0012573C" w:rsidP="00ED58C1">
      <w:pPr>
        <w:numPr>
          <w:ilvl w:val="0"/>
          <w:numId w:val="46"/>
        </w:numPr>
        <w:tabs>
          <w:tab w:val="num" w:pos="360"/>
        </w:tabs>
        <w:ind w:left="360"/>
        <w:rPr>
          <w:snapToGrid w:val="0"/>
        </w:rPr>
      </w:pPr>
      <w:r w:rsidRPr="00905C82">
        <w:rPr>
          <w:b/>
        </w:rPr>
        <w:t xml:space="preserve">Check survey deadlines. </w:t>
      </w:r>
      <w:r>
        <w:t>Always be sure to check survey deadlines before you begin</w:t>
      </w:r>
      <w:r w:rsidR="00840E07">
        <w:t>, which</w:t>
      </w:r>
      <w:r w:rsidR="00905C82">
        <w:t xml:space="preserve"> are posted at </w:t>
      </w:r>
      <w:hyperlink r:id="rId33" w:history="1">
        <w:r w:rsidR="00840E07" w:rsidRPr="00840E07">
          <w:rPr>
            <w:rStyle w:val="Hyperlink"/>
          </w:rPr>
          <w:t>http://leapfroggroup.org/survey-materials/deadlines</w:t>
        </w:r>
      </w:hyperlink>
      <w:r w:rsidR="00905C82">
        <w:t xml:space="preserve">. </w:t>
      </w:r>
      <w:r>
        <w:t>Ensure that you have enough time to collect the data, complete a hard copy of the survey, and complete and submit the online survey. In addition, for hospitals that have CPOE in at least one inpatient unit, make sure you have enough time to take a Sample and Adult I</w:t>
      </w:r>
      <w:r w:rsidR="001E56BE">
        <w:t xml:space="preserve">npatient CPOE Evaluation Tool. Visit </w:t>
      </w:r>
      <w:hyperlink r:id="rId34" w:history="1">
        <w:r w:rsidR="00905C82" w:rsidRPr="00EE24D9">
          <w:rPr>
            <w:rStyle w:val="Hyperlink"/>
          </w:rPr>
          <w:t>http://leapfroggroup.org/survey-materials/prepare-cpoe-tool</w:t>
        </w:r>
      </w:hyperlink>
      <w:r w:rsidR="001E56BE">
        <w:t xml:space="preserve"> for more information. </w:t>
      </w:r>
    </w:p>
    <w:p w14:paraId="0D5B6E2E" w14:textId="77777777" w:rsidR="00ED474B" w:rsidRDefault="00ED474B" w:rsidP="00ED474B">
      <w:pPr>
        <w:pStyle w:val="ListParagraph"/>
        <w:rPr>
          <w:b/>
          <w:snapToGrid w:val="0"/>
        </w:rPr>
      </w:pPr>
    </w:p>
    <w:p w14:paraId="079E8413" w14:textId="55683251" w:rsidR="00ED474B" w:rsidRPr="00ED474B" w:rsidRDefault="00ED474B" w:rsidP="00BB7F28">
      <w:pPr>
        <w:numPr>
          <w:ilvl w:val="0"/>
          <w:numId w:val="46"/>
        </w:numPr>
        <w:rPr>
          <w:snapToGrid w:val="0"/>
        </w:rPr>
      </w:pPr>
      <w:r w:rsidRPr="00ED474B">
        <w:rPr>
          <w:b/>
          <w:snapToGrid w:val="0"/>
        </w:rPr>
        <w:t>Review Leapfrog’s policies and procedures regarding data accuracy</w:t>
      </w:r>
      <w:r w:rsidRPr="00ED474B">
        <w:rPr>
          <w:snapToGrid w:val="0"/>
        </w:rPr>
        <w:t xml:space="preserve">. Detailed information can be found at </w:t>
      </w:r>
      <w:hyperlink r:id="rId35" w:history="1">
        <w:r w:rsidR="00BB7F28" w:rsidRPr="008A2989">
          <w:rPr>
            <w:rStyle w:val="Hyperlink"/>
          </w:rPr>
          <w:t>http://www.leapfroggroup.org/survey-materials/data-accuracy</w:t>
        </w:r>
      </w:hyperlink>
      <w:r w:rsidRPr="00ED474B">
        <w:rPr>
          <w:snapToGrid w:val="0"/>
        </w:rPr>
        <w:t xml:space="preserve">. </w:t>
      </w:r>
    </w:p>
    <w:p w14:paraId="673D8A91" w14:textId="77777777" w:rsidR="00992808" w:rsidRPr="00193223" w:rsidRDefault="00992808" w:rsidP="00992808">
      <w:pPr>
        <w:rPr>
          <w:snapToGrid w:val="0"/>
        </w:rPr>
      </w:pPr>
    </w:p>
    <w:p w14:paraId="3EF9C952" w14:textId="77777777" w:rsidR="00ED4FAB" w:rsidRDefault="00ED474B">
      <w:pPr>
        <w:rPr>
          <w:b/>
          <w:sz w:val="28"/>
          <w:u w:val="single"/>
          <w:lang w:eastAsia="ja-JP"/>
        </w:rPr>
      </w:pPr>
      <w:r>
        <w:rPr>
          <w:noProof/>
        </w:rPr>
        <mc:AlternateContent>
          <mc:Choice Requires="wps">
            <w:drawing>
              <wp:anchor distT="0" distB="0" distL="114300" distR="114300" simplePos="0" relativeHeight="251643904" behindDoc="0" locked="0" layoutInCell="1" allowOverlap="1" wp14:anchorId="6DEC68D3" wp14:editId="217E479D">
                <wp:simplePos x="0" y="0"/>
                <wp:positionH relativeFrom="margin">
                  <wp:align>center</wp:align>
                </wp:positionH>
                <wp:positionV relativeFrom="margin">
                  <wp:posOffset>7086600</wp:posOffset>
                </wp:positionV>
                <wp:extent cx="5059680" cy="1266825"/>
                <wp:effectExtent l="0" t="0" r="26670" b="28575"/>
                <wp:wrapSquare wrapText="bothSides"/>
                <wp:docPr id="1" name="Text Box 1"/>
                <wp:cNvGraphicFramePr/>
                <a:graphic xmlns:a="http://schemas.openxmlformats.org/drawingml/2006/main">
                  <a:graphicData uri="http://schemas.microsoft.com/office/word/2010/wordprocessingShape">
                    <wps:wsp>
                      <wps:cNvSpPr txBox="1"/>
                      <wps:spPr>
                        <a:xfrm>
                          <a:off x="0" y="0"/>
                          <a:ext cx="5059680" cy="126682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19D64E" w14:textId="77777777" w:rsidR="00C31AC3" w:rsidRDefault="00C31AC3" w:rsidP="00A2034C">
                            <w:pPr>
                              <w:spacing w:before="120"/>
                            </w:pPr>
                            <w:r w:rsidRPr="00ED4FAB">
                              <w:rPr>
                                <w:b/>
                              </w:rPr>
                              <w:t>New in 2016!</w:t>
                            </w:r>
                            <w:r>
                              <w:rPr>
                                <w:b/>
                              </w:rPr>
                              <w:br/>
                            </w:r>
                            <w:r>
                              <w:t xml:space="preserve">The Leapfrog Hospital Survey Binder was developed to assist hospitals that have been selected for On-Site Data Verification. </w:t>
                            </w:r>
                          </w:p>
                          <w:p w14:paraId="1B3F22B7" w14:textId="77777777" w:rsidR="00C31AC3" w:rsidRDefault="00C31AC3"/>
                          <w:p w14:paraId="602378AE" w14:textId="201FAE32" w:rsidR="00C31AC3" w:rsidRPr="00ED4FAB" w:rsidRDefault="00C31AC3">
                            <w:r>
                              <w:t xml:space="preserve">However, all hospitals can utilize the binder to assist in organizing the documentation used to complete the survey. A copy of the binder materials can be found at </w:t>
                            </w:r>
                            <w:hyperlink r:id="rId36" w:history="1">
                              <w:r w:rsidRPr="00CF0CF0">
                                <w:rPr>
                                  <w:rStyle w:val="Hyperlink"/>
                                </w:rPr>
                                <w:t>http://leapfroggroup.org/survey-materials/survey-and-cpoe-materials</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58pt;width:398.4pt;height:99.75pt;z-index:251643904;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" fillcolor="white [3201]" strokecolor="#9bbb59 [3206]" strokeweight="2pt">
                <v:textbox>
                  <w:txbxContent>
                    <w:p w14:paraId="1519D64E" w14:textId="77777777" w:rsidR="00C31AC3" w:rsidRDefault="00C31AC3" w:rsidP="00A2034C">
                      <w:pPr>
                        <w:spacing w:before="120"/>
                      </w:pPr>
                      <w:r w:rsidRPr="00ED4FAB">
                        <w:rPr>
                          <w:b/>
                        </w:rPr>
                        <w:t>New in 2016!</w:t>
                      </w:r>
                      <w:r>
                        <w:rPr>
                          <w:b/>
                        </w:rPr>
                        <w:br/>
                      </w:r>
                      <w:r>
                        <w:t xml:space="preserve">The Leapfrog Hospital Survey Binder was developed to assist hospitals that have been selected for On-Site Data Verification. </w:t>
                      </w:r>
                    </w:p>
                    <w:p w14:paraId="1B3F22B7" w14:textId="77777777" w:rsidR="00C31AC3" w:rsidRDefault="00C31AC3"/>
                    <w:p w14:paraId="602378AE" w14:textId="201FAE32" w:rsidR="00C31AC3" w:rsidRPr="00ED4FAB" w:rsidRDefault="00C31AC3">
                      <w:r>
                        <w:t xml:space="preserve">However, all hospitals can utilize the binder to assist in organizing the documentation used to complete the survey. A copy of the binder materials can be found at </w:t>
                      </w:r>
                      <w:hyperlink r:id="rId37" w:history="1">
                        <w:r w:rsidRPr="00CF0CF0">
                          <w:rPr>
                            <w:rStyle w:val="Hyperlink"/>
                          </w:rPr>
                          <w:t>http://leapfroggroup.org/survey-materials/survey-and-cpoe-materials</w:t>
                        </w:r>
                      </w:hyperlink>
                      <w:r>
                        <w:t xml:space="preserve">. </w:t>
                      </w:r>
                    </w:p>
                  </w:txbxContent>
                </v:textbox>
                <w10:wrap type="square" anchorx="margin" anchory="margin"/>
              </v:shape>
            </w:pict>
          </mc:Fallback>
        </mc:AlternateContent>
      </w:r>
      <w:r w:rsidR="00ED4FAB">
        <w:br w:type="page"/>
      </w:r>
    </w:p>
    <w:p w14:paraId="0FAD372B" w14:textId="77777777" w:rsidR="0010643F" w:rsidRPr="00284E03" w:rsidRDefault="00E748C5" w:rsidP="00954B73">
      <w:pPr>
        <w:pStyle w:val="Heading2"/>
        <w:rPr>
          <w:i/>
          <w:sz w:val="24"/>
          <w:szCs w:val="24"/>
        </w:rPr>
      </w:pPr>
      <w:bookmarkStart w:id="7" w:name="_Toc447194951"/>
      <w:r>
        <w:lastRenderedPageBreak/>
        <w:t>Instructions for Submitting a Leapfrog Hospital Survey</w:t>
      </w:r>
      <w:bookmarkEnd w:id="7"/>
    </w:p>
    <w:p w14:paraId="032A2113" w14:textId="77777777" w:rsidR="00E748C5" w:rsidRDefault="00E748C5" w:rsidP="0010643F">
      <w:pPr>
        <w:rPr>
          <w:b/>
          <w:i/>
          <w:sz w:val="24"/>
          <w:szCs w:val="24"/>
        </w:rPr>
      </w:pPr>
    </w:p>
    <w:p w14:paraId="02438F14" w14:textId="77777777" w:rsidR="00A02948" w:rsidRDefault="00244C90" w:rsidP="00244C90">
      <w:pPr>
        <w:rPr>
          <w:snapToGrid w:val="0"/>
        </w:rPr>
      </w:pPr>
      <w:r w:rsidRPr="00244C90">
        <w:rPr>
          <w:b/>
          <w:snapToGrid w:val="0"/>
          <w:color w:val="FF0000"/>
        </w:rPr>
        <w:t>Important Note</w:t>
      </w:r>
      <w:r w:rsidR="00A02948">
        <w:rPr>
          <w:b/>
          <w:snapToGrid w:val="0"/>
          <w:color w:val="FF0000"/>
        </w:rPr>
        <w:t>s</w:t>
      </w:r>
      <w:r w:rsidRPr="00244C90">
        <w:rPr>
          <w:b/>
          <w:snapToGrid w:val="0"/>
          <w:color w:val="FF0000"/>
        </w:rPr>
        <w:t>:</w:t>
      </w:r>
      <w:r>
        <w:rPr>
          <w:snapToGrid w:val="0"/>
        </w:rPr>
        <w:t xml:space="preserve"> </w:t>
      </w:r>
    </w:p>
    <w:p w14:paraId="74D49615" w14:textId="77777777" w:rsidR="00A02948" w:rsidRDefault="00A02948" w:rsidP="00244C90">
      <w:pPr>
        <w:rPr>
          <w:snapToGrid w:val="0"/>
        </w:rPr>
      </w:pPr>
    </w:p>
    <w:p w14:paraId="1A8E8DBA" w14:textId="77777777" w:rsidR="00244C90" w:rsidRPr="0066711E" w:rsidRDefault="00A02948" w:rsidP="00244C90">
      <w:r>
        <w:rPr>
          <w:snapToGrid w:val="0"/>
        </w:rPr>
        <w:t xml:space="preserve">Note 1: </w:t>
      </w:r>
      <w:r w:rsidR="007955DF" w:rsidRPr="00244C90">
        <w:rPr>
          <w:snapToGrid w:val="0"/>
        </w:rPr>
        <w:t xml:space="preserve">Leapfrog has moved to a new survey platform. Please carefully review these instructions </w:t>
      </w:r>
      <w:r w:rsidR="00244C90" w:rsidRPr="00244C90">
        <w:rPr>
          <w:snapToGrid w:val="0"/>
        </w:rPr>
        <w:t xml:space="preserve">and the </w:t>
      </w:r>
      <w:hyperlink r:id="rId38" w:history="1">
        <w:r w:rsidR="00244C90" w:rsidRPr="00F81183">
          <w:rPr>
            <w:rStyle w:val="Hyperlink"/>
            <w:b/>
            <w:snapToGrid w:val="0"/>
          </w:rPr>
          <w:t>Quick Start Guide</w:t>
        </w:r>
      </w:hyperlink>
      <w:r w:rsidR="00244C90" w:rsidRPr="00244C90">
        <w:rPr>
          <w:snapToGrid w:val="0"/>
        </w:rPr>
        <w:t xml:space="preserve"> </w:t>
      </w:r>
      <w:r w:rsidR="007955DF" w:rsidRPr="00244C90">
        <w:rPr>
          <w:snapToGrid w:val="0"/>
        </w:rPr>
        <w:t>before you begin</w:t>
      </w:r>
      <w:r w:rsidR="00F81183">
        <w:rPr>
          <w:snapToGrid w:val="0"/>
        </w:rPr>
        <w:t>.</w:t>
      </w:r>
    </w:p>
    <w:p w14:paraId="69DFCC58" w14:textId="77777777" w:rsidR="00244C90" w:rsidRDefault="00244C90" w:rsidP="0010643F">
      <w:pPr>
        <w:rPr>
          <w:snapToGrid w:val="0"/>
        </w:rPr>
      </w:pPr>
    </w:p>
    <w:p w14:paraId="49AF3983" w14:textId="77777777" w:rsidR="0010643F" w:rsidRPr="0066711E" w:rsidRDefault="00A02948" w:rsidP="0010643F">
      <w:pPr>
        <w:rPr>
          <w:snapToGrid w:val="0"/>
        </w:rPr>
      </w:pPr>
      <w:r w:rsidRPr="00BB6F9E">
        <w:rPr>
          <w:snapToGrid w:val="0"/>
        </w:rPr>
        <w:t>Note 2</w:t>
      </w:r>
      <w:r w:rsidR="00244C90" w:rsidRPr="00BB6F9E">
        <w:rPr>
          <w:snapToGrid w:val="0"/>
        </w:rPr>
        <w:t xml:space="preserve">: </w:t>
      </w:r>
      <w:r w:rsidR="00E87ECC">
        <w:rPr>
          <w:snapToGrid w:val="0"/>
        </w:rPr>
        <w:t xml:space="preserve">Each section of the survey must be completed before it can be affirmed in the online survey tool. Only sections that are </w:t>
      </w:r>
      <w:r w:rsidR="00E748C5" w:rsidRPr="0066711E">
        <w:rPr>
          <w:snapToGrid w:val="0"/>
        </w:rPr>
        <w:t>affirmed ca</w:t>
      </w:r>
      <w:r w:rsidR="009A361A">
        <w:rPr>
          <w:snapToGrid w:val="0"/>
        </w:rPr>
        <w:t xml:space="preserve">n be submitted. </w:t>
      </w:r>
      <w:r w:rsidR="00E87ECC">
        <w:rPr>
          <w:snapToGrid w:val="0"/>
        </w:rPr>
        <w:t xml:space="preserve">Hospitals are responsible for ensuring that each submitted section is accurate. </w:t>
      </w:r>
      <w:r w:rsidR="00EA3457">
        <w:rPr>
          <w:b/>
          <w:snapToGrid w:val="0"/>
        </w:rPr>
        <w:t xml:space="preserve"> </w:t>
      </w:r>
    </w:p>
    <w:p w14:paraId="623E45DB" w14:textId="77777777" w:rsidR="0010643F" w:rsidRPr="0066711E" w:rsidRDefault="0010643F" w:rsidP="0010643F"/>
    <w:p w14:paraId="0A0AD8A6" w14:textId="77777777" w:rsidR="0010643F" w:rsidRPr="0066711E" w:rsidRDefault="0010643F" w:rsidP="00ED58C1">
      <w:pPr>
        <w:pStyle w:val="ListParagraph"/>
        <w:numPr>
          <w:ilvl w:val="0"/>
          <w:numId w:val="47"/>
        </w:numPr>
        <w:spacing w:after="120"/>
        <w:contextualSpacing w:val="0"/>
      </w:pPr>
      <w:r w:rsidRPr="0066711E">
        <w:t>L</w:t>
      </w:r>
      <w:r w:rsidR="00837C3E" w:rsidRPr="0066711E">
        <w:t xml:space="preserve">og into the </w:t>
      </w:r>
      <w:r w:rsidR="00837C3E" w:rsidRPr="00AC17D1">
        <w:t xml:space="preserve">Survey Dashboard </w:t>
      </w:r>
      <w:r w:rsidRPr="00AC17D1">
        <w:t>using</w:t>
      </w:r>
      <w:r w:rsidRPr="0066711E">
        <w:t xml:space="preserve"> your 16-digit security code</w:t>
      </w:r>
      <w:r w:rsidR="00F765FB">
        <w:t xml:space="preserve"> at </w:t>
      </w:r>
      <w:hyperlink r:id="rId39" w:history="1">
        <w:r w:rsidR="00BB6F9E" w:rsidRPr="00BB6F9E">
          <w:rPr>
            <w:rStyle w:val="Hyperlink"/>
          </w:rPr>
          <w:t>survey.leapfroggroup.org</w:t>
        </w:r>
      </w:hyperlink>
      <w:r w:rsidR="00F765FB">
        <w:t>.</w:t>
      </w:r>
      <w:r w:rsidR="00BB6F9E">
        <w:t xml:space="preserve"> </w:t>
      </w:r>
      <w:r w:rsidR="00F765FB">
        <w:t xml:space="preserve"> </w:t>
      </w:r>
    </w:p>
    <w:p w14:paraId="5D2615F8" w14:textId="77777777" w:rsidR="0010643F" w:rsidRPr="00AC17D1" w:rsidRDefault="00CC5A68" w:rsidP="00ED58C1">
      <w:pPr>
        <w:pStyle w:val="ListParagraph"/>
        <w:numPr>
          <w:ilvl w:val="0"/>
          <w:numId w:val="47"/>
        </w:numPr>
        <w:spacing w:after="120"/>
        <w:contextualSpacing w:val="0"/>
        <w:rPr>
          <w:b/>
        </w:rPr>
      </w:pPr>
      <w:r>
        <w:t xml:space="preserve">The first time you log into the 2016 Leapfrog Hospital Survey, you will need to complete and save your hospital’s Profile. The Profile includes demographic and contact </w:t>
      </w:r>
      <w:r w:rsidR="0000024C">
        <w:t>information. The Profile</w:t>
      </w:r>
      <w:r>
        <w:t xml:space="preserve"> should be updated throughout the year if </w:t>
      </w:r>
      <w:r w:rsidR="00AC17D1">
        <w:t xml:space="preserve">any information changes. </w:t>
      </w:r>
      <w:r w:rsidR="00A232FD" w:rsidRPr="00AC17D1">
        <w:rPr>
          <w:b/>
        </w:rPr>
        <w:t xml:space="preserve">Failure to </w:t>
      </w:r>
      <w:r w:rsidR="00AC17D1" w:rsidRPr="00AC17D1">
        <w:rPr>
          <w:b/>
        </w:rPr>
        <w:t xml:space="preserve">maintain current </w:t>
      </w:r>
      <w:r w:rsidR="00A232FD" w:rsidRPr="00AC17D1">
        <w:rPr>
          <w:b/>
        </w:rPr>
        <w:t>contact information could result in important, time-sensitive information being sent to the wrong person.</w:t>
      </w:r>
      <w:r w:rsidR="004171C1" w:rsidRPr="00AC17D1">
        <w:rPr>
          <w:b/>
        </w:rPr>
        <w:t xml:space="preserve"> </w:t>
      </w:r>
    </w:p>
    <w:p w14:paraId="1925B7BE" w14:textId="77777777" w:rsidR="00F765FB" w:rsidRPr="00AC17D1" w:rsidRDefault="004171C1" w:rsidP="00ED58C1">
      <w:pPr>
        <w:pStyle w:val="ListParagraph"/>
        <w:numPr>
          <w:ilvl w:val="0"/>
          <w:numId w:val="47"/>
        </w:numPr>
        <w:spacing w:after="120"/>
        <w:contextualSpacing w:val="0"/>
      </w:pPr>
      <w:r w:rsidRPr="0066711E">
        <w:t xml:space="preserve">Once the Profile has been completed and saved, </w:t>
      </w:r>
      <w:r w:rsidR="00F765FB">
        <w:t xml:space="preserve">you will be taken </w:t>
      </w:r>
      <w:r w:rsidR="00F765FB" w:rsidRPr="00AC17D1">
        <w:t xml:space="preserve">to the Survey Dashboard. </w:t>
      </w:r>
    </w:p>
    <w:p w14:paraId="5706B609" w14:textId="77777777" w:rsidR="0010643F" w:rsidRPr="00AC17D1" w:rsidRDefault="00F765FB" w:rsidP="00ED58C1">
      <w:pPr>
        <w:pStyle w:val="ListParagraph"/>
        <w:numPr>
          <w:ilvl w:val="0"/>
          <w:numId w:val="47"/>
        </w:numPr>
        <w:spacing w:after="120"/>
        <w:contextualSpacing w:val="0"/>
      </w:pPr>
      <w:r w:rsidRPr="00AC17D1">
        <w:t xml:space="preserve">You can navigate to sections of the </w:t>
      </w:r>
      <w:r w:rsidR="0010643F" w:rsidRPr="00AC17D1">
        <w:t xml:space="preserve">online survey tool </w:t>
      </w:r>
      <w:r w:rsidRPr="00AC17D1">
        <w:t xml:space="preserve">using the links on the Survey Dashboard. </w:t>
      </w:r>
      <w:r w:rsidR="00BB2A3B" w:rsidRPr="00AC17D1">
        <w:t xml:space="preserve">More information about navigating </w:t>
      </w:r>
      <w:r w:rsidR="00840E07">
        <w:t xml:space="preserve">within </w:t>
      </w:r>
      <w:r w:rsidR="00BB2A3B" w:rsidRPr="00AC17D1">
        <w:t xml:space="preserve">the online survey tool is available in the </w:t>
      </w:r>
      <w:hyperlink r:id="rId40" w:history="1">
        <w:r w:rsidR="00BB2A3B" w:rsidRPr="0074262D">
          <w:rPr>
            <w:rStyle w:val="Hyperlink"/>
            <w:b/>
          </w:rPr>
          <w:t>Quick Start Guide</w:t>
        </w:r>
      </w:hyperlink>
      <w:r w:rsidR="00BB2A3B" w:rsidRPr="00AC17D1">
        <w:t>.</w:t>
      </w:r>
    </w:p>
    <w:p w14:paraId="37825215" w14:textId="77777777" w:rsidR="0010643F" w:rsidRPr="00AC17D1" w:rsidRDefault="0010643F" w:rsidP="00ED58C1">
      <w:pPr>
        <w:pStyle w:val="ListParagraph"/>
        <w:numPr>
          <w:ilvl w:val="0"/>
          <w:numId w:val="47"/>
        </w:numPr>
        <w:spacing w:after="120"/>
        <w:contextualSpacing w:val="0"/>
      </w:pPr>
      <w:r w:rsidRPr="00AC17D1">
        <w:t xml:space="preserve">Answer questions in the applicable sections or update responses to previously submitted </w:t>
      </w:r>
      <w:r w:rsidR="00840E07" w:rsidRPr="00AC17D1">
        <w:t>s</w:t>
      </w:r>
      <w:r w:rsidR="00840E07">
        <w:t>ections</w:t>
      </w:r>
      <w:r w:rsidRPr="00AC17D1">
        <w:t>.</w:t>
      </w:r>
      <w:r w:rsidR="004C2C8C" w:rsidRPr="00AC17D1">
        <w:t xml:space="preserve"> </w:t>
      </w:r>
      <w:r w:rsidR="00F86DF0" w:rsidRPr="00AC17D1">
        <w:t xml:space="preserve">The online survey tool will automatically save your responses as you enter them. There is no ‘save’ button. </w:t>
      </w:r>
    </w:p>
    <w:p w14:paraId="1D93CF2A" w14:textId="77777777" w:rsidR="0010643F" w:rsidRPr="0066711E" w:rsidRDefault="009C3715" w:rsidP="00ED58C1">
      <w:pPr>
        <w:pStyle w:val="ListParagraph"/>
        <w:numPr>
          <w:ilvl w:val="0"/>
          <w:numId w:val="47"/>
        </w:numPr>
        <w:spacing w:after="120"/>
        <w:contextualSpacing w:val="0"/>
      </w:pPr>
      <w:r w:rsidRPr="00AC17D1">
        <w:t>Once you have completed each section of the online survey tool, you will</w:t>
      </w:r>
      <w:r>
        <w:t xml:space="preserve"> need to return to the Survey Dashboard to a</w:t>
      </w:r>
      <w:r w:rsidR="0010643F" w:rsidRPr="0066711E">
        <w:t>f</w:t>
      </w:r>
      <w:r w:rsidR="00907E44" w:rsidRPr="0066711E">
        <w:t>firm each section of the survey. Please remember</w:t>
      </w:r>
      <w:r w:rsidR="0010643F" w:rsidRPr="0066711E">
        <w:t xml:space="preserve"> that if </w:t>
      </w:r>
      <w:r w:rsidR="0074262D">
        <w:t xml:space="preserve">you are </w:t>
      </w:r>
      <w:r w:rsidR="0010643F" w:rsidRPr="0066711E">
        <w:t>making updates, all updated sections must be re-affirmed.</w:t>
      </w:r>
    </w:p>
    <w:p w14:paraId="4A7F4870" w14:textId="77777777" w:rsidR="0010643F" w:rsidRPr="0066711E" w:rsidRDefault="009C3715" w:rsidP="00ED58C1">
      <w:pPr>
        <w:pStyle w:val="ListParagraph"/>
        <w:numPr>
          <w:ilvl w:val="0"/>
          <w:numId w:val="47"/>
        </w:numPr>
        <w:spacing w:after="120"/>
        <w:contextualSpacing w:val="0"/>
      </w:pPr>
      <w:r>
        <w:t xml:space="preserve">Before you are able to select the </w:t>
      </w:r>
      <w:r w:rsidR="00AC17D1">
        <w:t>“</w:t>
      </w:r>
      <w:r w:rsidRPr="0074262D">
        <w:rPr>
          <w:i/>
        </w:rPr>
        <w:t>submit</w:t>
      </w:r>
      <w:r w:rsidR="00AC17D1" w:rsidRPr="0074262D">
        <w:rPr>
          <w:i/>
        </w:rPr>
        <w:t xml:space="preserve"> affirmed sections</w:t>
      </w:r>
      <w:r w:rsidR="00AC17D1">
        <w:t>”</w:t>
      </w:r>
      <w:r>
        <w:t xml:space="preserve"> button on the Survey Dashboard, you will need to </w:t>
      </w:r>
      <w:r w:rsidR="00AC17D1">
        <w:t>“</w:t>
      </w:r>
      <w:r w:rsidRPr="0074262D">
        <w:rPr>
          <w:i/>
        </w:rPr>
        <w:t>check for data review warnings</w:t>
      </w:r>
      <w:r>
        <w:t>.</w:t>
      </w:r>
      <w:r w:rsidR="00AC17D1">
        <w:t>”</w:t>
      </w:r>
      <w:r>
        <w:t xml:space="preserve"> When you select the </w:t>
      </w:r>
      <w:r w:rsidR="00AC17D1">
        <w:t>“</w:t>
      </w:r>
      <w:r w:rsidRPr="0074262D">
        <w:rPr>
          <w:i/>
        </w:rPr>
        <w:t>check for data review warnings</w:t>
      </w:r>
      <w:r w:rsidR="00AC17D1">
        <w:t>”</w:t>
      </w:r>
      <w:r>
        <w:t xml:space="preserve"> button,</w:t>
      </w:r>
      <w:r w:rsidR="007955DF">
        <w:t xml:space="preserve"> </w:t>
      </w:r>
      <w:r w:rsidR="00AC17D1">
        <w:t xml:space="preserve">the </w:t>
      </w:r>
      <w:r w:rsidR="007955DF">
        <w:t xml:space="preserve">sections of your survey that have been affirmed will be scanned for potential reporting errors. If any errors are identified, a data review warning message will be generated and </w:t>
      </w:r>
      <w:r w:rsidR="00840E07">
        <w:t xml:space="preserve">will </w:t>
      </w:r>
      <w:r w:rsidR="007955DF">
        <w:t>appear on the Survey Dashboard.</w:t>
      </w:r>
      <w:r w:rsidR="00A117F0">
        <w:t xml:space="preserve"> </w:t>
      </w:r>
    </w:p>
    <w:p w14:paraId="100AC3C9" w14:textId="43192A5E" w:rsidR="009C3715" w:rsidRDefault="009C3715" w:rsidP="00BB7F28">
      <w:pPr>
        <w:pStyle w:val="ListParagraph"/>
        <w:numPr>
          <w:ilvl w:val="0"/>
          <w:numId w:val="47"/>
        </w:numPr>
        <w:spacing w:after="120"/>
        <w:contextualSpacing w:val="0"/>
      </w:pPr>
      <w:r>
        <w:t>If any data review warnings are generated, you will still</w:t>
      </w:r>
      <w:r w:rsidR="00A117F0">
        <w:t xml:space="preserve"> be able to submit your survey. However, you will need to address the potential reporting errors identified during the scan or risk having related sections of your survey decertified. For more information visit </w:t>
      </w:r>
      <w:hyperlink r:id="rId41" w:history="1">
        <w:r w:rsidR="00BB7F28" w:rsidRPr="008A2989">
          <w:rPr>
            <w:rStyle w:val="Hyperlink"/>
          </w:rPr>
          <w:t>http://www.leapfroggroup.org/survey-materials/data-accuracy</w:t>
        </w:r>
      </w:hyperlink>
      <w:r w:rsidR="00A117F0">
        <w:t xml:space="preserve">. </w:t>
      </w:r>
    </w:p>
    <w:p w14:paraId="0805BA5C" w14:textId="77777777" w:rsidR="0010643F" w:rsidRPr="0066711E" w:rsidRDefault="007C52BA" w:rsidP="00ED58C1">
      <w:pPr>
        <w:pStyle w:val="ListParagraph"/>
        <w:numPr>
          <w:ilvl w:val="0"/>
          <w:numId w:val="47"/>
        </w:numPr>
        <w:spacing w:after="120"/>
        <w:contextualSpacing w:val="0"/>
      </w:pPr>
      <w:r>
        <w:t>Once you have checked for data review warning</w:t>
      </w:r>
      <w:r w:rsidR="00840E07">
        <w:t>s</w:t>
      </w:r>
      <w:r>
        <w:t xml:space="preserve">, you can </w:t>
      </w:r>
      <w:r w:rsidR="0010643F" w:rsidRPr="0066711E">
        <w:t xml:space="preserve">select the </w:t>
      </w:r>
      <w:r w:rsidR="00AC17D1" w:rsidRPr="00AC17D1">
        <w:t>“</w:t>
      </w:r>
      <w:r w:rsidR="00AC17D1" w:rsidRPr="0074262D">
        <w:rPr>
          <w:i/>
        </w:rPr>
        <w:t>submit affirmed sections</w:t>
      </w:r>
      <w:r w:rsidR="00AC17D1" w:rsidRPr="00AC17D1">
        <w:t>”</w:t>
      </w:r>
      <w:r>
        <w:t xml:space="preserve"> button.</w:t>
      </w:r>
    </w:p>
    <w:p w14:paraId="5ECB01B5" w14:textId="77777777" w:rsidR="0010643F" w:rsidRPr="0066711E" w:rsidRDefault="00015E7F" w:rsidP="00ED58C1">
      <w:pPr>
        <w:pStyle w:val="ListParagraph"/>
        <w:numPr>
          <w:ilvl w:val="0"/>
          <w:numId w:val="47"/>
        </w:numPr>
        <w:spacing w:after="120"/>
        <w:contextualSpacing w:val="0"/>
      </w:pPr>
      <w:r>
        <w:t>Use the “</w:t>
      </w:r>
      <w:r>
        <w:rPr>
          <w:i/>
        </w:rPr>
        <w:t xml:space="preserve">Print Last Submitted Survey” </w:t>
      </w:r>
      <w:r>
        <w:t xml:space="preserve">button on the Survey Dashboard to print a copy of your </w:t>
      </w:r>
      <w:r w:rsidR="00840E07">
        <w:t xml:space="preserve">submitted </w:t>
      </w:r>
      <w:r>
        <w:t xml:space="preserve">survey, and review it for </w:t>
      </w:r>
      <w:r w:rsidR="004C2C8C" w:rsidRPr="00AC17D1">
        <w:t>accuracy and</w:t>
      </w:r>
      <w:r w:rsidR="004C2C8C" w:rsidRPr="0066711E">
        <w:t xml:space="preserve"> completeness. Remember, s</w:t>
      </w:r>
      <w:r w:rsidR="0010643F" w:rsidRPr="0066711E">
        <w:t>ections that are not affirmed will not be submitted.</w:t>
      </w:r>
      <w:r w:rsidR="004C2C8C" w:rsidRPr="0066711E">
        <w:t xml:space="preserve"> </w:t>
      </w:r>
    </w:p>
    <w:p w14:paraId="2D0D75FD" w14:textId="77777777" w:rsidR="00AC17D1" w:rsidRDefault="0010643F" w:rsidP="00ED58C1">
      <w:pPr>
        <w:pStyle w:val="ListParagraph"/>
        <w:numPr>
          <w:ilvl w:val="0"/>
          <w:numId w:val="47"/>
        </w:numPr>
        <w:spacing w:after="120"/>
        <w:contextualSpacing w:val="0"/>
      </w:pPr>
      <w:r w:rsidRPr="0066711E">
        <w:t xml:space="preserve">Review your publicly reported results after the first 5 business days of the month following your </w:t>
      </w:r>
      <w:r w:rsidR="0092703F" w:rsidRPr="0066711E">
        <w:t>(re)</w:t>
      </w:r>
      <w:r w:rsidRPr="0066711E">
        <w:t>submission</w:t>
      </w:r>
      <w:r w:rsidR="0092703F" w:rsidRPr="0066711E">
        <w:t xml:space="preserve"> at</w:t>
      </w:r>
      <w:r w:rsidRPr="0066711E">
        <w:t xml:space="preserve"> </w:t>
      </w:r>
      <w:hyperlink r:id="rId42" w:history="1">
        <w:r w:rsidR="00AC17D1" w:rsidRPr="00EE24D9">
          <w:rPr>
            <w:rStyle w:val="Hyperlink"/>
          </w:rPr>
          <w:t>http://leapfroggroup.org/compare-hospitals</w:t>
        </w:r>
      </w:hyperlink>
      <w:r w:rsidR="00D540D1">
        <w:t xml:space="preserve"> </w:t>
      </w:r>
      <w:r w:rsidR="0092703F" w:rsidRPr="0066711E">
        <w:t xml:space="preserve">starting on July 25, </w:t>
      </w:r>
      <w:r w:rsidR="004F68CC" w:rsidRPr="0066711E">
        <w:t>2016</w:t>
      </w:r>
      <w:r w:rsidR="0092703F" w:rsidRPr="0066711E">
        <w:t>.</w:t>
      </w:r>
    </w:p>
    <w:p w14:paraId="787440B3" w14:textId="77777777" w:rsidR="001824FC" w:rsidRDefault="001824FC" w:rsidP="00ED58C1">
      <w:pPr>
        <w:pStyle w:val="ListParagraph"/>
        <w:numPr>
          <w:ilvl w:val="0"/>
          <w:numId w:val="47"/>
        </w:numPr>
        <w:spacing w:after="120"/>
        <w:contextualSpacing w:val="0"/>
      </w:pPr>
      <w:r>
        <w:t xml:space="preserve">Hospitals submitting a CPOE Evaluation Tool should carefully review the instructions, scoring information, and FAQs </w:t>
      </w:r>
      <w:r w:rsidRPr="00C0073A">
        <w:t xml:space="preserve">available at </w:t>
      </w:r>
      <w:hyperlink r:id="rId43" w:history="1">
        <w:r w:rsidR="00257F86" w:rsidRPr="00EE24D9">
          <w:rPr>
            <w:rStyle w:val="Hyperlink"/>
          </w:rPr>
          <w:t>http://leapfroggroup.org/survey-materials/prepare-cpoe-tool</w:t>
        </w:r>
      </w:hyperlink>
      <w:r w:rsidR="00D540D1">
        <w:t xml:space="preserve">. </w:t>
      </w:r>
    </w:p>
    <w:p w14:paraId="1EE31268" w14:textId="4447A5FF" w:rsidR="00EC23A5" w:rsidRDefault="00EC23A5" w:rsidP="00BB7F28">
      <w:pPr>
        <w:pStyle w:val="ListParagraph"/>
        <w:numPr>
          <w:ilvl w:val="0"/>
          <w:numId w:val="47"/>
        </w:numPr>
      </w:pPr>
      <w:r>
        <w:t xml:space="preserve">Leapfrog is committed to ensuring the accuracy of Leapfrog Hospital Survey results. Please review our protocols at: </w:t>
      </w:r>
      <w:hyperlink r:id="rId44" w:history="1">
        <w:r w:rsidR="00BB7F28" w:rsidRPr="008A2989">
          <w:rPr>
            <w:rStyle w:val="Hyperlink"/>
          </w:rPr>
          <w:t>http://www.leapfroggroup.org/survey-materials/data-accuracy</w:t>
        </w:r>
      </w:hyperlink>
      <w:r>
        <w:t xml:space="preserve">. </w:t>
      </w:r>
    </w:p>
    <w:p w14:paraId="0845F188" w14:textId="77777777" w:rsidR="0010643F" w:rsidRDefault="0010643F" w:rsidP="0010643F"/>
    <w:p w14:paraId="7E4FA866" w14:textId="77777777" w:rsidR="0010643F" w:rsidRPr="0055400F" w:rsidRDefault="0010643F" w:rsidP="0010643F"/>
    <w:p w14:paraId="50FC4185" w14:textId="77777777" w:rsidR="002C7A5F" w:rsidRDefault="002C7A5F">
      <w:pPr>
        <w:rPr>
          <w:b/>
          <w:i/>
          <w:sz w:val="24"/>
          <w:szCs w:val="24"/>
          <w:lang w:eastAsia="ja-JP"/>
        </w:rPr>
      </w:pPr>
      <w:r>
        <w:br w:type="page"/>
      </w:r>
    </w:p>
    <w:p w14:paraId="786A7DE1" w14:textId="77777777" w:rsidR="0010643F" w:rsidRDefault="0010643F" w:rsidP="007A44CB">
      <w:pPr>
        <w:pStyle w:val="Heading3"/>
      </w:pPr>
      <w:bookmarkStart w:id="8" w:name="_Toc447194952"/>
      <w:r>
        <w:lastRenderedPageBreak/>
        <w:t>Helpful Tips for Verifying Submission</w:t>
      </w:r>
      <w:bookmarkEnd w:id="8"/>
    </w:p>
    <w:p w14:paraId="286C1687" w14:textId="77777777" w:rsidR="0010643F" w:rsidRDefault="0010643F" w:rsidP="0010643F"/>
    <w:p w14:paraId="55A90133" w14:textId="77777777" w:rsidR="0010643F" w:rsidRDefault="0010643F" w:rsidP="0010643F">
      <w:r>
        <w:t xml:space="preserve">Use the following </w:t>
      </w:r>
      <w:r w:rsidR="008276A0">
        <w:t xml:space="preserve">tips </w:t>
      </w:r>
      <w:r w:rsidR="008276A0" w:rsidRPr="00D45E99">
        <w:t>to</w:t>
      </w:r>
      <w:r w:rsidRPr="00D45E99">
        <w:t xml:space="preserve"> help verify that your submission was completed and that the appropriate sections were submitted:</w:t>
      </w:r>
    </w:p>
    <w:p w14:paraId="4F9FD84B" w14:textId="77777777" w:rsidR="0010643F" w:rsidRPr="00D45E99" w:rsidRDefault="0010643F" w:rsidP="0010643F"/>
    <w:p w14:paraId="42399C1F" w14:textId="77777777" w:rsidR="0010643F" w:rsidRPr="00F62E07" w:rsidRDefault="00BB22B5" w:rsidP="00ED58C1">
      <w:pPr>
        <w:pStyle w:val="ListParagraph"/>
        <w:numPr>
          <w:ilvl w:val="0"/>
          <w:numId w:val="48"/>
        </w:numPr>
      </w:pPr>
      <w:r w:rsidRPr="00F62E07">
        <w:rPr>
          <w:b/>
        </w:rPr>
        <w:t xml:space="preserve">Check the Survey Dashboard: </w:t>
      </w:r>
      <w:r w:rsidR="007D39F9">
        <w:t>Refer to the “Section Status” column on the</w:t>
      </w:r>
      <w:r w:rsidR="00454BBD">
        <w:t xml:space="preserve"> Survey Dashboard. All </w:t>
      </w:r>
      <w:r w:rsidR="00541081">
        <w:t>submitted</w:t>
      </w:r>
      <w:r w:rsidR="007D39F9">
        <w:t xml:space="preserve"> sections will be marked as “Submitted.” </w:t>
      </w:r>
    </w:p>
    <w:p w14:paraId="37273A2A" w14:textId="77777777" w:rsidR="000C7B09" w:rsidRDefault="000C7B09" w:rsidP="00ED58C1">
      <w:pPr>
        <w:pStyle w:val="ListParagraph"/>
        <w:numPr>
          <w:ilvl w:val="0"/>
          <w:numId w:val="48"/>
        </w:numPr>
      </w:pPr>
      <w:r w:rsidRPr="008A7BEF">
        <w:rPr>
          <w:b/>
        </w:rPr>
        <w:t>Check your email:</w:t>
      </w:r>
      <w:r>
        <w:t xml:space="preserve"> You will receive a survey submission confirmation email within five minutes of submitting a survey. </w:t>
      </w:r>
      <w:r w:rsidR="00224374">
        <w:t>Please Note: This email will not specify what sections were submitted – you will need to use the other tips to determine which of the sections were submitted.</w:t>
      </w:r>
    </w:p>
    <w:p w14:paraId="76EF1C1F" w14:textId="77777777" w:rsidR="0010643F" w:rsidRDefault="009570D1" w:rsidP="00ED58C1">
      <w:pPr>
        <w:pStyle w:val="ListParagraph"/>
        <w:numPr>
          <w:ilvl w:val="0"/>
          <w:numId w:val="48"/>
        </w:numPr>
      </w:pPr>
      <w:r w:rsidRPr="008A7BEF">
        <w:rPr>
          <w:b/>
        </w:rPr>
        <w:t xml:space="preserve">Print </w:t>
      </w:r>
      <w:r w:rsidR="0010643F" w:rsidRPr="008A7BEF">
        <w:rPr>
          <w:b/>
        </w:rPr>
        <w:t>Last Submitted Survey</w:t>
      </w:r>
      <w:r w:rsidR="0088771B" w:rsidRPr="008A7BEF">
        <w:rPr>
          <w:b/>
        </w:rPr>
        <w:t>:</w:t>
      </w:r>
      <w:r w:rsidR="0088771B" w:rsidRPr="00FC4327">
        <w:t xml:space="preserve"> </w:t>
      </w:r>
      <w:r w:rsidRPr="00FC4327">
        <w:t>The survey submission date will be listed at the top of the page under the hea</w:t>
      </w:r>
      <w:r w:rsidR="0088771B" w:rsidRPr="00FC4327">
        <w:t xml:space="preserve">ding </w:t>
      </w:r>
      <w:r w:rsidR="0010643F" w:rsidRPr="00FC4327">
        <w:t>“Submitted Survey</w:t>
      </w:r>
      <w:r w:rsidR="0088771B">
        <w:t>.</w:t>
      </w:r>
      <w:r w:rsidR="0010643F" w:rsidRPr="00D45E99">
        <w:t>”</w:t>
      </w:r>
      <w:r w:rsidR="0088771B">
        <w:t xml:space="preserve"> Be sure to check the submission date, review each section for accuracy and completeness, and check that each affirmation is complete (sections </w:t>
      </w:r>
      <w:r w:rsidR="00BD5C4B">
        <w:t>1</w:t>
      </w:r>
      <w:r w:rsidR="0088771B">
        <w:t xml:space="preserve">-9). </w:t>
      </w:r>
    </w:p>
    <w:p w14:paraId="4E16BA50" w14:textId="77777777" w:rsidR="0010643F" w:rsidRPr="0088771B" w:rsidRDefault="008A7BEF" w:rsidP="00ED58C1">
      <w:pPr>
        <w:pStyle w:val="ListParagraph"/>
        <w:numPr>
          <w:ilvl w:val="0"/>
          <w:numId w:val="48"/>
        </w:numPr>
      </w:pPr>
      <w:r>
        <w:rPr>
          <w:b/>
        </w:rPr>
        <w:t>Check your publicly reported r</w:t>
      </w:r>
      <w:r w:rsidR="0010643F" w:rsidRPr="008A7BEF">
        <w:rPr>
          <w:b/>
        </w:rPr>
        <w:t>esults</w:t>
      </w:r>
      <w:r w:rsidR="0088771B" w:rsidRPr="008A7BEF">
        <w:rPr>
          <w:b/>
        </w:rPr>
        <w:t>:</w:t>
      </w:r>
      <w:r w:rsidR="0088771B" w:rsidRPr="00FC4327">
        <w:t xml:space="preserve"> Always</w:t>
      </w:r>
      <w:r w:rsidR="0010643F" w:rsidRPr="00D45E99">
        <w:t xml:space="preserve"> </w:t>
      </w:r>
      <w:r w:rsidR="0088771B">
        <w:t xml:space="preserve">check your Leapfrog Hospital Survey Results at </w:t>
      </w:r>
      <w:hyperlink r:id="rId45" w:history="1">
        <w:r w:rsidR="007D39F9" w:rsidRPr="00EE24D9">
          <w:rPr>
            <w:rStyle w:val="Hyperlink"/>
          </w:rPr>
          <w:t>http://leapfroggroup.org/compare-hospitals</w:t>
        </w:r>
      </w:hyperlink>
      <w:r w:rsidR="007D39F9">
        <w:rPr>
          <w:rStyle w:val="Hyperlink"/>
          <w:u w:val="none"/>
        </w:rPr>
        <w:t xml:space="preserve">. </w:t>
      </w:r>
      <w:r w:rsidR="0088771B" w:rsidRPr="0088771B">
        <w:rPr>
          <w:rStyle w:val="Hyperlink"/>
          <w:color w:val="auto"/>
          <w:u w:val="none"/>
        </w:rPr>
        <w:t>Results are posted</w:t>
      </w:r>
      <w:r w:rsidR="0010643F" w:rsidRPr="0088771B">
        <w:t xml:space="preserve"> </w:t>
      </w:r>
      <w:r w:rsidR="0088771B">
        <w:t xml:space="preserve">by the </w:t>
      </w:r>
      <w:r w:rsidR="0010643F" w:rsidRPr="0088771B">
        <w:t>first 5 business days of the month following your submission. </w:t>
      </w:r>
    </w:p>
    <w:p w14:paraId="58F65C03" w14:textId="77777777" w:rsidR="009570D1" w:rsidRDefault="009570D1" w:rsidP="00954B73">
      <w:pPr>
        <w:pStyle w:val="Heading2"/>
      </w:pPr>
    </w:p>
    <w:p w14:paraId="7E34CDD5" w14:textId="77777777" w:rsidR="00D9453A" w:rsidRPr="00D9453A" w:rsidRDefault="00D9453A" w:rsidP="00D9453A">
      <w:pPr>
        <w:rPr>
          <w:lang w:eastAsia="ja-JP"/>
        </w:rPr>
      </w:pPr>
    </w:p>
    <w:p w14:paraId="4AC9500D" w14:textId="77777777" w:rsidR="00AC579B" w:rsidRDefault="00AC579B" w:rsidP="007A44CB">
      <w:pPr>
        <w:pStyle w:val="Heading3"/>
      </w:pPr>
      <w:bookmarkStart w:id="9" w:name="_Toc447194953"/>
      <w:r>
        <w:t xml:space="preserve">Tips for </w:t>
      </w:r>
      <w:r w:rsidR="00D9453A">
        <w:t>updating or c</w:t>
      </w:r>
      <w:r>
        <w:t>orrecting</w:t>
      </w:r>
      <w:r w:rsidR="00D9453A">
        <w:t xml:space="preserve"> a previously submitted </w:t>
      </w:r>
      <w:r>
        <w:t>Leapfrog Hospital Survey</w:t>
      </w:r>
      <w:bookmarkEnd w:id="9"/>
    </w:p>
    <w:p w14:paraId="2810DD50" w14:textId="77777777" w:rsidR="00AC579B" w:rsidRDefault="00AC579B" w:rsidP="00AC579B">
      <w:pPr>
        <w:rPr>
          <w:b/>
          <w:i/>
          <w:sz w:val="24"/>
          <w:szCs w:val="24"/>
        </w:rPr>
      </w:pPr>
    </w:p>
    <w:p w14:paraId="2A0710B1" w14:textId="77777777" w:rsidR="00AC579B" w:rsidRDefault="00AF73AA" w:rsidP="00AC579B">
      <w:pPr>
        <w:rPr>
          <w:snapToGrid w:val="0"/>
        </w:rPr>
      </w:pPr>
      <w:r>
        <w:rPr>
          <w:snapToGrid w:val="0"/>
        </w:rPr>
        <w:t>H</w:t>
      </w:r>
      <w:r w:rsidR="00AC579B">
        <w:rPr>
          <w:snapToGrid w:val="0"/>
        </w:rPr>
        <w:t>ospitals have the opportunity to update</w:t>
      </w:r>
      <w:r w:rsidR="00FA4EEA">
        <w:rPr>
          <w:snapToGrid w:val="0"/>
        </w:rPr>
        <w:t xml:space="preserve"> or correct p</w:t>
      </w:r>
      <w:r>
        <w:rPr>
          <w:snapToGrid w:val="0"/>
        </w:rPr>
        <w:t xml:space="preserve">reviously submitted survey responses </w:t>
      </w:r>
      <w:r w:rsidR="00AC579B">
        <w:rPr>
          <w:snapToGrid w:val="0"/>
        </w:rPr>
        <w:t xml:space="preserve">at any </w:t>
      </w:r>
      <w:r>
        <w:rPr>
          <w:snapToGrid w:val="0"/>
        </w:rPr>
        <w:t xml:space="preserve">point during the survey cycle. </w:t>
      </w:r>
      <w:r w:rsidR="00FA4EEA">
        <w:rPr>
          <w:snapToGrid w:val="0"/>
        </w:rPr>
        <w:t xml:space="preserve">Most updates or corrections are made: </w:t>
      </w:r>
    </w:p>
    <w:p w14:paraId="6C182CD7" w14:textId="77777777" w:rsidR="00AC579B" w:rsidRDefault="00AC579B" w:rsidP="00AC579B">
      <w:pPr>
        <w:rPr>
          <w:snapToGrid w:val="0"/>
        </w:rPr>
      </w:pPr>
    </w:p>
    <w:p w14:paraId="767D2C70" w14:textId="77777777" w:rsidR="00310565" w:rsidRPr="00FA4EEA" w:rsidRDefault="00AF73AA" w:rsidP="00ED58C1">
      <w:pPr>
        <w:pStyle w:val="ListParagraph"/>
        <w:numPr>
          <w:ilvl w:val="0"/>
          <w:numId w:val="50"/>
        </w:numPr>
        <w:rPr>
          <w:snapToGrid w:val="0"/>
        </w:rPr>
      </w:pPr>
      <w:r w:rsidRPr="003827A4">
        <w:rPr>
          <w:snapToGrid w:val="0"/>
        </w:rPr>
        <w:t>At the request of Leapfrog</w:t>
      </w:r>
      <w:r w:rsidR="00310565">
        <w:rPr>
          <w:snapToGrid w:val="0"/>
        </w:rPr>
        <w:t>:</w:t>
      </w:r>
    </w:p>
    <w:p w14:paraId="3B1EBA1A" w14:textId="77777777" w:rsidR="003827A4" w:rsidRDefault="00310565" w:rsidP="00ED58C1">
      <w:pPr>
        <w:pStyle w:val="ListParagraph"/>
        <w:numPr>
          <w:ilvl w:val="1"/>
          <w:numId w:val="50"/>
        </w:numPr>
        <w:rPr>
          <w:snapToGrid w:val="0"/>
        </w:rPr>
      </w:pPr>
      <w:r>
        <w:rPr>
          <w:snapToGrid w:val="0"/>
        </w:rPr>
        <w:t xml:space="preserve">Following </w:t>
      </w:r>
      <w:r w:rsidR="00831650">
        <w:rPr>
          <w:snapToGrid w:val="0"/>
        </w:rPr>
        <w:t xml:space="preserve">Leapfrog’s monthly data review, </w:t>
      </w:r>
      <w:r w:rsidR="0097210B">
        <w:rPr>
          <w:snapToGrid w:val="0"/>
        </w:rPr>
        <w:t xml:space="preserve">the </w:t>
      </w:r>
      <w:r>
        <w:rPr>
          <w:snapToGrid w:val="0"/>
        </w:rPr>
        <w:t>hospital and/or system contact</w:t>
      </w:r>
      <w:r w:rsidR="0097210B">
        <w:rPr>
          <w:snapToGrid w:val="0"/>
        </w:rPr>
        <w:t xml:space="preserve"> </w:t>
      </w:r>
      <w:r w:rsidR="00831650">
        <w:rPr>
          <w:snapToGrid w:val="0"/>
        </w:rPr>
        <w:t xml:space="preserve">received an email from the Help Desk </w:t>
      </w:r>
      <w:r w:rsidR="0097210B">
        <w:rPr>
          <w:snapToGrid w:val="0"/>
        </w:rPr>
        <w:t>detailing potential reporting errors</w:t>
      </w:r>
    </w:p>
    <w:p w14:paraId="24D64333" w14:textId="77777777" w:rsidR="00E03E77" w:rsidRDefault="00454BBD" w:rsidP="00ED58C1">
      <w:pPr>
        <w:pStyle w:val="ListParagraph"/>
        <w:numPr>
          <w:ilvl w:val="0"/>
          <w:numId w:val="50"/>
        </w:numPr>
        <w:rPr>
          <w:snapToGrid w:val="0"/>
        </w:rPr>
      </w:pPr>
      <w:r>
        <w:rPr>
          <w:snapToGrid w:val="0"/>
        </w:rPr>
        <w:t xml:space="preserve">Following on-site data verification: </w:t>
      </w:r>
    </w:p>
    <w:p w14:paraId="4ADCC781" w14:textId="77777777" w:rsidR="00454BBD" w:rsidRPr="00CF1881" w:rsidRDefault="00454BBD" w:rsidP="00ED58C1">
      <w:pPr>
        <w:pStyle w:val="ListParagraph"/>
        <w:numPr>
          <w:ilvl w:val="1"/>
          <w:numId w:val="50"/>
        </w:numPr>
        <w:rPr>
          <w:snapToGrid w:val="0"/>
        </w:rPr>
      </w:pPr>
      <w:r>
        <w:rPr>
          <w:snapToGrid w:val="0"/>
        </w:rPr>
        <w:t>Hospitals selected for on-site data verification will receive a finding report at the end of the scheduled visit which will indicate any responses that need to be updated or corrected.</w:t>
      </w:r>
    </w:p>
    <w:p w14:paraId="12DE80C0" w14:textId="77777777" w:rsidR="00310565" w:rsidRDefault="00AC579B" w:rsidP="00ED58C1">
      <w:pPr>
        <w:pStyle w:val="ListParagraph"/>
        <w:numPr>
          <w:ilvl w:val="0"/>
          <w:numId w:val="50"/>
        </w:numPr>
        <w:rPr>
          <w:snapToGrid w:val="0"/>
        </w:rPr>
      </w:pPr>
      <w:r w:rsidRPr="003827A4">
        <w:rPr>
          <w:snapToGrid w:val="0"/>
        </w:rPr>
        <w:t>At the discretion of the hospital</w:t>
      </w:r>
      <w:r w:rsidR="00310565">
        <w:rPr>
          <w:snapToGrid w:val="0"/>
        </w:rPr>
        <w:t>:</w:t>
      </w:r>
    </w:p>
    <w:p w14:paraId="7CFDF3E7" w14:textId="77777777" w:rsidR="00310565" w:rsidRDefault="00310565" w:rsidP="00ED58C1">
      <w:pPr>
        <w:pStyle w:val="ListParagraph"/>
        <w:numPr>
          <w:ilvl w:val="1"/>
          <w:numId w:val="50"/>
        </w:numPr>
        <w:rPr>
          <w:snapToGrid w:val="0"/>
        </w:rPr>
      </w:pPr>
      <w:r>
        <w:rPr>
          <w:snapToGrid w:val="0"/>
        </w:rPr>
        <w:t>T</w:t>
      </w:r>
      <w:r w:rsidR="003827A4" w:rsidRPr="003827A4">
        <w:rPr>
          <w:snapToGrid w:val="0"/>
        </w:rPr>
        <w:t>o correct a data entry error</w:t>
      </w:r>
      <w:r>
        <w:rPr>
          <w:snapToGrid w:val="0"/>
        </w:rPr>
        <w:t xml:space="preserve"> identified by the hospital</w:t>
      </w:r>
    </w:p>
    <w:p w14:paraId="3582E0ED" w14:textId="77777777" w:rsidR="00310565" w:rsidRDefault="00310565" w:rsidP="00ED58C1">
      <w:pPr>
        <w:pStyle w:val="ListParagraph"/>
        <w:numPr>
          <w:ilvl w:val="1"/>
          <w:numId w:val="50"/>
        </w:numPr>
        <w:rPr>
          <w:snapToGrid w:val="0"/>
        </w:rPr>
      </w:pPr>
      <w:r>
        <w:rPr>
          <w:snapToGrid w:val="0"/>
        </w:rPr>
        <w:t xml:space="preserve">To reflect </w:t>
      </w:r>
      <w:r w:rsidR="003827A4" w:rsidRPr="003827A4">
        <w:rPr>
          <w:snapToGrid w:val="0"/>
        </w:rPr>
        <w:t>a change in status or performance</w:t>
      </w:r>
      <w:r>
        <w:rPr>
          <w:snapToGrid w:val="0"/>
        </w:rPr>
        <w:t xml:space="preserve"> on a measure</w:t>
      </w:r>
      <w:r w:rsidR="00A43085">
        <w:rPr>
          <w:snapToGrid w:val="0"/>
        </w:rPr>
        <w:t xml:space="preserve"> (i.e. closed a unit or stopped performing a procedure)</w:t>
      </w:r>
    </w:p>
    <w:p w14:paraId="78FBAF3F" w14:textId="77777777" w:rsidR="00AC579B" w:rsidRPr="003827A4" w:rsidRDefault="00A43085" w:rsidP="00ED58C1">
      <w:pPr>
        <w:pStyle w:val="ListParagraph"/>
        <w:numPr>
          <w:ilvl w:val="1"/>
          <w:numId w:val="50"/>
        </w:numPr>
        <w:rPr>
          <w:snapToGrid w:val="0"/>
        </w:rPr>
      </w:pPr>
      <w:r>
        <w:rPr>
          <w:snapToGrid w:val="0"/>
        </w:rPr>
        <w:t>To p</w:t>
      </w:r>
      <w:r w:rsidR="007D39F9">
        <w:rPr>
          <w:snapToGrid w:val="0"/>
        </w:rPr>
        <w:t>rovide more current</w:t>
      </w:r>
      <w:r w:rsidR="00310565">
        <w:rPr>
          <w:snapToGrid w:val="0"/>
        </w:rPr>
        <w:t xml:space="preserve"> responses for those measures with two reporting periods</w:t>
      </w:r>
    </w:p>
    <w:p w14:paraId="6A7F0B34" w14:textId="77777777" w:rsidR="0094168C" w:rsidRDefault="0094168C" w:rsidP="00161AD6">
      <w:pPr>
        <w:pStyle w:val="Heading44"/>
        <w:rPr>
          <w:snapToGrid w:val="0"/>
        </w:rPr>
      </w:pPr>
    </w:p>
    <w:p w14:paraId="26DDCBE5" w14:textId="77777777" w:rsidR="00AC579B" w:rsidRDefault="0094168C" w:rsidP="00161AD6">
      <w:pPr>
        <w:pStyle w:val="Heading44"/>
        <w:rPr>
          <w:snapToGrid w:val="0"/>
        </w:rPr>
      </w:pPr>
      <w:r>
        <w:rPr>
          <w:snapToGrid w:val="0"/>
        </w:rPr>
        <w:t xml:space="preserve">Updates </w:t>
      </w:r>
      <w:r w:rsidR="00945F47">
        <w:rPr>
          <w:snapToGrid w:val="0"/>
        </w:rPr>
        <w:t xml:space="preserve">after Receiving </w:t>
      </w:r>
      <w:r w:rsidR="00456A42">
        <w:rPr>
          <w:snapToGrid w:val="0"/>
        </w:rPr>
        <w:t xml:space="preserve">a </w:t>
      </w:r>
      <w:r w:rsidR="00945F47">
        <w:rPr>
          <w:snapToGrid w:val="0"/>
        </w:rPr>
        <w:t>Help Desk</w:t>
      </w:r>
      <w:r w:rsidR="00320C18">
        <w:rPr>
          <w:snapToGrid w:val="0"/>
        </w:rPr>
        <w:t xml:space="preserve"> E</w:t>
      </w:r>
      <w:r w:rsidR="00CF1881">
        <w:rPr>
          <w:snapToGrid w:val="0"/>
        </w:rPr>
        <w:t>mail</w:t>
      </w:r>
      <w:r w:rsidR="00590E25">
        <w:rPr>
          <w:snapToGrid w:val="0"/>
        </w:rPr>
        <w:t xml:space="preserve"> or Following On-Site Data Verification</w:t>
      </w:r>
    </w:p>
    <w:p w14:paraId="25E3C94A" w14:textId="1A1380D0" w:rsidR="00190470" w:rsidRDefault="00AC579B" w:rsidP="00AC579B">
      <w:pPr>
        <w:rPr>
          <w:snapToGrid w:val="0"/>
        </w:rPr>
      </w:pPr>
      <w:r>
        <w:rPr>
          <w:snapToGrid w:val="0"/>
        </w:rPr>
        <w:t xml:space="preserve">Leapfrog conducts monthly data reviews of </w:t>
      </w:r>
      <w:r w:rsidR="00190470">
        <w:rPr>
          <w:snapToGrid w:val="0"/>
        </w:rPr>
        <w:t>response</w:t>
      </w:r>
      <w:r w:rsidR="00B243D6">
        <w:rPr>
          <w:snapToGrid w:val="0"/>
        </w:rPr>
        <w:t>s</w:t>
      </w:r>
      <w:r w:rsidR="00190470">
        <w:rPr>
          <w:snapToGrid w:val="0"/>
        </w:rPr>
        <w:t xml:space="preserve"> </w:t>
      </w:r>
      <w:r>
        <w:rPr>
          <w:snapToGrid w:val="0"/>
        </w:rPr>
        <w:t xml:space="preserve">submitted </w:t>
      </w:r>
      <w:r w:rsidR="00190470">
        <w:rPr>
          <w:snapToGrid w:val="0"/>
        </w:rPr>
        <w:t>to the Leapfrog Hospital Survey</w:t>
      </w:r>
      <w:r>
        <w:rPr>
          <w:snapToGrid w:val="0"/>
        </w:rPr>
        <w:t xml:space="preserve"> starting with surveys submitted on or before June 30</w:t>
      </w:r>
      <w:r w:rsidRPr="0050332D">
        <w:rPr>
          <w:snapToGrid w:val="0"/>
          <w:vertAlign w:val="superscript"/>
        </w:rPr>
        <w:t>th</w:t>
      </w:r>
      <w:r>
        <w:rPr>
          <w:snapToGrid w:val="0"/>
        </w:rPr>
        <w:t xml:space="preserve"> and monthly therea</w:t>
      </w:r>
      <w:r w:rsidR="00190470">
        <w:rPr>
          <w:snapToGrid w:val="0"/>
        </w:rPr>
        <w:t xml:space="preserve">fter until the survey closes on </w:t>
      </w:r>
      <w:r>
        <w:rPr>
          <w:snapToGrid w:val="0"/>
        </w:rPr>
        <w:t>December</w:t>
      </w:r>
      <w:r w:rsidR="00190470">
        <w:rPr>
          <w:snapToGrid w:val="0"/>
        </w:rPr>
        <w:t xml:space="preserve"> 31st. </w:t>
      </w:r>
      <w:r w:rsidR="00320C18">
        <w:rPr>
          <w:snapToGrid w:val="0"/>
        </w:rPr>
        <w:t xml:space="preserve">(See the </w:t>
      </w:r>
      <w:hyperlink r:id="rId46" w:history="1">
        <w:r w:rsidR="00320C18" w:rsidRPr="00454BBD">
          <w:rPr>
            <w:rStyle w:val="Hyperlink"/>
            <w:b/>
            <w:snapToGrid w:val="0"/>
          </w:rPr>
          <w:t>Data Accuracy</w:t>
        </w:r>
      </w:hyperlink>
      <w:r w:rsidR="00320C18">
        <w:rPr>
          <w:snapToGrid w:val="0"/>
        </w:rPr>
        <w:t xml:space="preserve"> section of the website for detailed information.) </w:t>
      </w:r>
      <w:r w:rsidR="00190470">
        <w:rPr>
          <w:snapToGrid w:val="0"/>
        </w:rPr>
        <w:t xml:space="preserve">Following the monthly </w:t>
      </w:r>
      <w:r>
        <w:rPr>
          <w:snapToGrid w:val="0"/>
        </w:rPr>
        <w:t>data re</w:t>
      </w:r>
      <w:r w:rsidR="00190470">
        <w:rPr>
          <w:snapToGrid w:val="0"/>
        </w:rPr>
        <w:t xml:space="preserve">view, </w:t>
      </w:r>
      <w:r w:rsidR="009737FA">
        <w:rPr>
          <w:snapToGrid w:val="0"/>
        </w:rPr>
        <w:t xml:space="preserve">the </w:t>
      </w:r>
      <w:r w:rsidR="00EE095E">
        <w:rPr>
          <w:snapToGrid w:val="0"/>
          <w:u w:val="single"/>
        </w:rPr>
        <w:t>Primary</w:t>
      </w:r>
      <w:r w:rsidR="009737FA" w:rsidRPr="009737FA">
        <w:rPr>
          <w:snapToGrid w:val="0"/>
          <w:u w:val="single"/>
        </w:rPr>
        <w:t xml:space="preserve"> </w:t>
      </w:r>
      <w:r w:rsidR="00190470" w:rsidRPr="009737FA">
        <w:rPr>
          <w:snapToGrid w:val="0"/>
          <w:u w:val="single"/>
        </w:rPr>
        <w:t>Survey C</w:t>
      </w:r>
      <w:r w:rsidR="009737FA" w:rsidRPr="009737FA">
        <w:rPr>
          <w:snapToGrid w:val="0"/>
          <w:u w:val="single"/>
        </w:rPr>
        <w:t>ontact and the System Contact</w:t>
      </w:r>
      <w:r>
        <w:rPr>
          <w:snapToGrid w:val="0"/>
        </w:rPr>
        <w:t xml:space="preserve"> are notified </w:t>
      </w:r>
      <w:r w:rsidR="00190470">
        <w:rPr>
          <w:snapToGrid w:val="0"/>
        </w:rPr>
        <w:t xml:space="preserve">by email </w:t>
      </w:r>
      <w:r>
        <w:rPr>
          <w:snapToGrid w:val="0"/>
        </w:rPr>
        <w:t xml:space="preserve">of any </w:t>
      </w:r>
      <w:r w:rsidR="00C5108B">
        <w:rPr>
          <w:snapToGrid w:val="0"/>
        </w:rPr>
        <w:t>survey responses that</w:t>
      </w:r>
      <w:r>
        <w:rPr>
          <w:snapToGrid w:val="0"/>
        </w:rPr>
        <w:t xml:space="preserve"> need to</w:t>
      </w:r>
      <w:r w:rsidR="00190470">
        <w:rPr>
          <w:snapToGrid w:val="0"/>
        </w:rPr>
        <w:t xml:space="preserve"> be</w:t>
      </w:r>
      <w:r>
        <w:rPr>
          <w:snapToGrid w:val="0"/>
        </w:rPr>
        <w:t xml:space="preserve"> review</w:t>
      </w:r>
      <w:r w:rsidR="00190470">
        <w:rPr>
          <w:snapToGrid w:val="0"/>
        </w:rPr>
        <w:t>ed</w:t>
      </w:r>
      <w:r>
        <w:rPr>
          <w:snapToGrid w:val="0"/>
        </w:rPr>
        <w:t xml:space="preserve"> and</w:t>
      </w:r>
      <w:r w:rsidR="00190470">
        <w:rPr>
          <w:snapToGrid w:val="0"/>
        </w:rPr>
        <w:t>/or</w:t>
      </w:r>
      <w:r>
        <w:rPr>
          <w:snapToGrid w:val="0"/>
        </w:rPr>
        <w:t xml:space="preserve"> update</w:t>
      </w:r>
      <w:r w:rsidR="00190470">
        <w:rPr>
          <w:snapToGrid w:val="0"/>
        </w:rPr>
        <w:t>d by the hospital.</w:t>
      </w:r>
    </w:p>
    <w:p w14:paraId="2EADDF18" w14:textId="77777777" w:rsidR="000C7B09" w:rsidRDefault="000C7B09" w:rsidP="00AC579B">
      <w:pPr>
        <w:rPr>
          <w:snapToGrid w:val="0"/>
        </w:rPr>
      </w:pPr>
    </w:p>
    <w:p w14:paraId="5F5472EF" w14:textId="77777777" w:rsidR="00AC579B" w:rsidRDefault="00C22E49" w:rsidP="00AC579B">
      <w:pPr>
        <w:rPr>
          <w:snapToGrid w:val="0"/>
        </w:rPr>
      </w:pPr>
      <w:r>
        <w:rPr>
          <w:snapToGrid w:val="0"/>
        </w:rPr>
        <w:t>If you</w:t>
      </w:r>
      <w:r w:rsidR="00AC579B">
        <w:rPr>
          <w:snapToGrid w:val="0"/>
        </w:rPr>
        <w:t xml:space="preserve"> </w:t>
      </w:r>
      <w:r w:rsidR="00184370">
        <w:rPr>
          <w:snapToGrid w:val="0"/>
        </w:rPr>
        <w:t>receive a data review notification by email</w:t>
      </w:r>
      <w:r>
        <w:rPr>
          <w:snapToGrid w:val="0"/>
        </w:rPr>
        <w:t>, you</w:t>
      </w:r>
      <w:r w:rsidR="00184370">
        <w:rPr>
          <w:snapToGrid w:val="0"/>
        </w:rPr>
        <w:t xml:space="preserve"> are required to upda</w:t>
      </w:r>
      <w:r w:rsidR="00320C18">
        <w:rPr>
          <w:snapToGrid w:val="0"/>
        </w:rPr>
        <w:t>te/correct your</w:t>
      </w:r>
      <w:r w:rsidR="00AC579B">
        <w:rPr>
          <w:snapToGrid w:val="0"/>
        </w:rPr>
        <w:t xml:space="preserve"> previously submitted Leapfrog Hospital Survey</w:t>
      </w:r>
      <w:r w:rsidR="00320C18">
        <w:rPr>
          <w:snapToGrid w:val="0"/>
        </w:rPr>
        <w:t xml:space="preserve"> by the end of the month</w:t>
      </w:r>
      <w:r w:rsidR="00AC579B">
        <w:rPr>
          <w:snapToGrid w:val="0"/>
        </w:rPr>
        <w:t xml:space="preserve"> </w:t>
      </w:r>
      <w:r w:rsidR="00184370">
        <w:rPr>
          <w:snapToGrid w:val="0"/>
        </w:rPr>
        <w:t>using</w:t>
      </w:r>
      <w:r w:rsidR="00AC579B">
        <w:rPr>
          <w:snapToGrid w:val="0"/>
        </w:rPr>
        <w:t>:</w:t>
      </w:r>
    </w:p>
    <w:p w14:paraId="45CA2526" w14:textId="77777777" w:rsidR="00AC579B" w:rsidRDefault="00AC579B" w:rsidP="00AC579B">
      <w:pPr>
        <w:rPr>
          <w:snapToGrid w:val="0"/>
        </w:rPr>
      </w:pPr>
    </w:p>
    <w:p w14:paraId="76FFF2FA" w14:textId="77777777" w:rsidR="00AC579B" w:rsidRDefault="00AC579B" w:rsidP="00ED58C1">
      <w:pPr>
        <w:pStyle w:val="ListParagraph"/>
        <w:numPr>
          <w:ilvl w:val="0"/>
          <w:numId w:val="49"/>
        </w:numPr>
        <w:rPr>
          <w:snapToGrid w:val="0"/>
        </w:rPr>
      </w:pPr>
      <w:r>
        <w:rPr>
          <w:snapToGrid w:val="0"/>
        </w:rPr>
        <w:t xml:space="preserve">The </w:t>
      </w:r>
      <w:r w:rsidRPr="00670A28">
        <w:rPr>
          <w:b/>
          <w:snapToGrid w:val="0"/>
        </w:rPr>
        <w:t>ORIGINAL</w:t>
      </w:r>
      <w:r>
        <w:rPr>
          <w:snapToGrid w:val="0"/>
        </w:rPr>
        <w:t xml:space="preserve"> reporting p</w:t>
      </w:r>
      <w:r w:rsidRPr="005846FA">
        <w:rPr>
          <w:snapToGrid w:val="0"/>
        </w:rPr>
        <w:t>eriod</w:t>
      </w:r>
      <w:r>
        <w:rPr>
          <w:snapToGrid w:val="0"/>
        </w:rPr>
        <w:t xml:space="preserve"> </w:t>
      </w:r>
      <w:r w:rsidR="00184370">
        <w:rPr>
          <w:snapToGrid w:val="0"/>
        </w:rPr>
        <w:t xml:space="preserve">that was </w:t>
      </w:r>
      <w:r>
        <w:rPr>
          <w:snapToGrid w:val="0"/>
        </w:rPr>
        <w:t>u</w:t>
      </w:r>
      <w:r w:rsidR="00184370">
        <w:rPr>
          <w:snapToGrid w:val="0"/>
        </w:rPr>
        <w:t>sed for that section</w:t>
      </w:r>
      <w:r w:rsidR="004B276B">
        <w:rPr>
          <w:snapToGrid w:val="0"/>
        </w:rPr>
        <w:t xml:space="preserve"> of the survey</w:t>
      </w:r>
      <w:r w:rsidR="00184370">
        <w:rPr>
          <w:snapToGrid w:val="0"/>
        </w:rPr>
        <w:t xml:space="preserve"> for the original submission. For example, if a hospital submitted a survey for the first time on August 20, </w:t>
      </w:r>
      <w:r w:rsidR="004F68CC">
        <w:rPr>
          <w:snapToGrid w:val="0"/>
        </w:rPr>
        <w:t>2016</w:t>
      </w:r>
      <w:r w:rsidR="00184370">
        <w:rPr>
          <w:snapToGrid w:val="0"/>
        </w:rPr>
        <w:t xml:space="preserve"> and then received a data review notification email at the beginning of September, they would update their responses based on the reporting period used in the August 20, </w:t>
      </w:r>
      <w:r w:rsidR="004F68CC">
        <w:rPr>
          <w:snapToGrid w:val="0"/>
        </w:rPr>
        <w:t>2016</w:t>
      </w:r>
      <w:r w:rsidR="00184370">
        <w:rPr>
          <w:snapToGrid w:val="0"/>
        </w:rPr>
        <w:t xml:space="preserve"> submission. </w:t>
      </w:r>
    </w:p>
    <w:p w14:paraId="5419484C" w14:textId="77777777" w:rsidR="00CF1881" w:rsidRDefault="00CF1881" w:rsidP="00CF1881">
      <w:pPr>
        <w:rPr>
          <w:snapToGrid w:val="0"/>
        </w:rPr>
      </w:pPr>
    </w:p>
    <w:p w14:paraId="68F75F9A" w14:textId="77777777" w:rsidR="00CF1881" w:rsidRPr="00CF1881" w:rsidRDefault="00302F59" w:rsidP="00CF1881">
      <w:pPr>
        <w:rPr>
          <w:snapToGrid w:val="0"/>
        </w:rPr>
      </w:pPr>
      <w:r>
        <w:rPr>
          <w:snapToGrid w:val="0"/>
        </w:rPr>
        <w:t xml:space="preserve">Following a scheduled on-site data verification visit, hospitals will receive a findings report. If the finding report details any responses that need to be updated or corrected, </w:t>
      </w:r>
      <w:r w:rsidR="00CF1881">
        <w:rPr>
          <w:snapToGrid w:val="0"/>
        </w:rPr>
        <w:t>please contact the Help Desk</w:t>
      </w:r>
      <w:r w:rsidR="00456A42">
        <w:rPr>
          <w:snapToGrid w:val="0"/>
        </w:rPr>
        <w:t xml:space="preserve"> at </w:t>
      </w:r>
      <w:hyperlink r:id="rId47" w:history="1">
        <w:r w:rsidR="00456A42" w:rsidRPr="00F74357">
          <w:rPr>
            <w:rStyle w:val="Hyperlink"/>
            <w:snapToGrid w:val="0"/>
          </w:rPr>
          <w:t>https://leapfroghospitalsurvey.zendesk.com</w:t>
        </w:r>
      </w:hyperlink>
      <w:r w:rsidR="00456A42">
        <w:rPr>
          <w:snapToGrid w:val="0"/>
        </w:rPr>
        <w:t xml:space="preserve">. </w:t>
      </w:r>
      <w:r w:rsidR="00CF1881">
        <w:rPr>
          <w:snapToGrid w:val="0"/>
        </w:rPr>
        <w:t xml:space="preserve"> </w:t>
      </w:r>
    </w:p>
    <w:p w14:paraId="751B8889" w14:textId="77777777" w:rsidR="00AC579B" w:rsidRPr="00C23A99" w:rsidRDefault="00AC579B" w:rsidP="00C23A99">
      <w:pPr>
        <w:rPr>
          <w:snapToGrid w:val="0"/>
        </w:rPr>
      </w:pPr>
    </w:p>
    <w:p w14:paraId="3C51D7B2" w14:textId="77777777" w:rsidR="00456A42" w:rsidRDefault="00456A42" w:rsidP="00161AD6">
      <w:pPr>
        <w:pStyle w:val="Heading44"/>
        <w:rPr>
          <w:snapToGrid w:val="0"/>
        </w:rPr>
      </w:pPr>
    </w:p>
    <w:p w14:paraId="2ACC9F1B" w14:textId="77777777" w:rsidR="00456A42" w:rsidRDefault="00456A42" w:rsidP="00161AD6">
      <w:pPr>
        <w:pStyle w:val="Heading44"/>
        <w:rPr>
          <w:snapToGrid w:val="0"/>
        </w:rPr>
      </w:pPr>
    </w:p>
    <w:p w14:paraId="0700A7AD" w14:textId="77777777" w:rsidR="00456A42" w:rsidRDefault="00456A42" w:rsidP="00161AD6">
      <w:pPr>
        <w:pStyle w:val="Heading44"/>
        <w:rPr>
          <w:snapToGrid w:val="0"/>
        </w:rPr>
      </w:pPr>
    </w:p>
    <w:p w14:paraId="3F2D5BA8" w14:textId="77777777" w:rsidR="00456A42" w:rsidRDefault="00456A42" w:rsidP="00161AD6">
      <w:pPr>
        <w:pStyle w:val="Heading44"/>
        <w:rPr>
          <w:snapToGrid w:val="0"/>
        </w:rPr>
      </w:pPr>
    </w:p>
    <w:p w14:paraId="4A2224A1" w14:textId="77777777" w:rsidR="00AC579B" w:rsidRDefault="00AC579B" w:rsidP="00161AD6">
      <w:pPr>
        <w:pStyle w:val="Heading44"/>
        <w:rPr>
          <w:snapToGrid w:val="0"/>
        </w:rPr>
      </w:pPr>
      <w:r>
        <w:rPr>
          <w:snapToGrid w:val="0"/>
        </w:rPr>
        <w:t>General Updates</w:t>
      </w:r>
      <w:r w:rsidR="002C7A5F">
        <w:rPr>
          <w:snapToGrid w:val="0"/>
        </w:rPr>
        <w:t xml:space="preserve"> (for hospitals that have not rec</w:t>
      </w:r>
      <w:r w:rsidR="00456A42">
        <w:rPr>
          <w:snapToGrid w:val="0"/>
        </w:rPr>
        <w:t>eived a Help Desk Email</w:t>
      </w:r>
      <w:r w:rsidR="002C7A5F">
        <w:rPr>
          <w:snapToGrid w:val="0"/>
        </w:rPr>
        <w:t>)</w:t>
      </w:r>
    </w:p>
    <w:p w14:paraId="1AE42435" w14:textId="77777777" w:rsidR="00AC579B" w:rsidRDefault="00AC579B" w:rsidP="00AC579B">
      <w:pPr>
        <w:rPr>
          <w:snapToGrid w:val="0"/>
        </w:rPr>
      </w:pPr>
      <w:r w:rsidRPr="006627AD">
        <w:rPr>
          <w:snapToGrid w:val="0"/>
        </w:rPr>
        <w:t>Leapfrog has always offered hospitals two reporting periods so that hospitals have the opportunity to report the most current data. Updating a sur</w:t>
      </w:r>
      <w:r>
        <w:rPr>
          <w:snapToGrid w:val="0"/>
        </w:rPr>
        <w:t>vey is opt</w:t>
      </w:r>
      <w:r w:rsidR="002C7A5F">
        <w:rPr>
          <w:snapToGrid w:val="0"/>
        </w:rPr>
        <w:t>ional</w:t>
      </w:r>
      <w:r>
        <w:rPr>
          <w:snapToGrid w:val="0"/>
        </w:rPr>
        <w:t>, t</w:t>
      </w:r>
      <w:r w:rsidRPr="006627AD">
        <w:rPr>
          <w:snapToGrid w:val="0"/>
        </w:rPr>
        <w:t>hough we do recommend that if your performance</w:t>
      </w:r>
      <w:r w:rsidR="002C7A5F">
        <w:rPr>
          <w:snapToGrid w:val="0"/>
        </w:rPr>
        <w:t xml:space="preserve"> or structure</w:t>
      </w:r>
      <w:r w:rsidRPr="006627AD">
        <w:rPr>
          <w:snapToGrid w:val="0"/>
        </w:rPr>
        <w:t xml:space="preserve"> has changed significantly, you update your survey within 30 days.</w:t>
      </w:r>
      <w:r>
        <w:rPr>
          <w:snapToGrid w:val="0"/>
        </w:rPr>
        <w:t xml:space="preserve"> In addition, hospitals should update their surveys if they become aware of any reporting errors or data inaccuracies</w:t>
      </w:r>
      <w:r w:rsidR="002C7A5F">
        <w:rPr>
          <w:snapToGrid w:val="0"/>
        </w:rPr>
        <w:t xml:space="preserve"> in their previous submission. </w:t>
      </w:r>
      <w:r w:rsidRPr="009909E4">
        <w:rPr>
          <w:snapToGrid w:val="0"/>
        </w:rPr>
        <w:t xml:space="preserve">Hospitals may </w:t>
      </w:r>
      <w:r w:rsidR="004C6FDD">
        <w:rPr>
          <w:snapToGrid w:val="0"/>
        </w:rPr>
        <w:t>update one or more sections</w:t>
      </w:r>
      <w:r w:rsidRPr="009909E4">
        <w:rPr>
          <w:snapToGrid w:val="0"/>
        </w:rPr>
        <w:t xml:space="preserve"> of the survey, without updating the entire survey.</w:t>
      </w:r>
    </w:p>
    <w:p w14:paraId="3D4DD86D" w14:textId="77777777" w:rsidR="00AC579B" w:rsidRDefault="00AC579B" w:rsidP="00AC579B">
      <w:pPr>
        <w:rPr>
          <w:b/>
          <w:snapToGrid w:val="0"/>
          <w:u w:val="single"/>
        </w:rPr>
      </w:pPr>
    </w:p>
    <w:p w14:paraId="6E7498E6" w14:textId="77777777" w:rsidR="00AC579B" w:rsidRDefault="00AC579B" w:rsidP="00AC579B">
      <w:pPr>
        <w:rPr>
          <w:snapToGrid w:val="0"/>
        </w:rPr>
      </w:pPr>
      <w:r>
        <w:rPr>
          <w:snapToGrid w:val="0"/>
        </w:rPr>
        <w:t>Hospitals that are</w:t>
      </w:r>
      <w:r w:rsidR="002C7A5F">
        <w:rPr>
          <w:snapToGrid w:val="0"/>
        </w:rPr>
        <w:t xml:space="preserve"> submitting general updates should use:</w:t>
      </w:r>
    </w:p>
    <w:p w14:paraId="0A1A9E74" w14:textId="77777777" w:rsidR="00AC579B" w:rsidRDefault="00AC579B" w:rsidP="00AC579B">
      <w:pPr>
        <w:rPr>
          <w:snapToGrid w:val="0"/>
        </w:rPr>
      </w:pPr>
    </w:p>
    <w:p w14:paraId="3A3D7506" w14:textId="77777777" w:rsidR="00AC579B" w:rsidRDefault="00BD6C6C" w:rsidP="00ED58C1">
      <w:pPr>
        <w:pStyle w:val="ListParagraph"/>
        <w:numPr>
          <w:ilvl w:val="0"/>
          <w:numId w:val="49"/>
        </w:numPr>
        <w:rPr>
          <w:snapToGrid w:val="0"/>
        </w:rPr>
      </w:pPr>
      <w:r>
        <w:rPr>
          <w:snapToGrid w:val="0"/>
        </w:rPr>
        <w:t>The stated</w:t>
      </w:r>
      <w:r w:rsidR="00AC579B">
        <w:rPr>
          <w:b/>
          <w:snapToGrid w:val="0"/>
        </w:rPr>
        <w:t xml:space="preserve"> </w:t>
      </w:r>
      <w:hyperlink w:anchor="_Reporting_Periods" w:history="1">
        <w:r w:rsidR="00AC579B" w:rsidRPr="0096757D">
          <w:rPr>
            <w:rStyle w:val="Hyperlink"/>
            <w:snapToGrid w:val="0"/>
          </w:rPr>
          <w:t>reporting period</w:t>
        </w:r>
      </w:hyperlink>
      <w:r w:rsidR="00AC579B">
        <w:rPr>
          <w:snapToGrid w:val="0"/>
        </w:rPr>
        <w:t xml:space="preserve"> at the top of</w:t>
      </w:r>
      <w:r w:rsidR="004B276B">
        <w:rPr>
          <w:snapToGrid w:val="0"/>
        </w:rPr>
        <w:t xml:space="preserve"> each section</w:t>
      </w:r>
      <w:r w:rsidR="00AC579B">
        <w:rPr>
          <w:snapToGrid w:val="0"/>
        </w:rPr>
        <w:t xml:space="preserve"> selected based on the date of your </w:t>
      </w:r>
      <w:r w:rsidR="002C7A5F">
        <w:rPr>
          <w:snapToGrid w:val="0"/>
        </w:rPr>
        <w:t>re-</w:t>
      </w:r>
      <w:r w:rsidR="00AC579B">
        <w:rPr>
          <w:snapToGrid w:val="0"/>
        </w:rPr>
        <w:t>submission</w:t>
      </w:r>
      <w:r w:rsidR="002C7A5F">
        <w:rPr>
          <w:snapToGrid w:val="0"/>
        </w:rPr>
        <w:t xml:space="preserve">. </w:t>
      </w:r>
    </w:p>
    <w:p w14:paraId="62BF3973" w14:textId="77777777" w:rsidR="00C23A99" w:rsidRPr="007D411B" w:rsidRDefault="00AC579B" w:rsidP="00ED58C1">
      <w:pPr>
        <w:pStyle w:val="ListParagraph"/>
        <w:numPr>
          <w:ilvl w:val="0"/>
          <w:numId w:val="49"/>
        </w:numPr>
        <w:rPr>
          <w:b/>
          <w:snapToGrid w:val="0"/>
          <w:u w:val="single"/>
        </w:rPr>
      </w:pPr>
      <w:r w:rsidRPr="002C7A5F">
        <w:rPr>
          <w:snapToGrid w:val="0"/>
        </w:rPr>
        <w:t>Whe</w:t>
      </w:r>
      <w:r w:rsidR="004B276B">
        <w:rPr>
          <w:snapToGrid w:val="0"/>
        </w:rPr>
        <w:t>n updating a section</w:t>
      </w:r>
      <w:r w:rsidRPr="002C7A5F">
        <w:rPr>
          <w:snapToGrid w:val="0"/>
        </w:rPr>
        <w:t>, hospitals must update responses to ALL questions</w:t>
      </w:r>
      <w:r w:rsidR="004B276B">
        <w:rPr>
          <w:snapToGrid w:val="0"/>
        </w:rPr>
        <w:t xml:space="preserve"> within that section</w:t>
      </w:r>
      <w:r w:rsidRPr="002C7A5F">
        <w:rPr>
          <w:snapToGrid w:val="0"/>
        </w:rPr>
        <w:t xml:space="preserve"> </w:t>
      </w:r>
      <w:r w:rsidR="002C7A5F" w:rsidRPr="002C7A5F">
        <w:rPr>
          <w:snapToGrid w:val="0"/>
        </w:rPr>
        <w:t>using the same reporting period. For example, if a hospital submitt</w:t>
      </w:r>
      <w:r w:rsidR="002A6336">
        <w:rPr>
          <w:snapToGrid w:val="0"/>
        </w:rPr>
        <w:t>ed a survey for the first time in June</w:t>
      </w:r>
      <w:r w:rsidR="002C7A5F" w:rsidRPr="002C7A5F">
        <w:rPr>
          <w:snapToGrid w:val="0"/>
        </w:rPr>
        <w:t xml:space="preserve"> and then wanted to update </w:t>
      </w:r>
      <w:r w:rsidR="004B276B">
        <w:rPr>
          <w:snapToGrid w:val="0"/>
        </w:rPr>
        <w:t xml:space="preserve">the responses for the Early Elective Deliveries questions in sub-section 4B </w:t>
      </w:r>
      <w:r w:rsidR="002C7A5F" w:rsidRPr="002C7A5F">
        <w:rPr>
          <w:snapToGrid w:val="0"/>
        </w:rPr>
        <w:t>in December, they would update the entire</w:t>
      </w:r>
      <w:r w:rsidR="00BD6C6C">
        <w:rPr>
          <w:snapToGrid w:val="0"/>
        </w:rPr>
        <w:t xml:space="preserve"> Section 4 Maternity Care </w:t>
      </w:r>
      <w:r w:rsidR="004B276B">
        <w:rPr>
          <w:snapToGrid w:val="0"/>
        </w:rPr>
        <w:t>based on updated</w:t>
      </w:r>
      <w:r w:rsidR="002C7A5F" w:rsidRPr="002C7A5F">
        <w:rPr>
          <w:snapToGrid w:val="0"/>
        </w:rPr>
        <w:t xml:space="preserve"> reporting period</w:t>
      </w:r>
      <w:r w:rsidR="004B276B">
        <w:rPr>
          <w:snapToGrid w:val="0"/>
        </w:rPr>
        <w:t xml:space="preserve"> for December</w:t>
      </w:r>
      <w:r w:rsidR="002C7A5F" w:rsidRPr="002C7A5F">
        <w:rPr>
          <w:snapToGrid w:val="0"/>
        </w:rPr>
        <w:t xml:space="preserve">. </w:t>
      </w:r>
    </w:p>
    <w:p w14:paraId="5D0BDB8C" w14:textId="77777777" w:rsidR="007D411B" w:rsidRPr="007D411B" w:rsidRDefault="007D411B" w:rsidP="007D411B">
      <w:pPr>
        <w:rPr>
          <w:b/>
          <w:snapToGrid w:val="0"/>
          <w:u w:val="single"/>
        </w:rPr>
      </w:pPr>
    </w:p>
    <w:p w14:paraId="2AF283D8" w14:textId="77777777" w:rsidR="00190470" w:rsidRDefault="00190470" w:rsidP="00F64C1D">
      <w:pPr>
        <w:jc w:val="center"/>
        <w:rPr>
          <w:b/>
          <w:snapToGrid w:val="0"/>
        </w:rPr>
      </w:pPr>
    </w:p>
    <w:p w14:paraId="34B8C438" w14:textId="77777777" w:rsidR="00C836F8" w:rsidRDefault="00F64C1D" w:rsidP="00AC579B">
      <w:pPr>
        <w:rPr>
          <w:b/>
          <w:snapToGrid w:val="0"/>
        </w:rPr>
      </w:pPr>
      <w:r w:rsidRPr="004610C1">
        <w:rPr>
          <w:noProof/>
          <w:snapToGrid w:val="0"/>
        </w:rPr>
        <mc:AlternateContent>
          <mc:Choice Requires="wps">
            <w:drawing>
              <wp:anchor distT="0" distB="0" distL="114300" distR="114300" simplePos="0" relativeHeight="251660288" behindDoc="0" locked="0" layoutInCell="1" allowOverlap="1" wp14:anchorId="048E0750" wp14:editId="57BB4128">
                <wp:simplePos x="0" y="0"/>
                <wp:positionH relativeFrom="column">
                  <wp:align>center</wp:align>
                </wp:positionH>
                <wp:positionV relativeFrom="paragraph">
                  <wp:posOffset>5715</wp:posOffset>
                </wp:positionV>
                <wp:extent cx="5191125" cy="989965"/>
                <wp:effectExtent l="0" t="0" r="28575" b="196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8996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6D72718" w14:textId="77777777" w:rsidR="00C31AC3" w:rsidRDefault="00C31AC3" w:rsidP="007D411B">
                            <w:r w:rsidRPr="004610C1">
                              <w:rPr>
                                <w:b/>
                                <w:snapToGrid w:val="0"/>
                              </w:rPr>
                              <w:t>Quick Tip</w:t>
                            </w:r>
                            <w:r w:rsidRPr="004610C1">
                              <w:rPr>
                                <w:snapToGrid w:val="0"/>
                              </w:rPr>
                              <w:t>:</w:t>
                            </w:r>
                            <w:r>
                              <w:rPr>
                                <w:snapToGrid w:val="0"/>
                              </w:rPr>
                              <w:t xml:space="preserve"> Remember to re-affirm any section of the survey that has been updated, and then resubmit the survey. Print a copy of your Last Submitted Survey and review it for accuracy and completeness. Check your updated survey results within the first 5 business days of the month following your resubmission at </w:t>
                            </w:r>
                            <w:hyperlink r:id="rId48" w:history="1">
                              <w:r w:rsidRPr="00EE24D9">
                                <w:rPr>
                                  <w:rStyle w:val="Hyperlink"/>
                                  <w:snapToGrid w:val="0"/>
                                </w:rPr>
                                <w:t>http://leapfroggroup.org/compare-hospitals</w:t>
                              </w:r>
                            </w:hyperlink>
                            <w:r>
                              <w:rPr>
                                <w:snapToGrid w:val="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45pt;width:408.75pt;height:77.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" fillcolor="white [3201]" strokecolor="#9bbb59 [3206]" strokeweight="2pt">
                <v:textbox>
                  <w:txbxContent>
                    <w:p w14:paraId="76D72718" w14:textId="77777777" w:rsidR="00C31AC3" w:rsidRDefault="00C31AC3" w:rsidP="007D411B">
                      <w:r w:rsidRPr="004610C1">
                        <w:rPr>
                          <w:b/>
                          <w:snapToGrid w:val="0"/>
                        </w:rPr>
                        <w:t>Quick Tip</w:t>
                      </w:r>
                      <w:r w:rsidRPr="004610C1">
                        <w:rPr>
                          <w:snapToGrid w:val="0"/>
                        </w:rPr>
                        <w:t>:</w:t>
                      </w:r>
                      <w:r>
                        <w:rPr>
                          <w:snapToGrid w:val="0"/>
                        </w:rPr>
                        <w:t xml:space="preserve"> Remember to re-affirm any section of the survey that has been updated, and then resubmit the survey. Print a copy of your Last Submitted Survey and review it for accuracy and completeness. Check your updated survey results within the first 5 business days of the month following your resubmission at </w:t>
                      </w:r>
                      <w:hyperlink r:id="rId49" w:history="1">
                        <w:r w:rsidRPr="00EE24D9">
                          <w:rPr>
                            <w:rStyle w:val="Hyperlink"/>
                            <w:snapToGrid w:val="0"/>
                          </w:rPr>
                          <w:t>http://leapfroggroup.org/compare-hospitals</w:t>
                        </w:r>
                      </w:hyperlink>
                      <w:r>
                        <w:rPr>
                          <w:snapToGrid w:val="0"/>
                        </w:rPr>
                        <w:t xml:space="preserve">. </w:t>
                      </w:r>
                    </w:p>
                  </w:txbxContent>
                </v:textbox>
                <w10:wrap type="topAndBottom"/>
              </v:shape>
            </w:pict>
          </mc:Fallback>
        </mc:AlternateContent>
      </w:r>
    </w:p>
    <w:p w14:paraId="2F4C6E83" w14:textId="77777777" w:rsidR="00C836F8" w:rsidRDefault="00C836F8" w:rsidP="00AC579B">
      <w:pPr>
        <w:rPr>
          <w:b/>
          <w:snapToGrid w:val="0"/>
        </w:rPr>
      </w:pPr>
    </w:p>
    <w:p w14:paraId="22386D16" w14:textId="77777777" w:rsidR="00C836F8" w:rsidRDefault="00C836F8" w:rsidP="00AC579B">
      <w:pPr>
        <w:rPr>
          <w:b/>
          <w:snapToGrid w:val="0"/>
        </w:rPr>
      </w:pPr>
    </w:p>
    <w:p w14:paraId="69BDA222" w14:textId="77777777" w:rsidR="00C836F8" w:rsidRDefault="00C836F8" w:rsidP="00AC579B">
      <w:pPr>
        <w:rPr>
          <w:b/>
          <w:snapToGrid w:val="0"/>
        </w:rPr>
      </w:pPr>
    </w:p>
    <w:p w14:paraId="2B01D496" w14:textId="77777777" w:rsidR="00C836F8" w:rsidRDefault="00C836F8" w:rsidP="00AC579B"/>
    <w:p w14:paraId="004536FE" w14:textId="77777777" w:rsidR="00190470" w:rsidRDefault="00190470" w:rsidP="00AC579B"/>
    <w:p w14:paraId="7A5B6019" w14:textId="77777777" w:rsidR="00190470" w:rsidRDefault="00190470" w:rsidP="00AC579B"/>
    <w:p w14:paraId="1E829745" w14:textId="77777777" w:rsidR="00190470" w:rsidRDefault="00190470">
      <w:pPr>
        <w:rPr>
          <w:b/>
          <w:sz w:val="28"/>
          <w:u w:val="single"/>
          <w:lang w:eastAsia="ja-JP"/>
        </w:rPr>
      </w:pPr>
      <w:r>
        <w:br w:type="page"/>
      </w:r>
    </w:p>
    <w:p w14:paraId="12F2016B" w14:textId="77777777" w:rsidR="00955832" w:rsidRDefault="0010643F" w:rsidP="00954B73">
      <w:pPr>
        <w:pStyle w:val="Heading2"/>
      </w:pPr>
      <w:bookmarkStart w:id="10" w:name="_Ensuring_Data_Accuracy"/>
      <w:bookmarkStart w:id="11" w:name="_Toc447194954"/>
      <w:bookmarkEnd w:id="10"/>
      <w:r>
        <w:lastRenderedPageBreak/>
        <w:t>Deadlines</w:t>
      </w:r>
      <w:bookmarkEnd w:id="11"/>
    </w:p>
    <w:p w14:paraId="692D270E" w14:textId="77777777" w:rsidR="000D3D0A" w:rsidRDefault="000D3D0A" w:rsidP="000D3D0A">
      <w:pPr>
        <w:rPr>
          <w:lang w:eastAsia="ja-JP"/>
        </w:rPr>
      </w:pPr>
    </w:p>
    <w:p w14:paraId="04404557" w14:textId="77777777" w:rsidR="000D3D0A" w:rsidRDefault="000D3D0A" w:rsidP="007A44CB">
      <w:pPr>
        <w:pStyle w:val="Heading3"/>
      </w:pPr>
      <w:bookmarkStart w:id="12" w:name="_Toc447194955"/>
      <w:r>
        <w:t>Deadlines for the 2016 Leapfrog Hospital Survey</w:t>
      </w:r>
      <w:bookmarkEnd w:id="12"/>
    </w:p>
    <w:p w14:paraId="30B0DABF" w14:textId="77777777" w:rsidR="000D3D0A" w:rsidRDefault="000D3D0A" w:rsidP="000D3D0A">
      <w:pPr>
        <w:rPr>
          <w:lang w:eastAsia="ja-JP"/>
        </w:rPr>
      </w:pPr>
      <w:r>
        <w:rPr>
          <w:lang w:eastAsia="ja-JP"/>
        </w:rPr>
        <w:t xml:space="preserve">The 2016 Leapfrog Hospital Survey opens on April 1, 2016 and closes </w:t>
      </w:r>
      <w:r w:rsidR="004F1742">
        <w:rPr>
          <w:lang w:eastAsia="ja-JP"/>
        </w:rPr>
        <w:t>on December 31, 2016</w:t>
      </w:r>
      <w:r w:rsidR="008D2906">
        <w:rPr>
          <w:lang w:eastAsia="ja-JP"/>
        </w:rPr>
        <w:t xml:space="preserve"> at 12 midnight ET</w:t>
      </w:r>
      <w:r w:rsidR="004F1742">
        <w:rPr>
          <w:lang w:eastAsia="ja-JP"/>
        </w:rPr>
        <w:t xml:space="preserve">. Corrections to </w:t>
      </w:r>
      <w:r>
        <w:t xml:space="preserve">surveys submitted by December 31, 2016 must </w:t>
      </w:r>
      <w:r w:rsidR="00EE2038">
        <w:t xml:space="preserve">be </w:t>
      </w:r>
      <w:r w:rsidR="004F1742">
        <w:t xml:space="preserve">submitted </w:t>
      </w:r>
      <w:r>
        <w:t>by January 31,</w:t>
      </w:r>
      <w:r w:rsidR="00E84A57">
        <w:t xml:space="preserve"> 2017</w:t>
      </w:r>
      <w:r w:rsidR="008D2906">
        <w:t xml:space="preserve"> at 12 midnight ET</w:t>
      </w:r>
      <w:r w:rsidR="004F1742">
        <w:t xml:space="preserve">. </w:t>
      </w:r>
      <w:r>
        <w:t>Hospitals will not be able to log into their 2016 Surveys after this date.</w:t>
      </w:r>
      <w:r>
        <w:rPr>
          <w:lang w:eastAsia="ja-JP"/>
        </w:rPr>
        <w:t xml:space="preserve"> For more detailed </w:t>
      </w:r>
      <w:r w:rsidR="00EE2038">
        <w:rPr>
          <w:lang w:eastAsia="ja-JP"/>
        </w:rPr>
        <w:t>i</w:t>
      </w:r>
      <w:r>
        <w:rPr>
          <w:lang w:eastAsia="ja-JP"/>
        </w:rPr>
        <w:t xml:space="preserve">nformation about 2016 Leapfrog Hospital Survey Deadlines, including </w:t>
      </w:r>
      <w:r w:rsidR="00EE2038">
        <w:rPr>
          <w:lang w:eastAsia="ja-JP"/>
        </w:rPr>
        <w:t>deadlines for receiving free Competitive Benchmarking Summary Reports</w:t>
      </w:r>
      <w:r>
        <w:rPr>
          <w:lang w:eastAsia="ja-JP"/>
        </w:rPr>
        <w:t xml:space="preserve"> and</w:t>
      </w:r>
      <w:r w:rsidR="008D2906">
        <w:rPr>
          <w:lang w:eastAsia="ja-JP"/>
        </w:rPr>
        <w:t xml:space="preserve"> Top Hospital </w:t>
      </w:r>
      <w:r w:rsidR="00EE2038">
        <w:rPr>
          <w:lang w:eastAsia="ja-JP"/>
        </w:rPr>
        <w:t>Awards</w:t>
      </w:r>
      <w:r w:rsidR="008D2906">
        <w:rPr>
          <w:lang w:eastAsia="ja-JP"/>
        </w:rPr>
        <w:t xml:space="preserve">, visit </w:t>
      </w:r>
      <w:hyperlink r:id="rId50" w:history="1">
        <w:r w:rsidR="00655953" w:rsidRPr="00EE24D9">
          <w:rPr>
            <w:rStyle w:val="Hyperlink"/>
            <w:lang w:eastAsia="ja-JP"/>
          </w:rPr>
          <w:t>http://leapfroggroup.org/survey-materials/deadlines</w:t>
        </w:r>
      </w:hyperlink>
      <w:r w:rsidR="008D2906">
        <w:rPr>
          <w:lang w:eastAsia="ja-JP"/>
        </w:rPr>
        <w:t xml:space="preserve">. </w:t>
      </w:r>
    </w:p>
    <w:p w14:paraId="0BC49773" w14:textId="77777777" w:rsidR="000D3D0A" w:rsidRDefault="000D3D0A" w:rsidP="000D3D0A">
      <w:pPr>
        <w:rPr>
          <w:lang w:eastAsia="ja-JP"/>
        </w:rPr>
      </w:pPr>
    </w:p>
    <w:p w14:paraId="0FF2C3E3" w14:textId="77777777" w:rsidR="000D3D0A" w:rsidRDefault="000D3D0A" w:rsidP="007A44CB">
      <w:pPr>
        <w:pStyle w:val="Heading3"/>
      </w:pPr>
      <w:bookmarkStart w:id="13" w:name="_Toc447194956"/>
      <w:r>
        <w:t>Deadlines Related to the Hospital Safety Score</w:t>
      </w:r>
      <w:bookmarkEnd w:id="13"/>
    </w:p>
    <w:p w14:paraId="6F519C46" w14:textId="77777777" w:rsidR="0010643F" w:rsidRPr="000D3D0A" w:rsidRDefault="000D3D0A" w:rsidP="0010643F">
      <w:r>
        <w:t xml:space="preserve">Please visit </w:t>
      </w:r>
      <w:hyperlink r:id="rId51" w:history="1">
        <w:r w:rsidRPr="000940ED">
          <w:rPr>
            <w:rStyle w:val="Hyperlink"/>
          </w:rPr>
          <w:t>http://www.hospitalsafetyscore.org/for-hospitals/updates-and-timelines-for-hospitals</w:t>
        </w:r>
      </w:hyperlink>
      <w:r>
        <w:t xml:space="preserve"> for a timeline of the Hospital Safety Score, which includes “Data Snapshot Dates” and other important dates associated with Spring and Fall updates to the Hospital Safety Score. </w:t>
      </w:r>
      <w:r w:rsidRPr="008F0B46">
        <w:t>The Leapfrog Hospital Survey and the Hospital Safety Score are distinct programs administered by The Leapfrog Group. Though some measures from the Leapfrog Hospital Survey are used in the Hospital Safety Score, the score also utilizes publicly availabl</w:t>
      </w:r>
      <w:r>
        <w:t xml:space="preserve">e data from other data sources. </w:t>
      </w:r>
    </w:p>
    <w:p w14:paraId="28E52E34" w14:textId="77777777" w:rsidR="00BE2AD0" w:rsidRDefault="00BE2AD0" w:rsidP="0010643F"/>
    <w:p w14:paraId="7B2A55A2" w14:textId="77777777" w:rsidR="004C16F0" w:rsidRPr="000F2241" w:rsidRDefault="00BE2AD0">
      <w:r>
        <w:t xml:space="preserve">Hospitals that would like Leapfrog Hospital Survey Results used in their Hospital Safety Score must submit a survey by the Data Snapshot Dates published at </w:t>
      </w:r>
      <w:hyperlink r:id="rId52" w:history="1">
        <w:r w:rsidRPr="000940ED">
          <w:rPr>
            <w:rStyle w:val="Hyperlink"/>
          </w:rPr>
          <w:t>http://www.hospitalsafetyscore.org/for-hospitals/updates-and-timelines-for-hospitals</w:t>
        </w:r>
      </w:hyperlink>
      <w:r w:rsidRPr="00F56278">
        <w:rPr>
          <w:rStyle w:val="Hyperlink"/>
          <w:color w:val="auto"/>
          <w:u w:val="none"/>
        </w:rPr>
        <w:t>.</w:t>
      </w:r>
      <w:r w:rsidRPr="00F56278">
        <w:rPr>
          <w:rStyle w:val="Hyperlink"/>
          <w:u w:val="none"/>
        </w:rPr>
        <w:t xml:space="preserve"> </w:t>
      </w:r>
    </w:p>
    <w:p w14:paraId="22241267" w14:textId="77777777" w:rsidR="0010643F" w:rsidRPr="00446D22" w:rsidRDefault="0010643F" w:rsidP="000E54C1">
      <w:pPr>
        <w:rPr>
          <w:b/>
          <w:sz w:val="28"/>
          <w:u w:val="single"/>
          <w:lang w:eastAsia="ja-JP"/>
        </w:rPr>
      </w:pPr>
      <w:r>
        <w:br w:type="page"/>
      </w:r>
    </w:p>
    <w:p w14:paraId="5CE2B848" w14:textId="77777777" w:rsidR="00446D22" w:rsidRPr="003D555A" w:rsidRDefault="00446D22" w:rsidP="00954B73">
      <w:pPr>
        <w:pStyle w:val="Heading2"/>
        <w:rPr>
          <w:snapToGrid w:val="0"/>
          <w:color w:val="A6A6A6" w:themeColor="background1" w:themeShade="A6"/>
          <w:sz w:val="40"/>
          <w:szCs w:val="40"/>
        </w:rPr>
      </w:pPr>
      <w:bookmarkStart w:id="14" w:name="_Toc447194957"/>
      <w:r w:rsidRPr="003D6A23">
        <w:rPr>
          <w:snapToGrid w:val="0"/>
        </w:rPr>
        <w:lastRenderedPageBreak/>
        <w:t>Technical Assistance</w:t>
      </w:r>
      <w:bookmarkEnd w:id="14"/>
    </w:p>
    <w:p w14:paraId="00C48B36" w14:textId="77777777" w:rsidR="00446D22" w:rsidRDefault="00446D22" w:rsidP="00446D22">
      <w:pPr>
        <w:rPr>
          <w:highlight w:val="yellow"/>
          <w:lang w:eastAsia="ja-JP"/>
        </w:rPr>
      </w:pPr>
    </w:p>
    <w:p w14:paraId="0F1D3D0F" w14:textId="77777777" w:rsidR="00446D22" w:rsidRDefault="00446D22" w:rsidP="00446D22">
      <w:pPr>
        <w:pStyle w:val="Heading3"/>
      </w:pPr>
      <w:bookmarkStart w:id="15" w:name="_Toc447194958"/>
      <w:r w:rsidRPr="003D6A23">
        <w:t>Help Desk</w:t>
      </w:r>
      <w:bookmarkEnd w:id="15"/>
    </w:p>
    <w:p w14:paraId="6FBC22E4" w14:textId="77777777" w:rsidR="00446D22" w:rsidRDefault="00446D22" w:rsidP="00446D22">
      <w:pPr>
        <w:rPr>
          <w:lang w:eastAsia="ja-JP"/>
        </w:rPr>
      </w:pPr>
      <w:r>
        <w:rPr>
          <w:lang w:eastAsia="ja-JP"/>
        </w:rPr>
        <w:t xml:space="preserve">Leapfrog operates an </w:t>
      </w:r>
      <w:r w:rsidR="000A4F9F">
        <w:rPr>
          <w:lang w:eastAsia="ja-JP"/>
        </w:rPr>
        <w:t xml:space="preserve">online </w:t>
      </w:r>
      <w:r>
        <w:rPr>
          <w:lang w:eastAsia="ja-JP"/>
        </w:rPr>
        <w:t>Survey Help Desk to provide hospitals with technical assistance and answers to content-related</w:t>
      </w:r>
      <w:r w:rsidR="000A4F9F">
        <w:rPr>
          <w:lang w:eastAsia="ja-JP"/>
        </w:rPr>
        <w:t xml:space="preserve"> survey</w:t>
      </w:r>
      <w:r>
        <w:rPr>
          <w:lang w:eastAsia="ja-JP"/>
        </w:rPr>
        <w:t xml:space="preserve"> questions. The Help Desk is staffed Monday-Friday from 9 am to 5 pm ET. Help Desk support staff typically respond to inquiries within 24-48 hours, but we do ask that hospitals plan ahead and allow ample time to fulfill security code requests and other urgent tickets before survey deadlines.</w:t>
      </w:r>
    </w:p>
    <w:p w14:paraId="1F93843F" w14:textId="77777777" w:rsidR="00446D22" w:rsidRDefault="00446D22" w:rsidP="00446D22">
      <w:pPr>
        <w:rPr>
          <w:lang w:eastAsia="ja-JP"/>
        </w:rPr>
      </w:pPr>
    </w:p>
    <w:p w14:paraId="7945270C" w14:textId="77777777" w:rsidR="00446D22" w:rsidRPr="00C87CA0" w:rsidRDefault="00446D22" w:rsidP="00446D22">
      <w:pPr>
        <w:rPr>
          <w:b/>
          <w:lang w:eastAsia="ja-JP"/>
        </w:rPr>
      </w:pPr>
      <w:r>
        <w:rPr>
          <w:lang w:eastAsia="ja-JP"/>
        </w:rPr>
        <w:t xml:space="preserve">Tickets can be submitted electronically at </w:t>
      </w:r>
      <w:hyperlink r:id="rId53" w:history="1">
        <w:r w:rsidRPr="00EE24D9">
          <w:rPr>
            <w:rStyle w:val="Hyperlink"/>
            <w:lang w:eastAsia="ja-JP"/>
          </w:rPr>
          <w:t>https://leapfroghospitalsurvey.zendesk.com</w:t>
        </w:r>
      </w:hyperlink>
      <w:r>
        <w:rPr>
          <w:lang w:eastAsia="ja-JP"/>
        </w:rPr>
        <w:t xml:space="preserve">. You will receive a confirmation email and response from </w:t>
      </w:r>
      <w:hyperlink r:id="rId54" w:history="1">
        <w:r w:rsidRPr="007274CD">
          <w:rPr>
            <w:rStyle w:val="Hyperlink"/>
            <w:lang w:eastAsia="ja-JP"/>
          </w:rPr>
          <w:t>helpdesk@leapfroggroup.org</w:t>
        </w:r>
      </w:hyperlink>
      <w:r>
        <w:rPr>
          <w:lang w:eastAsia="ja-JP"/>
        </w:rPr>
        <w:t xml:space="preserve">. </w:t>
      </w:r>
      <w:r w:rsidRPr="00C87CA0">
        <w:rPr>
          <w:b/>
          <w:lang w:eastAsia="ja-JP"/>
        </w:rPr>
        <w:t>To ensure that you receive our emails, please work with your IT Team to add the @leapfroggroup.org domain to you</w:t>
      </w:r>
      <w:r w:rsidR="00924FF9">
        <w:rPr>
          <w:b/>
          <w:lang w:eastAsia="ja-JP"/>
        </w:rPr>
        <w:t>r</w:t>
      </w:r>
      <w:r w:rsidRPr="00C87CA0">
        <w:rPr>
          <w:b/>
          <w:lang w:eastAsia="ja-JP"/>
        </w:rPr>
        <w:t xml:space="preserve"> email’s safe sender list.</w:t>
      </w:r>
    </w:p>
    <w:p w14:paraId="6CF7E01B" w14:textId="77777777" w:rsidR="00446D22" w:rsidRPr="003D6A23" w:rsidRDefault="00446D22" w:rsidP="00446D22">
      <w:pPr>
        <w:rPr>
          <w:lang w:eastAsia="ja-JP"/>
        </w:rPr>
      </w:pPr>
    </w:p>
    <w:p w14:paraId="7C5D699C" w14:textId="77777777" w:rsidR="00446D22" w:rsidRPr="003D6A23" w:rsidRDefault="00446D22" w:rsidP="00446D22">
      <w:pPr>
        <w:pStyle w:val="Heading3"/>
      </w:pPr>
      <w:bookmarkStart w:id="16" w:name="_Toc447194959"/>
      <w:r w:rsidRPr="003D6A23">
        <w:t>Leapfrog Survey Users Group</w:t>
      </w:r>
      <w:bookmarkEnd w:id="16"/>
    </w:p>
    <w:p w14:paraId="26A984FA" w14:textId="77777777" w:rsidR="00446D22" w:rsidRDefault="00446D22" w:rsidP="00446D22">
      <w:pPr>
        <w:spacing w:after="120"/>
        <w:rPr>
          <w:lang w:eastAsia="ja-JP"/>
        </w:rPr>
      </w:pPr>
      <w:r>
        <w:rPr>
          <w:lang w:eastAsia="ja-JP"/>
        </w:rPr>
        <w:t>In response to many requests from hospitals, Leapfrog launched a Hospital Survey Users Group. For an annual fee of $150 per user, hospitals will have access to all User Group benefits for one Survey Cycle (March – December). Hospitals that join the Users Group will have access to:</w:t>
      </w:r>
    </w:p>
    <w:p w14:paraId="505F35AC" w14:textId="77777777" w:rsidR="00446D22" w:rsidRDefault="00446D22" w:rsidP="00ED58C1">
      <w:pPr>
        <w:pStyle w:val="ListParagraph"/>
        <w:numPr>
          <w:ilvl w:val="0"/>
          <w:numId w:val="75"/>
        </w:numPr>
        <w:rPr>
          <w:lang w:eastAsia="ja-JP"/>
        </w:rPr>
      </w:pPr>
      <w:r>
        <w:rPr>
          <w:lang w:eastAsia="ja-JP"/>
        </w:rPr>
        <w:t>Topical monthly technical assistance calls</w:t>
      </w:r>
    </w:p>
    <w:p w14:paraId="6F9AF2EE" w14:textId="77777777" w:rsidR="00446D22" w:rsidRDefault="00446D22" w:rsidP="00ED58C1">
      <w:pPr>
        <w:pStyle w:val="ListParagraph"/>
        <w:numPr>
          <w:ilvl w:val="1"/>
          <w:numId w:val="75"/>
        </w:numPr>
        <w:rPr>
          <w:lang w:eastAsia="ja-JP"/>
        </w:rPr>
      </w:pPr>
      <w:r>
        <w:rPr>
          <w:lang w:eastAsia="ja-JP"/>
        </w:rPr>
        <w:t>Topics will include: changes to Leapfrog’s online survey platform, changes to scoring algorithms, overview of new measures, utilizing Leapfrog results in your market, etc.</w:t>
      </w:r>
    </w:p>
    <w:p w14:paraId="2666806F" w14:textId="77777777" w:rsidR="00446D22" w:rsidRDefault="00446D22" w:rsidP="00ED58C1">
      <w:pPr>
        <w:pStyle w:val="ListParagraph"/>
        <w:numPr>
          <w:ilvl w:val="1"/>
          <w:numId w:val="75"/>
        </w:numPr>
        <w:rPr>
          <w:lang w:eastAsia="ja-JP"/>
        </w:rPr>
      </w:pPr>
      <w:r>
        <w:rPr>
          <w:lang w:eastAsia="ja-JP"/>
        </w:rPr>
        <w:t>Every call will include 20 minutes for Q and A</w:t>
      </w:r>
    </w:p>
    <w:p w14:paraId="4559F26C" w14:textId="77777777" w:rsidR="00446D22" w:rsidRDefault="00446D22" w:rsidP="00ED58C1">
      <w:pPr>
        <w:pStyle w:val="ListParagraph"/>
        <w:numPr>
          <w:ilvl w:val="0"/>
          <w:numId w:val="75"/>
        </w:numPr>
        <w:rPr>
          <w:lang w:eastAsia="ja-JP"/>
        </w:rPr>
      </w:pPr>
      <w:r>
        <w:rPr>
          <w:lang w:eastAsia="ja-JP"/>
        </w:rPr>
        <w:t>Special webinars and presentations regarding Leapfrog standards</w:t>
      </w:r>
    </w:p>
    <w:p w14:paraId="26B5F9BE" w14:textId="77777777" w:rsidR="00446D22" w:rsidRDefault="00446D22" w:rsidP="00ED58C1">
      <w:pPr>
        <w:pStyle w:val="ListParagraph"/>
        <w:numPr>
          <w:ilvl w:val="0"/>
          <w:numId w:val="75"/>
        </w:numPr>
        <w:rPr>
          <w:lang w:eastAsia="ja-JP"/>
        </w:rPr>
      </w:pPr>
      <w:r>
        <w:rPr>
          <w:lang w:eastAsia="ja-JP"/>
        </w:rPr>
        <w:t>Presentations by Leapfrog’s Expert Panel Members</w:t>
      </w:r>
    </w:p>
    <w:p w14:paraId="2E3AC611" w14:textId="77777777" w:rsidR="00446D22" w:rsidRDefault="00446D22" w:rsidP="00446D22">
      <w:pPr>
        <w:rPr>
          <w:lang w:eastAsia="ja-JP"/>
        </w:rPr>
      </w:pPr>
    </w:p>
    <w:p w14:paraId="1FCD3E10" w14:textId="77777777" w:rsidR="00446D22" w:rsidRDefault="00446D22" w:rsidP="00446D22">
      <w:pPr>
        <w:rPr>
          <w:lang w:eastAsia="ja-JP"/>
        </w:rPr>
      </w:pPr>
      <w:r>
        <w:rPr>
          <w:lang w:eastAsia="ja-JP"/>
        </w:rPr>
        <w:t>For more information and to register, please visit</w:t>
      </w:r>
      <w:r w:rsidR="00297DB7">
        <w:rPr>
          <w:lang w:eastAsia="ja-JP"/>
        </w:rPr>
        <w:t xml:space="preserve"> </w:t>
      </w:r>
      <w:hyperlink r:id="rId55" w:history="1">
        <w:r w:rsidR="00F12290" w:rsidRPr="000421AE">
          <w:rPr>
            <w:rStyle w:val="Hyperlink"/>
            <w:lang w:eastAsia="ja-JP"/>
          </w:rPr>
          <w:t>http://leapfroggroup.org/survey-materials/get-help</w:t>
        </w:r>
      </w:hyperlink>
      <w:r w:rsidR="00F12290">
        <w:t xml:space="preserve">. </w:t>
      </w:r>
    </w:p>
    <w:p w14:paraId="1FD2B505" w14:textId="77777777" w:rsidR="00446D22" w:rsidRDefault="00446D22" w:rsidP="00446D22">
      <w:pPr>
        <w:rPr>
          <w:lang w:eastAsia="ja-JP"/>
        </w:rPr>
      </w:pPr>
    </w:p>
    <w:p w14:paraId="7177460C" w14:textId="77777777" w:rsidR="00446D22" w:rsidRDefault="00446D22" w:rsidP="00446D22">
      <w:pPr>
        <w:rPr>
          <w:lang w:eastAsia="ja-JP"/>
        </w:rPr>
      </w:pPr>
      <w:r>
        <w:rPr>
          <w:lang w:eastAsia="ja-JP"/>
        </w:rPr>
        <w:t>Hospitals that choose not to join the Users Group will still have access to the Help Desk for free. The Users Group is designed for hospitals that need additional support in understanding the survey and the scored results.</w:t>
      </w:r>
    </w:p>
    <w:p w14:paraId="07C73445" w14:textId="77777777" w:rsidR="00446D22" w:rsidRDefault="00446D22" w:rsidP="00954B73">
      <w:pPr>
        <w:pStyle w:val="Heading2"/>
        <w:rPr>
          <w:snapToGrid w:val="0"/>
        </w:rPr>
      </w:pPr>
    </w:p>
    <w:p w14:paraId="002D02ED" w14:textId="77777777" w:rsidR="00446D22" w:rsidRDefault="00446D22">
      <w:pPr>
        <w:rPr>
          <w:b/>
          <w:snapToGrid w:val="0"/>
          <w:sz w:val="28"/>
          <w:u w:val="single"/>
          <w:lang w:eastAsia="ja-JP"/>
        </w:rPr>
      </w:pPr>
      <w:r>
        <w:rPr>
          <w:snapToGrid w:val="0"/>
        </w:rPr>
        <w:br w:type="page"/>
      </w:r>
    </w:p>
    <w:p w14:paraId="59D5F8FD" w14:textId="77777777" w:rsidR="00BA3AAA" w:rsidRDefault="00BA3AAA" w:rsidP="00954B73">
      <w:pPr>
        <w:pStyle w:val="Heading2"/>
        <w:rPr>
          <w:snapToGrid w:val="0"/>
        </w:rPr>
      </w:pPr>
      <w:bookmarkStart w:id="17" w:name="_Reporting_Periods"/>
      <w:bookmarkStart w:id="18" w:name="_Toc447194960"/>
      <w:bookmarkEnd w:id="17"/>
      <w:r>
        <w:rPr>
          <w:snapToGrid w:val="0"/>
        </w:rPr>
        <w:lastRenderedPageBreak/>
        <w:t>Reporting Periods</w:t>
      </w:r>
      <w:bookmarkEnd w:id="18"/>
    </w:p>
    <w:p w14:paraId="00BDF947" w14:textId="77777777" w:rsidR="001B457B" w:rsidRDefault="001B457B" w:rsidP="001B457B">
      <w:pPr>
        <w:rPr>
          <w:lang w:eastAsia="ja-JP"/>
        </w:rPr>
      </w:pPr>
    </w:p>
    <w:p w14:paraId="1310C1DB" w14:textId="77777777" w:rsidR="001B457B" w:rsidRDefault="00671BE9" w:rsidP="001B457B">
      <w:pPr>
        <w:rPr>
          <w:lang w:eastAsia="ja-JP"/>
        </w:rPr>
      </w:pPr>
      <w:r w:rsidRPr="00671BE9">
        <w:rPr>
          <w:b/>
          <w:color w:val="FF0000"/>
          <w:lang w:eastAsia="ja-JP"/>
        </w:rPr>
        <w:t>Important Note:</w:t>
      </w:r>
      <w:r w:rsidRPr="00671BE9">
        <w:rPr>
          <w:color w:val="FF0000"/>
          <w:lang w:eastAsia="ja-JP"/>
        </w:rPr>
        <w:t xml:space="preserve"> </w:t>
      </w:r>
      <w:r w:rsidR="001B457B">
        <w:rPr>
          <w:lang w:eastAsia="ja-JP"/>
        </w:rPr>
        <w:t xml:space="preserve">Due to the nation-wide transition from the use of ICD-9 administrative codes to ICD-10 administrative codes, Leapfrog has updated the reporting periods and measure specifications based on </w:t>
      </w:r>
      <w:r w:rsidR="00160D1E">
        <w:rPr>
          <w:lang w:eastAsia="ja-JP"/>
        </w:rPr>
        <w:t xml:space="preserve">a </w:t>
      </w:r>
      <w:r w:rsidR="001B457B">
        <w:rPr>
          <w:lang w:eastAsia="ja-JP"/>
        </w:rPr>
        <w:t xml:space="preserve">hospital’s survey submission date. </w:t>
      </w:r>
      <w:r w:rsidR="002D4DD4">
        <w:rPr>
          <w:lang w:eastAsia="ja-JP"/>
        </w:rPr>
        <w:t xml:space="preserve">Please carefully review the information below and contact the Help Desk if you have any questions. </w:t>
      </w:r>
    </w:p>
    <w:p w14:paraId="15136CC0" w14:textId="77777777" w:rsidR="00BA3AAA" w:rsidRDefault="00BA3AAA" w:rsidP="00BA3AAA">
      <w:pPr>
        <w:rPr>
          <w:lang w:eastAsia="ja-JP"/>
        </w:rPr>
      </w:pPr>
    </w:p>
    <w:tbl>
      <w:tblPr>
        <w:tblStyle w:val="TableGrid"/>
        <w:tblW w:w="10080" w:type="dxa"/>
        <w:jc w:val="center"/>
        <w:tblLayout w:type="fixed"/>
        <w:tblLook w:val="04A0" w:firstRow="1" w:lastRow="0" w:firstColumn="1" w:lastColumn="0" w:noHBand="0" w:noVBand="1"/>
      </w:tblPr>
      <w:tblGrid>
        <w:gridCol w:w="2481"/>
        <w:gridCol w:w="2481"/>
        <w:gridCol w:w="1318"/>
        <w:gridCol w:w="2482"/>
        <w:gridCol w:w="1318"/>
      </w:tblGrid>
      <w:tr w:rsidR="00134EBF" w:rsidRPr="00CE12BF" w14:paraId="6F74D8A7" w14:textId="77777777" w:rsidTr="00C44B4E">
        <w:trPr>
          <w:tblHeader/>
          <w:jc w:val="center"/>
        </w:trPr>
        <w:tc>
          <w:tcPr>
            <w:tcW w:w="2481" w:type="dxa"/>
            <w:tcBorders>
              <w:top w:val="nil"/>
              <w:left w:val="nil"/>
              <w:bottom w:val="nil"/>
              <w:right w:val="single" w:sz="4" w:space="0" w:color="auto"/>
            </w:tcBorders>
            <w:shd w:val="clear" w:color="auto" w:fill="auto"/>
            <w:vAlign w:val="center"/>
          </w:tcPr>
          <w:p w14:paraId="253FD0EA" w14:textId="77777777" w:rsidR="00134EBF" w:rsidRPr="00CE12BF" w:rsidRDefault="00134EBF" w:rsidP="00407EF0">
            <w:pPr>
              <w:jc w:val="center"/>
              <w:rPr>
                <w:b/>
                <w:color w:val="FFFFFF" w:themeColor="background1"/>
              </w:rPr>
            </w:pPr>
          </w:p>
        </w:tc>
        <w:tc>
          <w:tcPr>
            <w:tcW w:w="3799" w:type="dxa"/>
            <w:gridSpan w:val="2"/>
            <w:tcBorders>
              <w:left w:val="single" w:sz="4" w:space="0" w:color="auto"/>
            </w:tcBorders>
            <w:shd w:val="clear" w:color="auto" w:fill="auto"/>
            <w:vAlign w:val="center"/>
          </w:tcPr>
          <w:p w14:paraId="1C3E63F5" w14:textId="77777777" w:rsidR="00134EBF" w:rsidRPr="00BD67BF" w:rsidRDefault="00134EBF" w:rsidP="00244CCE">
            <w:pPr>
              <w:spacing w:before="120" w:after="120"/>
              <w:jc w:val="center"/>
              <w:rPr>
                <w:b/>
                <w:color w:val="FF0000"/>
              </w:rPr>
            </w:pPr>
            <w:r w:rsidRPr="00BD67BF">
              <w:rPr>
                <w:b/>
                <w:color w:val="FF0000"/>
              </w:rPr>
              <w:t xml:space="preserve">Survey (Re)Submitted </w:t>
            </w:r>
            <w:r w:rsidRPr="00BD67BF">
              <w:rPr>
                <w:b/>
                <w:color w:val="FF0000"/>
                <w:u w:val="single"/>
              </w:rPr>
              <w:t>Prior</w:t>
            </w:r>
            <w:r w:rsidRPr="00BD67BF">
              <w:rPr>
                <w:b/>
                <w:color w:val="FF0000"/>
              </w:rPr>
              <w:t xml:space="preserve"> to September 1, 2016 </w:t>
            </w:r>
          </w:p>
        </w:tc>
        <w:tc>
          <w:tcPr>
            <w:tcW w:w="3800" w:type="dxa"/>
            <w:gridSpan w:val="2"/>
            <w:shd w:val="clear" w:color="auto" w:fill="auto"/>
            <w:vAlign w:val="center"/>
          </w:tcPr>
          <w:p w14:paraId="208D8004" w14:textId="77777777" w:rsidR="00134EBF" w:rsidRPr="00BD67BF" w:rsidRDefault="00134EBF" w:rsidP="00407EF0">
            <w:pPr>
              <w:jc w:val="center"/>
              <w:rPr>
                <w:b/>
                <w:color w:val="FF0000"/>
              </w:rPr>
            </w:pPr>
            <w:r w:rsidRPr="00BD67BF">
              <w:rPr>
                <w:b/>
                <w:color w:val="FF0000"/>
              </w:rPr>
              <w:t xml:space="preserve">Survey (Re)Submitted </w:t>
            </w:r>
            <w:r w:rsidRPr="00BD67BF">
              <w:rPr>
                <w:b/>
                <w:color w:val="FF0000"/>
                <w:u w:val="single"/>
              </w:rPr>
              <w:t>On or After</w:t>
            </w:r>
            <w:r w:rsidRPr="00BD67BF">
              <w:rPr>
                <w:b/>
                <w:color w:val="FF0000"/>
              </w:rPr>
              <w:t xml:space="preserve"> September 1, 2016</w:t>
            </w:r>
          </w:p>
        </w:tc>
      </w:tr>
      <w:tr w:rsidR="00C44B4E" w:rsidRPr="00CE12BF" w14:paraId="5775196F" w14:textId="77777777" w:rsidTr="002D4DD4">
        <w:trPr>
          <w:tblHeader/>
          <w:jc w:val="center"/>
        </w:trPr>
        <w:tc>
          <w:tcPr>
            <w:tcW w:w="2481" w:type="dxa"/>
            <w:tcBorders>
              <w:top w:val="nil"/>
            </w:tcBorders>
            <w:shd w:val="clear" w:color="auto" w:fill="17365D" w:themeFill="text2" w:themeFillShade="BF"/>
            <w:vAlign w:val="center"/>
          </w:tcPr>
          <w:p w14:paraId="70A873E4" w14:textId="77777777" w:rsidR="00134EBF" w:rsidRDefault="00134EBF" w:rsidP="00407EF0">
            <w:pPr>
              <w:jc w:val="center"/>
              <w:rPr>
                <w:b/>
                <w:color w:val="FFFFFF" w:themeColor="background1"/>
              </w:rPr>
            </w:pPr>
            <w:r>
              <w:rPr>
                <w:b/>
                <w:color w:val="FFFFFF" w:themeColor="background1"/>
              </w:rPr>
              <w:t>Survey Section/</w:t>
            </w:r>
          </w:p>
          <w:p w14:paraId="0972E5BF" w14:textId="77777777" w:rsidR="00134EBF" w:rsidRPr="00CE12BF" w:rsidRDefault="00134EBF" w:rsidP="00407EF0">
            <w:pPr>
              <w:jc w:val="center"/>
              <w:rPr>
                <w:b/>
                <w:color w:val="FFFFFF" w:themeColor="background1"/>
              </w:rPr>
            </w:pPr>
            <w:r w:rsidRPr="00CE12BF">
              <w:rPr>
                <w:b/>
                <w:color w:val="FFFFFF" w:themeColor="background1"/>
              </w:rPr>
              <w:t>Measure</w:t>
            </w:r>
          </w:p>
        </w:tc>
        <w:tc>
          <w:tcPr>
            <w:tcW w:w="2481" w:type="dxa"/>
            <w:shd w:val="clear" w:color="auto" w:fill="17365D" w:themeFill="text2" w:themeFillShade="BF"/>
            <w:vAlign w:val="center"/>
          </w:tcPr>
          <w:p w14:paraId="17E483DD" w14:textId="77777777" w:rsidR="00134EBF" w:rsidRPr="00C44B4E" w:rsidRDefault="00134EBF" w:rsidP="00407EF0">
            <w:pPr>
              <w:jc w:val="center"/>
              <w:rPr>
                <w:b/>
                <w:color w:val="FFFFFF" w:themeColor="background1"/>
              </w:rPr>
            </w:pPr>
            <w:r w:rsidRPr="00C44B4E">
              <w:rPr>
                <w:b/>
                <w:color w:val="FFFFFF" w:themeColor="background1"/>
              </w:rPr>
              <w:t>Reporting Period</w:t>
            </w:r>
          </w:p>
        </w:tc>
        <w:tc>
          <w:tcPr>
            <w:tcW w:w="1318" w:type="dxa"/>
            <w:shd w:val="clear" w:color="auto" w:fill="17365D" w:themeFill="text2" w:themeFillShade="BF"/>
          </w:tcPr>
          <w:p w14:paraId="34A386F5" w14:textId="77777777" w:rsidR="00134EBF" w:rsidRPr="00C44B4E" w:rsidRDefault="00134EBF" w:rsidP="00407EF0">
            <w:pPr>
              <w:jc w:val="center"/>
              <w:rPr>
                <w:b/>
                <w:color w:val="FFFFFF" w:themeColor="background1"/>
              </w:rPr>
            </w:pPr>
          </w:p>
          <w:p w14:paraId="007D3E66" w14:textId="77777777" w:rsidR="00134EBF" w:rsidRPr="00C44B4E" w:rsidRDefault="0044445E" w:rsidP="00407EF0">
            <w:pPr>
              <w:jc w:val="center"/>
              <w:rPr>
                <w:b/>
                <w:color w:val="FFFFFF" w:themeColor="background1"/>
              </w:rPr>
            </w:pPr>
            <w:r>
              <w:rPr>
                <w:b/>
                <w:color w:val="FFFFFF" w:themeColor="background1"/>
              </w:rPr>
              <w:t>Use of</w:t>
            </w:r>
          </w:p>
          <w:p w14:paraId="5FCF76EA" w14:textId="77777777" w:rsidR="00134EBF" w:rsidRPr="00C44B4E" w:rsidRDefault="00134EBF" w:rsidP="00407EF0">
            <w:pPr>
              <w:jc w:val="center"/>
              <w:rPr>
                <w:b/>
                <w:color w:val="FFFFFF" w:themeColor="background1"/>
              </w:rPr>
            </w:pPr>
            <w:r w:rsidRPr="00C44B4E">
              <w:rPr>
                <w:b/>
                <w:color w:val="FFFFFF" w:themeColor="background1"/>
              </w:rPr>
              <w:t>ICD 9 or ICD 10 codes</w:t>
            </w:r>
          </w:p>
        </w:tc>
        <w:tc>
          <w:tcPr>
            <w:tcW w:w="2482" w:type="dxa"/>
            <w:shd w:val="clear" w:color="auto" w:fill="17365D" w:themeFill="text2" w:themeFillShade="BF"/>
            <w:vAlign w:val="center"/>
          </w:tcPr>
          <w:p w14:paraId="3511E120" w14:textId="77777777" w:rsidR="00134EBF" w:rsidRDefault="00134EBF" w:rsidP="00407EF0">
            <w:pPr>
              <w:jc w:val="center"/>
              <w:rPr>
                <w:b/>
                <w:color w:val="FFFFFF" w:themeColor="background1"/>
              </w:rPr>
            </w:pPr>
            <w:r>
              <w:rPr>
                <w:b/>
                <w:color w:val="FFFFFF" w:themeColor="background1"/>
              </w:rPr>
              <w:t>Reporting Period</w:t>
            </w:r>
          </w:p>
        </w:tc>
        <w:tc>
          <w:tcPr>
            <w:tcW w:w="1318" w:type="dxa"/>
            <w:shd w:val="clear" w:color="auto" w:fill="17365D" w:themeFill="text2" w:themeFillShade="BF"/>
          </w:tcPr>
          <w:p w14:paraId="09F66012" w14:textId="77777777" w:rsidR="00134EBF" w:rsidRDefault="00134EBF" w:rsidP="00407EF0">
            <w:pPr>
              <w:jc w:val="center"/>
              <w:rPr>
                <w:b/>
                <w:color w:val="FFFFFF" w:themeColor="background1"/>
              </w:rPr>
            </w:pPr>
          </w:p>
          <w:p w14:paraId="4BD0450A" w14:textId="77777777" w:rsidR="00134EBF" w:rsidRDefault="0044445E" w:rsidP="00407EF0">
            <w:pPr>
              <w:jc w:val="center"/>
              <w:rPr>
                <w:b/>
                <w:color w:val="FFFFFF" w:themeColor="background1"/>
              </w:rPr>
            </w:pPr>
            <w:r>
              <w:rPr>
                <w:b/>
                <w:color w:val="FFFFFF" w:themeColor="background1"/>
              </w:rPr>
              <w:t>Use of</w:t>
            </w:r>
            <w:r w:rsidR="00134EBF">
              <w:rPr>
                <w:b/>
                <w:color w:val="FFFFFF" w:themeColor="background1"/>
              </w:rPr>
              <w:t xml:space="preserve"> </w:t>
            </w:r>
          </w:p>
          <w:p w14:paraId="0FF57ACF" w14:textId="77777777" w:rsidR="00134EBF" w:rsidRDefault="00134EBF" w:rsidP="00407EF0">
            <w:pPr>
              <w:jc w:val="center"/>
              <w:rPr>
                <w:b/>
                <w:color w:val="FFFFFF" w:themeColor="background1"/>
              </w:rPr>
            </w:pPr>
            <w:r>
              <w:rPr>
                <w:b/>
                <w:color w:val="FFFFFF" w:themeColor="background1"/>
              </w:rPr>
              <w:t>ICD 9 or ICD 10 codes</w:t>
            </w:r>
          </w:p>
        </w:tc>
      </w:tr>
      <w:tr w:rsidR="00B56CC1" w:rsidRPr="00CE12BF" w14:paraId="73658272" w14:textId="77777777" w:rsidTr="0044445E">
        <w:trPr>
          <w:jc w:val="center"/>
        </w:trPr>
        <w:tc>
          <w:tcPr>
            <w:tcW w:w="2481" w:type="dxa"/>
            <w:shd w:val="clear" w:color="auto" w:fill="D9D9D9" w:themeFill="background1" w:themeFillShade="D9"/>
          </w:tcPr>
          <w:p w14:paraId="425DA70B" w14:textId="77777777" w:rsidR="005A21C4" w:rsidRDefault="005A21C4" w:rsidP="00244CCE">
            <w:pPr>
              <w:spacing w:before="120" w:after="120"/>
              <w:rPr>
                <w:b/>
              </w:rPr>
            </w:pPr>
            <w:r>
              <w:rPr>
                <w:b/>
              </w:rPr>
              <w:t xml:space="preserve">Section </w:t>
            </w:r>
            <w:r w:rsidR="00134EBF">
              <w:rPr>
                <w:b/>
              </w:rPr>
              <w:t xml:space="preserve">1 </w:t>
            </w:r>
          </w:p>
          <w:p w14:paraId="1DDE242B" w14:textId="77777777" w:rsidR="00134EBF" w:rsidRPr="00CE12BF" w:rsidRDefault="00134EBF" w:rsidP="00244CCE">
            <w:pPr>
              <w:spacing w:before="120" w:after="120"/>
              <w:rPr>
                <w:b/>
              </w:rPr>
            </w:pPr>
            <w:r w:rsidRPr="00134EBF">
              <w:t>Basic Hospital Information</w:t>
            </w:r>
          </w:p>
        </w:tc>
        <w:tc>
          <w:tcPr>
            <w:tcW w:w="2481" w:type="dxa"/>
            <w:shd w:val="clear" w:color="auto" w:fill="auto"/>
            <w:vAlign w:val="center"/>
          </w:tcPr>
          <w:p w14:paraId="6E1E50EC" w14:textId="77777777" w:rsidR="00134EBF" w:rsidRPr="00CE12BF" w:rsidRDefault="00B56CC1" w:rsidP="00160D1E">
            <w:pPr>
              <w:jc w:val="center"/>
            </w:pPr>
            <w:r>
              <w:t>12-</w:t>
            </w:r>
            <w:r w:rsidR="00F409B7">
              <w:t>months</w:t>
            </w:r>
            <w:r>
              <w:t xml:space="preserve"> ending </w:t>
            </w:r>
            <w:r w:rsidR="00C44B4E">
              <w:t>12/31/2015</w:t>
            </w:r>
          </w:p>
        </w:tc>
        <w:tc>
          <w:tcPr>
            <w:tcW w:w="1318" w:type="dxa"/>
            <w:shd w:val="clear" w:color="auto" w:fill="auto"/>
            <w:vAlign w:val="center"/>
          </w:tcPr>
          <w:p w14:paraId="1C135CA1" w14:textId="77777777" w:rsidR="00134EBF" w:rsidRPr="00CE12BF" w:rsidRDefault="00B56CC1" w:rsidP="00160D1E">
            <w:pPr>
              <w:jc w:val="center"/>
            </w:pPr>
            <w:r>
              <w:t>N/A</w:t>
            </w:r>
          </w:p>
        </w:tc>
        <w:tc>
          <w:tcPr>
            <w:tcW w:w="2482" w:type="dxa"/>
            <w:vAlign w:val="center"/>
          </w:tcPr>
          <w:p w14:paraId="2DD55FBC" w14:textId="77777777" w:rsidR="00134EBF" w:rsidRPr="00CE12BF" w:rsidRDefault="00C44B4E" w:rsidP="00160D1E">
            <w:pPr>
              <w:jc w:val="center"/>
            </w:pPr>
            <w:r>
              <w:t>12-</w:t>
            </w:r>
            <w:r w:rsidR="00B56CC1">
              <w:t>months ending 06/30/2016</w:t>
            </w:r>
          </w:p>
        </w:tc>
        <w:tc>
          <w:tcPr>
            <w:tcW w:w="1318" w:type="dxa"/>
            <w:vAlign w:val="center"/>
          </w:tcPr>
          <w:p w14:paraId="6DC68191" w14:textId="77777777" w:rsidR="00134EBF" w:rsidRPr="00CE12BF" w:rsidRDefault="00B56CC1" w:rsidP="00160D1E">
            <w:pPr>
              <w:jc w:val="center"/>
            </w:pPr>
            <w:r>
              <w:t>N/A</w:t>
            </w:r>
          </w:p>
        </w:tc>
      </w:tr>
      <w:tr w:rsidR="00B56CC1" w:rsidRPr="00CE12BF" w14:paraId="7AE24ECE" w14:textId="77777777" w:rsidTr="0044445E">
        <w:trPr>
          <w:jc w:val="center"/>
        </w:trPr>
        <w:tc>
          <w:tcPr>
            <w:tcW w:w="2481" w:type="dxa"/>
            <w:shd w:val="clear" w:color="auto" w:fill="D9D9D9" w:themeFill="background1" w:themeFillShade="D9"/>
          </w:tcPr>
          <w:p w14:paraId="184A497A" w14:textId="77777777" w:rsidR="005A21C4" w:rsidRDefault="005A21C4" w:rsidP="00244CCE">
            <w:pPr>
              <w:spacing w:before="120" w:after="120"/>
              <w:rPr>
                <w:b/>
              </w:rPr>
            </w:pPr>
            <w:r>
              <w:rPr>
                <w:b/>
              </w:rPr>
              <w:t xml:space="preserve">Section </w:t>
            </w:r>
            <w:r w:rsidR="00134EBF">
              <w:rPr>
                <w:b/>
              </w:rPr>
              <w:t xml:space="preserve">2 </w:t>
            </w:r>
          </w:p>
          <w:p w14:paraId="74F17CBF" w14:textId="77777777" w:rsidR="00134EBF" w:rsidRPr="00CE12BF" w:rsidRDefault="005A21C4" w:rsidP="00244CCE">
            <w:pPr>
              <w:spacing w:before="120" w:after="120"/>
              <w:rPr>
                <w:b/>
              </w:rPr>
            </w:pPr>
            <w:r>
              <w:t>C</w:t>
            </w:r>
            <w:r w:rsidR="0044445E">
              <w:t>omputerized Prescriber Order Entry (CPOE)</w:t>
            </w:r>
          </w:p>
        </w:tc>
        <w:tc>
          <w:tcPr>
            <w:tcW w:w="2481" w:type="dxa"/>
            <w:shd w:val="clear" w:color="auto" w:fill="auto"/>
            <w:vAlign w:val="center"/>
          </w:tcPr>
          <w:p w14:paraId="6F4BAAC3" w14:textId="77777777" w:rsidR="00134EBF" w:rsidRPr="00CE12BF" w:rsidRDefault="00F409B7" w:rsidP="00160D1E">
            <w:pPr>
              <w:jc w:val="center"/>
            </w:pPr>
            <w:r>
              <w:t>Latest 3-months prior to survey submission</w:t>
            </w:r>
          </w:p>
        </w:tc>
        <w:tc>
          <w:tcPr>
            <w:tcW w:w="1318" w:type="dxa"/>
            <w:shd w:val="clear" w:color="auto" w:fill="auto"/>
            <w:vAlign w:val="center"/>
          </w:tcPr>
          <w:p w14:paraId="44E2F2F3" w14:textId="77777777" w:rsidR="00134EBF" w:rsidRPr="00CE12BF" w:rsidRDefault="00B56CC1" w:rsidP="00160D1E">
            <w:pPr>
              <w:jc w:val="center"/>
            </w:pPr>
            <w:r>
              <w:t>N/A</w:t>
            </w:r>
          </w:p>
        </w:tc>
        <w:tc>
          <w:tcPr>
            <w:tcW w:w="2482" w:type="dxa"/>
            <w:vAlign w:val="center"/>
          </w:tcPr>
          <w:p w14:paraId="518F34B6" w14:textId="77777777" w:rsidR="00134EBF" w:rsidRPr="00CE12BF" w:rsidRDefault="00F409B7" w:rsidP="00160D1E">
            <w:pPr>
              <w:jc w:val="center"/>
            </w:pPr>
            <w:r>
              <w:t>Latest 3-months prior to survey submission</w:t>
            </w:r>
          </w:p>
        </w:tc>
        <w:tc>
          <w:tcPr>
            <w:tcW w:w="1318" w:type="dxa"/>
            <w:vAlign w:val="center"/>
          </w:tcPr>
          <w:p w14:paraId="7DE5FB30" w14:textId="77777777" w:rsidR="00134EBF" w:rsidRPr="00CE12BF" w:rsidRDefault="00B56CC1" w:rsidP="00160D1E">
            <w:pPr>
              <w:jc w:val="center"/>
            </w:pPr>
            <w:r>
              <w:t>N/A</w:t>
            </w:r>
          </w:p>
        </w:tc>
      </w:tr>
      <w:tr w:rsidR="0044445E" w:rsidRPr="00CE12BF" w14:paraId="5B3CF64B" w14:textId="77777777" w:rsidTr="0044445E">
        <w:trPr>
          <w:jc w:val="center"/>
        </w:trPr>
        <w:tc>
          <w:tcPr>
            <w:tcW w:w="2481" w:type="dxa"/>
            <w:shd w:val="clear" w:color="auto" w:fill="D9D9D9" w:themeFill="background1" w:themeFillShade="D9"/>
          </w:tcPr>
          <w:p w14:paraId="56F6241A" w14:textId="77777777" w:rsidR="0044445E" w:rsidRDefault="0044445E" w:rsidP="00244CCE">
            <w:pPr>
              <w:spacing w:before="120" w:after="120"/>
              <w:rPr>
                <w:b/>
              </w:rPr>
            </w:pPr>
            <w:r>
              <w:rPr>
                <w:b/>
              </w:rPr>
              <w:t>Section 3</w:t>
            </w:r>
          </w:p>
          <w:p w14:paraId="3BD3EF9C" w14:textId="77777777" w:rsidR="0044445E" w:rsidRPr="005A21C4" w:rsidRDefault="0044445E" w:rsidP="00244CCE">
            <w:pPr>
              <w:spacing w:before="120" w:after="120"/>
            </w:pPr>
            <w:r>
              <w:t xml:space="preserve">Evidence-Based Hospital Referral (AVR, AAA, Pancreatectomy, Esophagetcomy) </w:t>
            </w:r>
          </w:p>
        </w:tc>
        <w:tc>
          <w:tcPr>
            <w:tcW w:w="2481" w:type="dxa"/>
            <w:shd w:val="clear" w:color="auto" w:fill="auto"/>
            <w:vAlign w:val="center"/>
          </w:tcPr>
          <w:p w14:paraId="4C9BF84E" w14:textId="77777777" w:rsidR="0044445E" w:rsidRPr="00CE12BF" w:rsidRDefault="0044445E" w:rsidP="0044445E">
            <w:pPr>
              <w:jc w:val="center"/>
            </w:pPr>
            <w:r w:rsidRPr="00671EAF">
              <w:t>12-months or 24-months ending 09/30/2015</w:t>
            </w:r>
          </w:p>
        </w:tc>
        <w:tc>
          <w:tcPr>
            <w:tcW w:w="1318" w:type="dxa"/>
            <w:shd w:val="clear" w:color="auto" w:fill="auto"/>
            <w:vAlign w:val="center"/>
          </w:tcPr>
          <w:p w14:paraId="1691B0DD" w14:textId="77777777" w:rsidR="0044445E" w:rsidRPr="00CE12BF" w:rsidRDefault="0044445E" w:rsidP="0044445E">
            <w:pPr>
              <w:jc w:val="center"/>
            </w:pPr>
            <w:r w:rsidRPr="00F06F7C">
              <w:t>ICD-9</w:t>
            </w:r>
          </w:p>
        </w:tc>
        <w:tc>
          <w:tcPr>
            <w:tcW w:w="2482" w:type="dxa"/>
            <w:vAlign w:val="center"/>
          </w:tcPr>
          <w:p w14:paraId="6E3AD0AB" w14:textId="77777777" w:rsidR="0044445E" w:rsidRPr="00CE12BF" w:rsidRDefault="0044445E" w:rsidP="0044445E">
            <w:pPr>
              <w:jc w:val="center"/>
            </w:pPr>
            <w:r w:rsidRPr="005B24C0">
              <w:t>12-months or 24-months ending 09/30/2015</w:t>
            </w:r>
          </w:p>
        </w:tc>
        <w:tc>
          <w:tcPr>
            <w:tcW w:w="1318" w:type="dxa"/>
            <w:vAlign w:val="center"/>
          </w:tcPr>
          <w:p w14:paraId="61642DC6" w14:textId="77777777" w:rsidR="0044445E" w:rsidRPr="00CE12BF" w:rsidRDefault="0044445E" w:rsidP="0044445E">
            <w:pPr>
              <w:jc w:val="center"/>
            </w:pPr>
            <w:r w:rsidRPr="001E38B1">
              <w:t>ICD-9</w:t>
            </w:r>
          </w:p>
        </w:tc>
      </w:tr>
      <w:tr w:rsidR="0044445E" w:rsidRPr="00CE12BF" w14:paraId="399189FC" w14:textId="77777777" w:rsidTr="0044445E">
        <w:trPr>
          <w:jc w:val="center"/>
        </w:trPr>
        <w:tc>
          <w:tcPr>
            <w:tcW w:w="2481" w:type="dxa"/>
            <w:shd w:val="clear" w:color="auto" w:fill="D9D9D9" w:themeFill="background1" w:themeFillShade="D9"/>
          </w:tcPr>
          <w:p w14:paraId="4CC194A1" w14:textId="77777777" w:rsidR="0044445E" w:rsidRPr="005F5A7D" w:rsidRDefault="0044445E" w:rsidP="00244CCE">
            <w:pPr>
              <w:spacing w:before="120" w:after="120"/>
              <w:rPr>
                <w:b/>
              </w:rPr>
            </w:pPr>
            <w:r>
              <w:rPr>
                <w:b/>
              </w:rPr>
              <w:t xml:space="preserve">4A </w:t>
            </w:r>
            <w:r w:rsidRPr="00134EBF">
              <w:t>Maternity Care</w:t>
            </w:r>
          </w:p>
        </w:tc>
        <w:tc>
          <w:tcPr>
            <w:tcW w:w="2481" w:type="dxa"/>
            <w:shd w:val="clear" w:color="auto" w:fill="auto"/>
            <w:vAlign w:val="center"/>
          </w:tcPr>
          <w:p w14:paraId="396FC838" w14:textId="77777777" w:rsidR="0044445E" w:rsidRPr="00CE12BF" w:rsidRDefault="0044445E" w:rsidP="0044445E">
            <w:pPr>
              <w:jc w:val="center"/>
            </w:pPr>
            <w:r>
              <w:t>9-months ending 09/30/2015</w:t>
            </w:r>
          </w:p>
        </w:tc>
        <w:tc>
          <w:tcPr>
            <w:tcW w:w="1318" w:type="dxa"/>
            <w:shd w:val="clear" w:color="auto" w:fill="auto"/>
            <w:vAlign w:val="center"/>
          </w:tcPr>
          <w:p w14:paraId="1060DD1F" w14:textId="77777777" w:rsidR="0044445E" w:rsidRPr="00CE12BF" w:rsidRDefault="0044445E" w:rsidP="0044445E">
            <w:pPr>
              <w:jc w:val="center"/>
            </w:pPr>
            <w:r>
              <w:t>N/A</w:t>
            </w:r>
          </w:p>
        </w:tc>
        <w:tc>
          <w:tcPr>
            <w:tcW w:w="2482" w:type="dxa"/>
            <w:vAlign w:val="center"/>
          </w:tcPr>
          <w:p w14:paraId="6F0F9A64" w14:textId="77777777" w:rsidR="0044445E" w:rsidRPr="00CE12BF" w:rsidRDefault="0044445E" w:rsidP="0044445E">
            <w:pPr>
              <w:jc w:val="center"/>
            </w:pPr>
            <w:r>
              <w:t>9-months ending 06/30/2016</w:t>
            </w:r>
          </w:p>
        </w:tc>
        <w:tc>
          <w:tcPr>
            <w:tcW w:w="1318" w:type="dxa"/>
            <w:vAlign w:val="center"/>
          </w:tcPr>
          <w:p w14:paraId="44A2EE02" w14:textId="77777777" w:rsidR="0044445E" w:rsidRPr="00CE12BF" w:rsidRDefault="0044445E" w:rsidP="0044445E">
            <w:pPr>
              <w:jc w:val="center"/>
            </w:pPr>
            <w:r>
              <w:t>N/A</w:t>
            </w:r>
          </w:p>
        </w:tc>
      </w:tr>
      <w:tr w:rsidR="0044445E" w:rsidRPr="00CE12BF" w14:paraId="417BFC1A" w14:textId="77777777" w:rsidTr="0044445E">
        <w:trPr>
          <w:jc w:val="center"/>
        </w:trPr>
        <w:tc>
          <w:tcPr>
            <w:tcW w:w="2481" w:type="dxa"/>
            <w:shd w:val="clear" w:color="auto" w:fill="D9D9D9" w:themeFill="background1" w:themeFillShade="D9"/>
          </w:tcPr>
          <w:p w14:paraId="1F67586C" w14:textId="77777777" w:rsidR="0044445E" w:rsidRPr="005F5A7D" w:rsidRDefault="0044445E" w:rsidP="00244CCE">
            <w:pPr>
              <w:spacing w:before="120" w:after="120"/>
            </w:pPr>
            <w:r w:rsidRPr="00134EBF">
              <w:rPr>
                <w:b/>
              </w:rPr>
              <w:t>4B</w:t>
            </w:r>
            <w:r>
              <w:t xml:space="preserve"> </w:t>
            </w:r>
            <w:r w:rsidRPr="005F5A7D">
              <w:t>Early Elective Deliveries</w:t>
            </w:r>
          </w:p>
        </w:tc>
        <w:tc>
          <w:tcPr>
            <w:tcW w:w="2481" w:type="dxa"/>
            <w:shd w:val="clear" w:color="auto" w:fill="auto"/>
            <w:vAlign w:val="center"/>
          </w:tcPr>
          <w:p w14:paraId="5AB7F2D6" w14:textId="77777777" w:rsidR="0044445E" w:rsidRPr="00CE12BF" w:rsidRDefault="0044445E" w:rsidP="0044445E">
            <w:pPr>
              <w:jc w:val="center"/>
            </w:pPr>
            <w:r w:rsidRPr="00412406">
              <w:t>9-months ending 09/30/2015</w:t>
            </w:r>
          </w:p>
        </w:tc>
        <w:tc>
          <w:tcPr>
            <w:tcW w:w="1318" w:type="dxa"/>
            <w:shd w:val="clear" w:color="auto" w:fill="auto"/>
            <w:vAlign w:val="center"/>
          </w:tcPr>
          <w:p w14:paraId="5DEBE025" w14:textId="77777777" w:rsidR="0044445E" w:rsidRPr="00CE12BF" w:rsidRDefault="0044445E" w:rsidP="0044445E">
            <w:pPr>
              <w:jc w:val="center"/>
            </w:pPr>
            <w:r>
              <w:t>ICD-9</w:t>
            </w:r>
          </w:p>
        </w:tc>
        <w:tc>
          <w:tcPr>
            <w:tcW w:w="2482" w:type="dxa"/>
            <w:vAlign w:val="center"/>
          </w:tcPr>
          <w:p w14:paraId="3D02D491" w14:textId="77777777" w:rsidR="0044445E" w:rsidRPr="00CE12BF" w:rsidRDefault="0044445E" w:rsidP="0044445E">
            <w:pPr>
              <w:jc w:val="center"/>
            </w:pPr>
            <w:r w:rsidRPr="00CC70F9">
              <w:t>9-months ending 06/30/2016</w:t>
            </w:r>
          </w:p>
        </w:tc>
        <w:tc>
          <w:tcPr>
            <w:tcW w:w="1318" w:type="dxa"/>
            <w:vAlign w:val="center"/>
          </w:tcPr>
          <w:p w14:paraId="30A19272" w14:textId="77777777" w:rsidR="0044445E" w:rsidRPr="00CE12BF" w:rsidRDefault="0044445E" w:rsidP="0044445E">
            <w:pPr>
              <w:jc w:val="center"/>
            </w:pPr>
            <w:r>
              <w:t>ICD-10</w:t>
            </w:r>
          </w:p>
        </w:tc>
      </w:tr>
      <w:tr w:rsidR="0044445E" w:rsidRPr="00CE12BF" w14:paraId="5B4F9555" w14:textId="77777777" w:rsidTr="0044445E">
        <w:trPr>
          <w:jc w:val="center"/>
        </w:trPr>
        <w:tc>
          <w:tcPr>
            <w:tcW w:w="2481" w:type="dxa"/>
            <w:shd w:val="clear" w:color="auto" w:fill="D9D9D9" w:themeFill="background1" w:themeFillShade="D9"/>
          </w:tcPr>
          <w:p w14:paraId="4C833F5F" w14:textId="77777777" w:rsidR="0044445E" w:rsidRPr="005F5A7D" w:rsidRDefault="0044445E" w:rsidP="00244CCE">
            <w:pPr>
              <w:spacing w:before="120" w:after="120"/>
            </w:pPr>
            <w:r w:rsidRPr="00134EBF">
              <w:rPr>
                <w:b/>
              </w:rPr>
              <w:t>4C</w:t>
            </w:r>
            <w:r>
              <w:t xml:space="preserve"> </w:t>
            </w:r>
            <w:r w:rsidRPr="005F5A7D">
              <w:t>NTSV Cesarean Section</w:t>
            </w:r>
          </w:p>
        </w:tc>
        <w:tc>
          <w:tcPr>
            <w:tcW w:w="2481" w:type="dxa"/>
            <w:shd w:val="clear" w:color="auto" w:fill="auto"/>
            <w:vAlign w:val="center"/>
          </w:tcPr>
          <w:p w14:paraId="6222F5C1" w14:textId="77777777" w:rsidR="0044445E" w:rsidRPr="00CE12BF" w:rsidRDefault="0044445E" w:rsidP="0044445E">
            <w:pPr>
              <w:jc w:val="center"/>
            </w:pPr>
            <w:r w:rsidRPr="00412406">
              <w:t>9-months ending 09/30/2015</w:t>
            </w:r>
          </w:p>
        </w:tc>
        <w:tc>
          <w:tcPr>
            <w:tcW w:w="1318" w:type="dxa"/>
            <w:shd w:val="clear" w:color="auto" w:fill="auto"/>
            <w:vAlign w:val="center"/>
          </w:tcPr>
          <w:p w14:paraId="723AC992" w14:textId="77777777" w:rsidR="0044445E" w:rsidRPr="00CE12BF" w:rsidRDefault="0044445E" w:rsidP="0044445E">
            <w:pPr>
              <w:jc w:val="center"/>
            </w:pPr>
            <w:r w:rsidRPr="00F467A8">
              <w:t>ICD-9</w:t>
            </w:r>
          </w:p>
        </w:tc>
        <w:tc>
          <w:tcPr>
            <w:tcW w:w="2482" w:type="dxa"/>
            <w:vAlign w:val="center"/>
          </w:tcPr>
          <w:p w14:paraId="5453EBC9" w14:textId="77777777" w:rsidR="0044445E" w:rsidRPr="00CE12BF" w:rsidRDefault="0044445E" w:rsidP="0044445E">
            <w:pPr>
              <w:jc w:val="center"/>
            </w:pPr>
            <w:r w:rsidRPr="00CC70F9">
              <w:t>9-months ending 06/30/2016</w:t>
            </w:r>
          </w:p>
        </w:tc>
        <w:tc>
          <w:tcPr>
            <w:tcW w:w="1318" w:type="dxa"/>
            <w:vAlign w:val="center"/>
          </w:tcPr>
          <w:p w14:paraId="328960B4" w14:textId="77777777" w:rsidR="0044445E" w:rsidRPr="00CE12BF" w:rsidRDefault="0044445E" w:rsidP="0044445E">
            <w:pPr>
              <w:jc w:val="center"/>
            </w:pPr>
            <w:r w:rsidRPr="00CC0289">
              <w:t>ICD-10</w:t>
            </w:r>
          </w:p>
        </w:tc>
      </w:tr>
      <w:tr w:rsidR="0044445E" w:rsidRPr="00CE12BF" w14:paraId="248AFB75" w14:textId="77777777" w:rsidTr="0044445E">
        <w:trPr>
          <w:jc w:val="center"/>
        </w:trPr>
        <w:tc>
          <w:tcPr>
            <w:tcW w:w="2481" w:type="dxa"/>
            <w:shd w:val="clear" w:color="auto" w:fill="D9D9D9" w:themeFill="background1" w:themeFillShade="D9"/>
          </w:tcPr>
          <w:p w14:paraId="1720C3B6" w14:textId="77777777" w:rsidR="0044445E" w:rsidRPr="005F5A7D" w:rsidRDefault="0044445E" w:rsidP="00244CCE">
            <w:pPr>
              <w:spacing w:before="120" w:after="120"/>
            </w:pPr>
            <w:r w:rsidRPr="00134EBF">
              <w:rPr>
                <w:b/>
              </w:rPr>
              <w:t>4D</w:t>
            </w:r>
            <w:r>
              <w:t xml:space="preserve"> </w:t>
            </w:r>
            <w:r w:rsidRPr="005F5A7D">
              <w:t>Incidence of Episiotomy</w:t>
            </w:r>
          </w:p>
        </w:tc>
        <w:tc>
          <w:tcPr>
            <w:tcW w:w="2481" w:type="dxa"/>
            <w:shd w:val="clear" w:color="auto" w:fill="auto"/>
            <w:vAlign w:val="center"/>
          </w:tcPr>
          <w:p w14:paraId="5F00CAD2" w14:textId="77777777" w:rsidR="0044445E" w:rsidRPr="00CE12BF" w:rsidRDefault="0044445E" w:rsidP="0044445E">
            <w:pPr>
              <w:jc w:val="center"/>
            </w:pPr>
            <w:r w:rsidRPr="00412406">
              <w:t>9-months ending 09/30/2015</w:t>
            </w:r>
          </w:p>
        </w:tc>
        <w:tc>
          <w:tcPr>
            <w:tcW w:w="1318" w:type="dxa"/>
            <w:shd w:val="clear" w:color="auto" w:fill="auto"/>
            <w:vAlign w:val="center"/>
          </w:tcPr>
          <w:p w14:paraId="3C71D2D9" w14:textId="77777777" w:rsidR="0044445E" w:rsidRDefault="0044445E" w:rsidP="0044445E">
            <w:pPr>
              <w:jc w:val="center"/>
            </w:pPr>
            <w:r w:rsidRPr="00F467A8">
              <w:t>ICD-9</w:t>
            </w:r>
          </w:p>
        </w:tc>
        <w:tc>
          <w:tcPr>
            <w:tcW w:w="2482" w:type="dxa"/>
            <w:vAlign w:val="center"/>
          </w:tcPr>
          <w:p w14:paraId="75B2B2A2" w14:textId="77777777" w:rsidR="0044445E" w:rsidRDefault="0044445E" w:rsidP="0044445E">
            <w:pPr>
              <w:jc w:val="center"/>
            </w:pPr>
            <w:r w:rsidRPr="00CC70F9">
              <w:t>9-months ending 06/30/2016</w:t>
            </w:r>
          </w:p>
        </w:tc>
        <w:tc>
          <w:tcPr>
            <w:tcW w:w="1318" w:type="dxa"/>
            <w:vAlign w:val="center"/>
          </w:tcPr>
          <w:p w14:paraId="637BEEF4" w14:textId="77777777" w:rsidR="0044445E" w:rsidRDefault="0044445E" w:rsidP="0044445E">
            <w:pPr>
              <w:jc w:val="center"/>
            </w:pPr>
            <w:r w:rsidRPr="00CC0289">
              <w:t>ICD-10</w:t>
            </w:r>
          </w:p>
        </w:tc>
      </w:tr>
      <w:tr w:rsidR="0044445E" w:rsidRPr="00CE12BF" w14:paraId="7D88F6EC" w14:textId="77777777" w:rsidTr="0044445E">
        <w:trPr>
          <w:jc w:val="center"/>
        </w:trPr>
        <w:tc>
          <w:tcPr>
            <w:tcW w:w="2481" w:type="dxa"/>
            <w:shd w:val="clear" w:color="auto" w:fill="D9D9D9" w:themeFill="background1" w:themeFillShade="D9"/>
          </w:tcPr>
          <w:p w14:paraId="02DD71CD" w14:textId="77777777" w:rsidR="0044445E" w:rsidRPr="005F5A7D" w:rsidRDefault="0044445E" w:rsidP="00244CCE">
            <w:pPr>
              <w:spacing w:before="120" w:after="120"/>
            </w:pPr>
            <w:r w:rsidRPr="00134EBF">
              <w:rPr>
                <w:b/>
              </w:rPr>
              <w:t>4E</w:t>
            </w:r>
            <w:r>
              <w:t xml:space="preserve"> </w:t>
            </w:r>
            <w:r w:rsidRPr="005F5A7D">
              <w:t xml:space="preserve">Bilirubin </w:t>
            </w:r>
            <w:r>
              <w:t>Screening &amp; DVT Prophylaxis</w:t>
            </w:r>
          </w:p>
        </w:tc>
        <w:tc>
          <w:tcPr>
            <w:tcW w:w="2481" w:type="dxa"/>
            <w:shd w:val="clear" w:color="auto" w:fill="auto"/>
            <w:vAlign w:val="center"/>
          </w:tcPr>
          <w:p w14:paraId="04638517" w14:textId="77777777" w:rsidR="0044445E" w:rsidRPr="00CE12BF" w:rsidRDefault="0044445E" w:rsidP="0044445E">
            <w:pPr>
              <w:jc w:val="center"/>
            </w:pPr>
            <w:r w:rsidRPr="00412406">
              <w:t>9-months ending 09/30/2015</w:t>
            </w:r>
          </w:p>
        </w:tc>
        <w:tc>
          <w:tcPr>
            <w:tcW w:w="1318" w:type="dxa"/>
            <w:shd w:val="clear" w:color="auto" w:fill="auto"/>
            <w:vAlign w:val="center"/>
          </w:tcPr>
          <w:p w14:paraId="78F57EFF" w14:textId="77777777" w:rsidR="0044445E" w:rsidRPr="00CE12BF" w:rsidRDefault="0044445E" w:rsidP="0044445E">
            <w:pPr>
              <w:jc w:val="center"/>
            </w:pPr>
            <w:r>
              <w:t>N/A</w:t>
            </w:r>
          </w:p>
        </w:tc>
        <w:tc>
          <w:tcPr>
            <w:tcW w:w="2482" w:type="dxa"/>
            <w:vAlign w:val="center"/>
          </w:tcPr>
          <w:p w14:paraId="7D1603F2" w14:textId="77777777" w:rsidR="0044445E" w:rsidRPr="00CE12BF" w:rsidRDefault="0044445E" w:rsidP="0044445E">
            <w:pPr>
              <w:jc w:val="center"/>
            </w:pPr>
            <w:r w:rsidRPr="00CC70F9">
              <w:t>9-months ending 06/30/2016</w:t>
            </w:r>
          </w:p>
        </w:tc>
        <w:tc>
          <w:tcPr>
            <w:tcW w:w="1318" w:type="dxa"/>
            <w:vAlign w:val="center"/>
          </w:tcPr>
          <w:p w14:paraId="50A24DA1" w14:textId="77777777" w:rsidR="0044445E" w:rsidRPr="00CE12BF" w:rsidRDefault="0044445E" w:rsidP="0044445E">
            <w:pPr>
              <w:jc w:val="center"/>
            </w:pPr>
            <w:r>
              <w:t>N/A</w:t>
            </w:r>
          </w:p>
        </w:tc>
      </w:tr>
      <w:tr w:rsidR="0044445E" w:rsidRPr="00CE12BF" w14:paraId="2B00017F" w14:textId="77777777" w:rsidTr="0044445E">
        <w:trPr>
          <w:trHeight w:val="440"/>
          <w:jc w:val="center"/>
        </w:trPr>
        <w:tc>
          <w:tcPr>
            <w:tcW w:w="2481" w:type="dxa"/>
            <w:vMerge w:val="restart"/>
            <w:shd w:val="clear" w:color="auto" w:fill="D9D9D9" w:themeFill="background1" w:themeFillShade="D9"/>
          </w:tcPr>
          <w:p w14:paraId="0A75A8FC" w14:textId="77777777" w:rsidR="0044445E" w:rsidRPr="005F5A7D" w:rsidRDefault="0044445E" w:rsidP="00244CCE">
            <w:pPr>
              <w:spacing w:before="120" w:after="120"/>
              <w:rPr>
                <w:color w:val="76923C" w:themeColor="accent3" w:themeShade="BF"/>
              </w:rPr>
            </w:pPr>
            <w:r w:rsidRPr="00134EBF">
              <w:rPr>
                <w:b/>
              </w:rPr>
              <w:t>4F</w:t>
            </w:r>
            <w:r>
              <w:t xml:space="preserve"> High-R</w:t>
            </w:r>
            <w:r w:rsidRPr="005F5A7D">
              <w:t xml:space="preserve">isk Newborn Deliveries </w:t>
            </w:r>
          </w:p>
        </w:tc>
        <w:tc>
          <w:tcPr>
            <w:tcW w:w="2481" w:type="dxa"/>
            <w:shd w:val="clear" w:color="auto" w:fill="auto"/>
            <w:vAlign w:val="center"/>
          </w:tcPr>
          <w:p w14:paraId="5EE078BA" w14:textId="77777777" w:rsidR="0044445E" w:rsidRPr="00CE12BF" w:rsidRDefault="0044445E" w:rsidP="0044445E">
            <w:pPr>
              <w:jc w:val="center"/>
            </w:pPr>
            <w:r>
              <w:t>Volume: 12-months ending 09/30/2015</w:t>
            </w:r>
          </w:p>
        </w:tc>
        <w:tc>
          <w:tcPr>
            <w:tcW w:w="1318" w:type="dxa"/>
            <w:shd w:val="clear" w:color="auto" w:fill="auto"/>
            <w:vAlign w:val="center"/>
          </w:tcPr>
          <w:p w14:paraId="648465B7" w14:textId="77777777" w:rsidR="0044445E" w:rsidRPr="00CE12BF" w:rsidRDefault="0044445E" w:rsidP="0044445E">
            <w:pPr>
              <w:jc w:val="center"/>
            </w:pPr>
            <w:r>
              <w:t>ICD-9</w:t>
            </w:r>
          </w:p>
        </w:tc>
        <w:tc>
          <w:tcPr>
            <w:tcW w:w="2482" w:type="dxa"/>
            <w:vAlign w:val="center"/>
          </w:tcPr>
          <w:p w14:paraId="463EF7C5" w14:textId="77777777" w:rsidR="0044445E" w:rsidRDefault="0044445E" w:rsidP="0044445E">
            <w:pPr>
              <w:jc w:val="center"/>
            </w:pPr>
            <w:r>
              <w:t>Volume: 12-months ending 09/30/2015</w:t>
            </w:r>
          </w:p>
          <w:p w14:paraId="78B415AF" w14:textId="77777777" w:rsidR="0044445E" w:rsidRPr="00CE12BF" w:rsidRDefault="0044445E" w:rsidP="0044445E">
            <w:pPr>
              <w:jc w:val="center"/>
            </w:pPr>
          </w:p>
        </w:tc>
        <w:tc>
          <w:tcPr>
            <w:tcW w:w="1318" w:type="dxa"/>
            <w:vAlign w:val="center"/>
          </w:tcPr>
          <w:p w14:paraId="2FB0C19A" w14:textId="77777777" w:rsidR="0044445E" w:rsidRPr="00CE12BF" w:rsidRDefault="0044445E" w:rsidP="0044445E">
            <w:pPr>
              <w:jc w:val="center"/>
            </w:pPr>
            <w:r>
              <w:t>ICD-9</w:t>
            </w:r>
          </w:p>
        </w:tc>
      </w:tr>
      <w:tr w:rsidR="0044445E" w:rsidRPr="00CE12BF" w14:paraId="0FFA3299" w14:textId="77777777" w:rsidTr="0044445E">
        <w:trPr>
          <w:trHeight w:val="690"/>
          <w:jc w:val="center"/>
        </w:trPr>
        <w:tc>
          <w:tcPr>
            <w:tcW w:w="2481" w:type="dxa"/>
            <w:vMerge/>
            <w:shd w:val="clear" w:color="auto" w:fill="D9D9D9" w:themeFill="background1" w:themeFillShade="D9"/>
          </w:tcPr>
          <w:p w14:paraId="3A4622BA" w14:textId="77777777" w:rsidR="0044445E" w:rsidRPr="00134EBF" w:rsidRDefault="0044445E" w:rsidP="00244CCE">
            <w:pPr>
              <w:spacing w:before="120" w:after="120"/>
              <w:rPr>
                <w:b/>
              </w:rPr>
            </w:pPr>
          </w:p>
        </w:tc>
        <w:tc>
          <w:tcPr>
            <w:tcW w:w="2481" w:type="dxa"/>
            <w:shd w:val="clear" w:color="auto" w:fill="auto"/>
            <w:vAlign w:val="center"/>
          </w:tcPr>
          <w:p w14:paraId="2FAF1F40" w14:textId="77777777" w:rsidR="0044445E" w:rsidRDefault="0044445E" w:rsidP="0044445E">
            <w:pPr>
              <w:jc w:val="center"/>
            </w:pPr>
            <w:r>
              <w:t>VON: Latest 12- or 36-month report</w:t>
            </w:r>
          </w:p>
        </w:tc>
        <w:tc>
          <w:tcPr>
            <w:tcW w:w="1318" w:type="dxa"/>
            <w:shd w:val="clear" w:color="auto" w:fill="auto"/>
            <w:vAlign w:val="center"/>
          </w:tcPr>
          <w:p w14:paraId="6C4EA061" w14:textId="77777777" w:rsidR="0044445E" w:rsidRDefault="0044445E" w:rsidP="0044445E">
            <w:pPr>
              <w:jc w:val="center"/>
            </w:pPr>
            <w:r>
              <w:t>N/A</w:t>
            </w:r>
          </w:p>
        </w:tc>
        <w:tc>
          <w:tcPr>
            <w:tcW w:w="2482" w:type="dxa"/>
            <w:vAlign w:val="center"/>
          </w:tcPr>
          <w:p w14:paraId="1F6BAA0B" w14:textId="77777777" w:rsidR="0044445E" w:rsidRDefault="0044445E" w:rsidP="0044445E">
            <w:pPr>
              <w:jc w:val="center"/>
            </w:pPr>
            <w:r>
              <w:t>VON: Latest 12- or 36-month report</w:t>
            </w:r>
          </w:p>
        </w:tc>
        <w:tc>
          <w:tcPr>
            <w:tcW w:w="1318" w:type="dxa"/>
            <w:vAlign w:val="center"/>
          </w:tcPr>
          <w:p w14:paraId="006724C4" w14:textId="77777777" w:rsidR="0044445E" w:rsidRPr="00CE12BF" w:rsidRDefault="0044445E" w:rsidP="0044445E">
            <w:pPr>
              <w:jc w:val="center"/>
            </w:pPr>
            <w:r>
              <w:t>N/A</w:t>
            </w:r>
          </w:p>
        </w:tc>
      </w:tr>
      <w:tr w:rsidR="0044445E" w:rsidRPr="00CE12BF" w14:paraId="23A3C53F" w14:textId="77777777" w:rsidTr="0044445E">
        <w:trPr>
          <w:trHeight w:val="690"/>
          <w:jc w:val="center"/>
        </w:trPr>
        <w:tc>
          <w:tcPr>
            <w:tcW w:w="2481" w:type="dxa"/>
            <w:vMerge/>
            <w:shd w:val="clear" w:color="auto" w:fill="D9D9D9" w:themeFill="background1" w:themeFillShade="D9"/>
          </w:tcPr>
          <w:p w14:paraId="0C73BE53" w14:textId="77777777" w:rsidR="0044445E" w:rsidRPr="00134EBF" w:rsidRDefault="0044445E" w:rsidP="00244CCE">
            <w:pPr>
              <w:spacing w:before="120" w:after="120"/>
              <w:rPr>
                <w:b/>
              </w:rPr>
            </w:pPr>
          </w:p>
        </w:tc>
        <w:tc>
          <w:tcPr>
            <w:tcW w:w="2481" w:type="dxa"/>
            <w:shd w:val="clear" w:color="auto" w:fill="auto"/>
            <w:vAlign w:val="center"/>
          </w:tcPr>
          <w:p w14:paraId="4F593479" w14:textId="77777777" w:rsidR="0044445E" w:rsidRDefault="0044445E" w:rsidP="0044445E">
            <w:pPr>
              <w:jc w:val="center"/>
            </w:pPr>
            <w:r>
              <w:t>Antenatal Steroids:</w:t>
            </w:r>
          </w:p>
          <w:p w14:paraId="2C3EEC71" w14:textId="77777777" w:rsidR="0044445E" w:rsidRDefault="0044445E" w:rsidP="0044445E">
            <w:pPr>
              <w:jc w:val="center"/>
            </w:pPr>
            <w:r>
              <w:t>9-months ending 09/30/2015</w:t>
            </w:r>
          </w:p>
        </w:tc>
        <w:tc>
          <w:tcPr>
            <w:tcW w:w="1318" w:type="dxa"/>
            <w:shd w:val="clear" w:color="auto" w:fill="auto"/>
            <w:vAlign w:val="center"/>
          </w:tcPr>
          <w:p w14:paraId="050178FB" w14:textId="77777777" w:rsidR="0044445E" w:rsidRDefault="0044445E" w:rsidP="0044445E">
            <w:pPr>
              <w:jc w:val="center"/>
            </w:pPr>
            <w:r>
              <w:t>ICD-9</w:t>
            </w:r>
          </w:p>
        </w:tc>
        <w:tc>
          <w:tcPr>
            <w:tcW w:w="2482" w:type="dxa"/>
            <w:vAlign w:val="center"/>
          </w:tcPr>
          <w:p w14:paraId="248AE511" w14:textId="77777777" w:rsidR="0044445E" w:rsidRDefault="0044445E" w:rsidP="0044445E">
            <w:pPr>
              <w:jc w:val="center"/>
            </w:pPr>
            <w:r>
              <w:t>Antenatal Steroids:</w:t>
            </w:r>
          </w:p>
          <w:p w14:paraId="7F827345" w14:textId="77777777" w:rsidR="0044445E" w:rsidRDefault="0044445E" w:rsidP="0044445E">
            <w:pPr>
              <w:jc w:val="center"/>
            </w:pPr>
            <w:r>
              <w:t>9-months ending 06/30/2016</w:t>
            </w:r>
          </w:p>
        </w:tc>
        <w:tc>
          <w:tcPr>
            <w:tcW w:w="1318" w:type="dxa"/>
            <w:vAlign w:val="center"/>
          </w:tcPr>
          <w:p w14:paraId="4A8D23D0" w14:textId="77777777" w:rsidR="0044445E" w:rsidRPr="00CE12BF" w:rsidRDefault="0044445E" w:rsidP="0044445E">
            <w:pPr>
              <w:jc w:val="center"/>
            </w:pPr>
            <w:r>
              <w:t>ICD-10</w:t>
            </w:r>
          </w:p>
        </w:tc>
      </w:tr>
      <w:tr w:rsidR="0044445E" w:rsidRPr="00CE12BF" w14:paraId="60F7B087" w14:textId="77777777" w:rsidTr="0044445E">
        <w:trPr>
          <w:jc w:val="center"/>
        </w:trPr>
        <w:tc>
          <w:tcPr>
            <w:tcW w:w="2481" w:type="dxa"/>
            <w:tcBorders>
              <w:bottom w:val="single" w:sz="4" w:space="0" w:color="auto"/>
            </w:tcBorders>
            <w:shd w:val="clear" w:color="auto" w:fill="D9D9D9" w:themeFill="background1" w:themeFillShade="D9"/>
          </w:tcPr>
          <w:p w14:paraId="5CD2BDD4" w14:textId="77777777" w:rsidR="0044445E" w:rsidRPr="00CE12BF" w:rsidRDefault="0044445E" w:rsidP="00244CCE">
            <w:pPr>
              <w:spacing w:before="120" w:after="120"/>
              <w:rPr>
                <w:b/>
              </w:rPr>
            </w:pPr>
            <w:r>
              <w:rPr>
                <w:b/>
              </w:rPr>
              <w:t xml:space="preserve">5 </w:t>
            </w:r>
            <w:r w:rsidRPr="00134EBF">
              <w:t>ICU Physician Staffing</w:t>
            </w:r>
          </w:p>
        </w:tc>
        <w:tc>
          <w:tcPr>
            <w:tcW w:w="2481" w:type="dxa"/>
            <w:tcBorders>
              <w:bottom w:val="single" w:sz="4" w:space="0" w:color="auto"/>
            </w:tcBorders>
            <w:shd w:val="clear" w:color="auto" w:fill="auto"/>
            <w:vAlign w:val="center"/>
          </w:tcPr>
          <w:p w14:paraId="1BC953D9" w14:textId="77777777" w:rsidR="0044445E" w:rsidRPr="00CE12BF" w:rsidRDefault="0044445E" w:rsidP="0044445E">
            <w:pPr>
              <w:jc w:val="center"/>
            </w:pPr>
            <w:r>
              <w:t>Latest 3-months prior to survey submission</w:t>
            </w:r>
          </w:p>
        </w:tc>
        <w:tc>
          <w:tcPr>
            <w:tcW w:w="1318" w:type="dxa"/>
            <w:tcBorders>
              <w:bottom w:val="single" w:sz="4" w:space="0" w:color="auto"/>
            </w:tcBorders>
            <w:shd w:val="clear" w:color="auto" w:fill="auto"/>
            <w:vAlign w:val="center"/>
          </w:tcPr>
          <w:p w14:paraId="15A2598B" w14:textId="77777777" w:rsidR="0044445E" w:rsidRPr="00CE12BF" w:rsidRDefault="0044445E" w:rsidP="0044445E">
            <w:pPr>
              <w:jc w:val="center"/>
            </w:pPr>
            <w:r>
              <w:t>N/A</w:t>
            </w:r>
          </w:p>
        </w:tc>
        <w:tc>
          <w:tcPr>
            <w:tcW w:w="2482" w:type="dxa"/>
            <w:tcBorders>
              <w:bottom w:val="single" w:sz="4" w:space="0" w:color="auto"/>
            </w:tcBorders>
            <w:vAlign w:val="center"/>
          </w:tcPr>
          <w:p w14:paraId="1051D555" w14:textId="77777777" w:rsidR="0044445E" w:rsidRPr="00CE12BF" w:rsidRDefault="0044445E" w:rsidP="0044445E">
            <w:pPr>
              <w:jc w:val="center"/>
            </w:pPr>
            <w:r>
              <w:t>Latest 3-months prior to survey submission</w:t>
            </w:r>
          </w:p>
        </w:tc>
        <w:tc>
          <w:tcPr>
            <w:tcW w:w="1318" w:type="dxa"/>
            <w:tcBorders>
              <w:bottom w:val="single" w:sz="4" w:space="0" w:color="auto"/>
            </w:tcBorders>
            <w:vAlign w:val="center"/>
          </w:tcPr>
          <w:p w14:paraId="2E71DB52" w14:textId="77777777" w:rsidR="0044445E" w:rsidRPr="00CE12BF" w:rsidRDefault="0044445E" w:rsidP="0044445E">
            <w:pPr>
              <w:jc w:val="center"/>
            </w:pPr>
            <w:r>
              <w:t>N/A</w:t>
            </w:r>
          </w:p>
        </w:tc>
      </w:tr>
      <w:tr w:rsidR="0044445E" w:rsidRPr="00CE12BF" w14:paraId="088645CC" w14:textId="77777777" w:rsidTr="0044445E">
        <w:trPr>
          <w:jc w:val="center"/>
        </w:trPr>
        <w:tc>
          <w:tcPr>
            <w:tcW w:w="2481" w:type="dxa"/>
            <w:shd w:val="clear" w:color="auto" w:fill="D9D9D9" w:themeFill="background1" w:themeFillShade="D9"/>
          </w:tcPr>
          <w:p w14:paraId="193C1FC9" w14:textId="77777777" w:rsidR="0044445E" w:rsidRPr="00CE12BF" w:rsidRDefault="0044445E" w:rsidP="00244CCE">
            <w:pPr>
              <w:spacing w:before="120" w:after="120"/>
              <w:rPr>
                <w:b/>
              </w:rPr>
            </w:pPr>
            <w:r>
              <w:rPr>
                <w:b/>
              </w:rPr>
              <w:lastRenderedPageBreak/>
              <w:t xml:space="preserve">6 </w:t>
            </w:r>
            <w:r w:rsidRPr="00134EBF">
              <w:t>National Quality Forum’s Safe Practices</w:t>
            </w:r>
          </w:p>
        </w:tc>
        <w:tc>
          <w:tcPr>
            <w:tcW w:w="2481" w:type="dxa"/>
            <w:shd w:val="clear" w:color="auto" w:fill="auto"/>
            <w:vAlign w:val="center"/>
          </w:tcPr>
          <w:p w14:paraId="329C1559" w14:textId="77777777" w:rsidR="0044445E" w:rsidRPr="00CE12BF" w:rsidRDefault="0044445E" w:rsidP="0044445E">
            <w:pPr>
              <w:jc w:val="center"/>
            </w:pPr>
            <w:r>
              <w:t>Latest 12- or 24-months prior to submission (see individual safe practice for specific reporting period)</w:t>
            </w:r>
          </w:p>
        </w:tc>
        <w:tc>
          <w:tcPr>
            <w:tcW w:w="1318" w:type="dxa"/>
            <w:shd w:val="clear" w:color="auto" w:fill="auto"/>
            <w:vAlign w:val="center"/>
          </w:tcPr>
          <w:p w14:paraId="28EBBB12" w14:textId="77777777" w:rsidR="0044445E" w:rsidRPr="00CE12BF" w:rsidRDefault="0044445E" w:rsidP="0044445E">
            <w:pPr>
              <w:jc w:val="center"/>
            </w:pPr>
            <w:r>
              <w:t>N/A</w:t>
            </w:r>
          </w:p>
        </w:tc>
        <w:tc>
          <w:tcPr>
            <w:tcW w:w="2482" w:type="dxa"/>
            <w:vAlign w:val="center"/>
          </w:tcPr>
          <w:p w14:paraId="76745CCE" w14:textId="77777777" w:rsidR="0044445E" w:rsidRPr="00CE12BF" w:rsidRDefault="0044445E" w:rsidP="0044445E">
            <w:pPr>
              <w:jc w:val="center"/>
            </w:pPr>
            <w:r>
              <w:t>Latest 12- or 24-months prior to submission (see individual safe practice for specific reporting period)</w:t>
            </w:r>
          </w:p>
        </w:tc>
        <w:tc>
          <w:tcPr>
            <w:tcW w:w="1318" w:type="dxa"/>
            <w:vAlign w:val="center"/>
          </w:tcPr>
          <w:p w14:paraId="69193EAC" w14:textId="77777777" w:rsidR="0044445E" w:rsidRPr="00CE12BF" w:rsidRDefault="0044445E" w:rsidP="0044445E">
            <w:pPr>
              <w:jc w:val="center"/>
            </w:pPr>
            <w:r>
              <w:t>N/A</w:t>
            </w:r>
          </w:p>
        </w:tc>
      </w:tr>
      <w:tr w:rsidR="0044445E" w:rsidRPr="00CE12BF" w14:paraId="7B3A7738"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05982" w14:textId="77777777" w:rsidR="0044445E" w:rsidRPr="005F5A7D" w:rsidRDefault="0044445E" w:rsidP="00244CCE">
            <w:pPr>
              <w:tabs>
                <w:tab w:val="left" w:pos="1485"/>
              </w:tabs>
              <w:spacing w:before="120" w:after="120"/>
            </w:pPr>
            <w:r w:rsidRPr="00134EBF">
              <w:rPr>
                <w:b/>
              </w:rPr>
              <w:t>7A</w:t>
            </w:r>
            <w:r>
              <w:t xml:space="preserve"> </w:t>
            </w:r>
            <w:r w:rsidRPr="005F5A7D">
              <w:t>Never Events Policy</w:t>
            </w:r>
          </w:p>
        </w:tc>
        <w:tc>
          <w:tcPr>
            <w:tcW w:w="2481" w:type="dxa"/>
            <w:tcBorders>
              <w:top w:val="single" w:sz="4" w:space="0" w:color="auto"/>
              <w:left w:val="single" w:sz="4" w:space="0" w:color="auto"/>
              <w:bottom w:val="single" w:sz="4" w:space="0" w:color="auto"/>
            </w:tcBorders>
            <w:shd w:val="clear" w:color="auto" w:fill="auto"/>
            <w:vAlign w:val="center"/>
          </w:tcPr>
          <w:p w14:paraId="33E6A51F"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shd w:val="clear" w:color="auto" w:fill="auto"/>
            <w:vAlign w:val="center"/>
          </w:tcPr>
          <w:p w14:paraId="32596862" w14:textId="77777777" w:rsidR="0044445E" w:rsidRPr="00CE12BF"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2B065470"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vAlign w:val="center"/>
          </w:tcPr>
          <w:p w14:paraId="2CE2288D" w14:textId="77777777" w:rsidR="0044445E" w:rsidRPr="00CE12BF" w:rsidRDefault="0044445E" w:rsidP="0044445E">
            <w:pPr>
              <w:jc w:val="center"/>
            </w:pPr>
            <w:r>
              <w:t>N/A</w:t>
            </w:r>
          </w:p>
        </w:tc>
      </w:tr>
      <w:tr w:rsidR="0044445E" w:rsidRPr="00CE12BF" w14:paraId="1F883C68"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CA2EC" w14:textId="77777777" w:rsidR="0044445E" w:rsidRPr="005F5A7D" w:rsidRDefault="0044445E" w:rsidP="00244CCE">
            <w:pPr>
              <w:spacing w:before="120" w:after="120"/>
            </w:pPr>
            <w:r w:rsidRPr="00134EBF">
              <w:rPr>
                <w:b/>
              </w:rPr>
              <w:t>7B</w:t>
            </w:r>
            <w:r>
              <w:t xml:space="preserve"> CLABSI and CAUTI (ICU only)</w:t>
            </w:r>
          </w:p>
        </w:tc>
        <w:tc>
          <w:tcPr>
            <w:tcW w:w="2481" w:type="dxa"/>
            <w:tcBorders>
              <w:top w:val="single" w:sz="4" w:space="0" w:color="auto"/>
              <w:left w:val="single" w:sz="4" w:space="0" w:color="auto"/>
              <w:bottom w:val="single" w:sz="4" w:space="0" w:color="auto"/>
            </w:tcBorders>
            <w:shd w:val="clear" w:color="auto" w:fill="auto"/>
            <w:vAlign w:val="center"/>
          </w:tcPr>
          <w:p w14:paraId="5302E9B6" w14:textId="77777777" w:rsidR="0044445E" w:rsidRPr="00CE12BF" w:rsidRDefault="0044445E" w:rsidP="0044445E">
            <w:pPr>
              <w:jc w:val="center"/>
            </w:pPr>
            <w:r>
              <w:t>12-months ending 12/31/2015</w:t>
            </w:r>
          </w:p>
        </w:tc>
        <w:tc>
          <w:tcPr>
            <w:tcW w:w="1318" w:type="dxa"/>
            <w:tcBorders>
              <w:top w:val="single" w:sz="4" w:space="0" w:color="auto"/>
              <w:left w:val="single" w:sz="4" w:space="0" w:color="auto"/>
              <w:bottom w:val="single" w:sz="4" w:space="0" w:color="auto"/>
            </w:tcBorders>
            <w:shd w:val="clear" w:color="auto" w:fill="auto"/>
            <w:vAlign w:val="center"/>
          </w:tcPr>
          <w:p w14:paraId="31CCCAE0" w14:textId="77777777" w:rsidR="0044445E" w:rsidRPr="00CE12BF"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188FD276" w14:textId="77777777" w:rsidR="0044445E" w:rsidRPr="00CE12BF" w:rsidRDefault="0044445E" w:rsidP="0044445E">
            <w:pPr>
              <w:jc w:val="center"/>
            </w:pPr>
            <w:r>
              <w:t>12-months ending 06/30/2016</w:t>
            </w:r>
          </w:p>
        </w:tc>
        <w:tc>
          <w:tcPr>
            <w:tcW w:w="1318" w:type="dxa"/>
            <w:tcBorders>
              <w:top w:val="single" w:sz="4" w:space="0" w:color="auto"/>
              <w:left w:val="single" w:sz="4" w:space="0" w:color="auto"/>
              <w:bottom w:val="single" w:sz="4" w:space="0" w:color="auto"/>
            </w:tcBorders>
            <w:vAlign w:val="center"/>
          </w:tcPr>
          <w:p w14:paraId="6089BF99" w14:textId="77777777" w:rsidR="0044445E" w:rsidRPr="00CE12BF" w:rsidRDefault="0044445E" w:rsidP="0044445E">
            <w:pPr>
              <w:jc w:val="center"/>
            </w:pPr>
            <w:r>
              <w:t>N/A</w:t>
            </w:r>
          </w:p>
        </w:tc>
      </w:tr>
      <w:tr w:rsidR="0044445E" w:rsidRPr="00CE12BF" w14:paraId="6029F1BC"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223DE" w14:textId="77777777" w:rsidR="0044445E" w:rsidRPr="005F5A7D" w:rsidRDefault="0044445E" w:rsidP="00244CCE">
            <w:pPr>
              <w:spacing w:before="120" w:after="120"/>
            </w:pPr>
            <w:r w:rsidRPr="00134EBF">
              <w:rPr>
                <w:b/>
              </w:rPr>
              <w:t>7C</w:t>
            </w:r>
            <w:r>
              <w:t xml:space="preserve"> Surgical Site Infection: Major Colon Surgery, MRSA, and C. Diff.</w:t>
            </w:r>
          </w:p>
        </w:tc>
        <w:tc>
          <w:tcPr>
            <w:tcW w:w="2481" w:type="dxa"/>
            <w:tcBorders>
              <w:top w:val="single" w:sz="4" w:space="0" w:color="auto"/>
              <w:left w:val="single" w:sz="4" w:space="0" w:color="auto"/>
              <w:bottom w:val="single" w:sz="4" w:space="0" w:color="auto"/>
            </w:tcBorders>
            <w:shd w:val="clear" w:color="auto" w:fill="auto"/>
            <w:vAlign w:val="center"/>
          </w:tcPr>
          <w:p w14:paraId="43A6DD6E" w14:textId="77777777" w:rsidR="0044445E" w:rsidRPr="00CE12BF" w:rsidRDefault="0044445E" w:rsidP="0044445E">
            <w:pPr>
              <w:jc w:val="center"/>
            </w:pPr>
            <w:r>
              <w:t>12-months ending 12/31/2015</w:t>
            </w:r>
          </w:p>
        </w:tc>
        <w:tc>
          <w:tcPr>
            <w:tcW w:w="1318" w:type="dxa"/>
            <w:tcBorders>
              <w:top w:val="single" w:sz="4" w:space="0" w:color="auto"/>
              <w:left w:val="single" w:sz="4" w:space="0" w:color="auto"/>
              <w:bottom w:val="single" w:sz="4" w:space="0" w:color="auto"/>
            </w:tcBorders>
            <w:shd w:val="clear" w:color="auto" w:fill="auto"/>
            <w:vAlign w:val="center"/>
          </w:tcPr>
          <w:p w14:paraId="7389A05F" w14:textId="77777777" w:rsidR="0044445E"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01DA4D6F" w14:textId="77777777" w:rsidR="0044445E" w:rsidRDefault="0044445E" w:rsidP="0044445E">
            <w:pPr>
              <w:jc w:val="center"/>
            </w:pPr>
            <w:r>
              <w:t>12-months ending 06/30/2016</w:t>
            </w:r>
          </w:p>
        </w:tc>
        <w:tc>
          <w:tcPr>
            <w:tcW w:w="1318" w:type="dxa"/>
            <w:tcBorders>
              <w:top w:val="single" w:sz="4" w:space="0" w:color="auto"/>
              <w:left w:val="single" w:sz="4" w:space="0" w:color="auto"/>
              <w:bottom w:val="single" w:sz="4" w:space="0" w:color="auto"/>
            </w:tcBorders>
            <w:vAlign w:val="center"/>
          </w:tcPr>
          <w:p w14:paraId="2ED9449C" w14:textId="77777777" w:rsidR="0044445E" w:rsidRDefault="0044445E" w:rsidP="0044445E">
            <w:pPr>
              <w:jc w:val="center"/>
            </w:pPr>
            <w:r>
              <w:t>N/A</w:t>
            </w:r>
          </w:p>
        </w:tc>
      </w:tr>
      <w:tr w:rsidR="0044445E" w:rsidRPr="00CE12BF" w14:paraId="6EE625E7"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B9AB4" w14:textId="77777777" w:rsidR="0044445E" w:rsidRPr="005F5A7D" w:rsidRDefault="0044445E" w:rsidP="00244CCE">
            <w:pPr>
              <w:spacing w:before="120" w:after="120"/>
            </w:pPr>
            <w:r w:rsidRPr="00134EBF">
              <w:rPr>
                <w:b/>
              </w:rPr>
              <w:t>7D</w:t>
            </w:r>
            <w:r>
              <w:t xml:space="preserve"> </w:t>
            </w:r>
            <w:r w:rsidRPr="005F5A7D">
              <w:t>Hospital-acquired</w:t>
            </w:r>
            <w:r>
              <w:t xml:space="preserve"> Injuries and </w:t>
            </w:r>
            <w:r w:rsidRPr="005F5A7D">
              <w:t xml:space="preserve"> Pressure Ulcers</w:t>
            </w:r>
          </w:p>
        </w:tc>
        <w:tc>
          <w:tcPr>
            <w:tcW w:w="2481" w:type="dxa"/>
            <w:tcBorders>
              <w:top w:val="single" w:sz="4" w:space="0" w:color="auto"/>
              <w:left w:val="single" w:sz="4" w:space="0" w:color="auto"/>
              <w:bottom w:val="single" w:sz="4" w:space="0" w:color="auto"/>
            </w:tcBorders>
            <w:shd w:val="clear" w:color="auto" w:fill="auto"/>
            <w:vAlign w:val="center"/>
          </w:tcPr>
          <w:p w14:paraId="57DACA53" w14:textId="77777777" w:rsidR="0044445E" w:rsidRPr="00CE12BF" w:rsidRDefault="0044445E" w:rsidP="0044445E">
            <w:pPr>
              <w:jc w:val="center"/>
            </w:pPr>
            <w:r>
              <w:t>9-months ending 09/30/2015</w:t>
            </w:r>
          </w:p>
        </w:tc>
        <w:tc>
          <w:tcPr>
            <w:tcW w:w="1318" w:type="dxa"/>
            <w:tcBorders>
              <w:top w:val="single" w:sz="4" w:space="0" w:color="auto"/>
              <w:left w:val="single" w:sz="4" w:space="0" w:color="auto"/>
              <w:bottom w:val="single" w:sz="4" w:space="0" w:color="auto"/>
            </w:tcBorders>
            <w:shd w:val="clear" w:color="auto" w:fill="auto"/>
            <w:vAlign w:val="center"/>
          </w:tcPr>
          <w:p w14:paraId="7F90B14F" w14:textId="77777777" w:rsidR="0044445E" w:rsidRPr="00CE12BF" w:rsidRDefault="0044445E" w:rsidP="0044445E">
            <w:pPr>
              <w:jc w:val="center"/>
            </w:pPr>
            <w:r>
              <w:t>ICD-9</w:t>
            </w:r>
          </w:p>
        </w:tc>
        <w:tc>
          <w:tcPr>
            <w:tcW w:w="2482" w:type="dxa"/>
            <w:tcBorders>
              <w:top w:val="single" w:sz="4" w:space="0" w:color="auto"/>
              <w:left w:val="single" w:sz="4" w:space="0" w:color="auto"/>
              <w:bottom w:val="single" w:sz="4" w:space="0" w:color="auto"/>
            </w:tcBorders>
            <w:vAlign w:val="center"/>
          </w:tcPr>
          <w:p w14:paraId="6CEF17C3" w14:textId="77777777" w:rsidR="0044445E" w:rsidRPr="00CE12BF" w:rsidRDefault="0044445E" w:rsidP="0044445E">
            <w:pPr>
              <w:jc w:val="center"/>
            </w:pPr>
            <w:r>
              <w:t>9-months ending 06/30/2016</w:t>
            </w:r>
          </w:p>
        </w:tc>
        <w:tc>
          <w:tcPr>
            <w:tcW w:w="1318" w:type="dxa"/>
            <w:tcBorders>
              <w:top w:val="single" w:sz="4" w:space="0" w:color="auto"/>
              <w:left w:val="single" w:sz="4" w:space="0" w:color="auto"/>
              <w:bottom w:val="single" w:sz="4" w:space="0" w:color="auto"/>
            </w:tcBorders>
            <w:vAlign w:val="center"/>
          </w:tcPr>
          <w:p w14:paraId="2B6F7B9E" w14:textId="77777777" w:rsidR="0044445E" w:rsidRPr="00CE12BF" w:rsidRDefault="0044445E" w:rsidP="0044445E">
            <w:pPr>
              <w:jc w:val="center"/>
            </w:pPr>
            <w:r>
              <w:t>ICD-10</w:t>
            </w:r>
          </w:p>
        </w:tc>
      </w:tr>
      <w:tr w:rsidR="0044445E" w:rsidRPr="00CE12BF" w14:paraId="06654289"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8F007" w14:textId="483439D2" w:rsidR="0044445E" w:rsidRPr="005F5A7D" w:rsidRDefault="0044445E" w:rsidP="00244CCE">
            <w:pPr>
              <w:spacing w:before="120" w:after="120"/>
            </w:pPr>
            <w:r w:rsidRPr="00134EBF">
              <w:rPr>
                <w:b/>
              </w:rPr>
              <w:t>7E</w:t>
            </w:r>
            <w:r>
              <w:t xml:space="preserve"> </w:t>
            </w:r>
            <w:r w:rsidR="00807FA4">
              <w:t>Antibiotic Stewardship Programs</w:t>
            </w:r>
          </w:p>
        </w:tc>
        <w:tc>
          <w:tcPr>
            <w:tcW w:w="2481" w:type="dxa"/>
            <w:tcBorders>
              <w:top w:val="single" w:sz="4" w:space="0" w:color="auto"/>
              <w:left w:val="single" w:sz="4" w:space="0" w:color="auto"/>
              <w:bottom w:val="single" w:sz="4" w:space="0" w:color="auto"/>
            </w:tcBorders>
            <w:shd w:val="clear" w:color="auto" w:fill="auto"/>
            <w:vAlign w:val="center"/>
          </w:tcPr>
          <w:p w14:paraId="1F2CFF9B"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shd w:val="clear" w:color="auto" w:fill="auto"/>
            <w:vAlign w:val="center"/>
          </w:tcPr>
          <w:p w14:paraId="1C56A697" w14:textId="77777777" w:rsidR="0044445E"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4341BB0F" w14:textId="77777777" w:rsidR="0044445E" w:rsidRDefault="0044445E" w:rsidP="0044445E">
            <w:pPr>
              <w:jc w:val="center"/>
            </w:pPr>
            <w:r>
              <w:t>N/A</w:t>
            </w:r>
          </w:p>
        </w:tc>
        <w:tc>
          <w:tcPr>
            <w:tcW w:w="1318" w:type="dxa"/>
            <w:tcBorders>
              <w:top w:val="single" w:sz="4" w:space="0" w:color="auto"/>
              <w:left w:val="single" w:sz="4" w:space="0" w:color="auto"/>
              <w:bottom w:val="single" w:sz="4" w:space="0" w:color="auto"/>
            </w:tcBorders>
            <w:vAlign w:val="center"/>
          </w:tcPr>
          <w:p w14:paraId="4BB1FDDF" w14:textId="77777777" w:rsidR="0044445E" w:rsidRDefault="0044445E" w:rsidP="0044445E">
            <w:pPr>
              <w:jc w:val="center"/>
            </w:pPr>
            <w:r>
              <w:t>N/A</w:t>
            </w:r>
          </w:p>
        </w:tc>
      </w:tr>
      <w:tr w:rsidR="0044445E" w:rsidRPr="00CE12BF" w14:paraId="40E31D5E" w14:textId="77777777" w:rsidTr="0044445E">
        <w:trPr>
          <w:jc w:val="center"/>
        </w:trPr>
        <w:tc>
          <w:tcPr>
            <w:tcW w:w="2481" w:type="dxa"/>
            <w:tcBorders>
              <w:top w:val="single" w:sz="4" w:space="0" w:color="auto"/>
            </w:tcBorders>
            <w:shd w:val="clear" w:color="auto" w:fill="D9D9D9" w:themeFill="background1" w:themeFillShade="D9"/>
          </w:tcPr>
          <w:p w14:paraId="75B6322C" w14:textId="77777777" w:rsidR="0044445E" w:rsidRPr="00CE12BF" w:rsidRDefault="0044445E" w:rsidP="00244CCE">
            <w:pPr>
              <w:spacing w:before="120" w:after="120"/>
              <w:rPr>
                <w:b/>
                <w:color w:val="808080" w:themeColor="background1" w:themeShade="80"/>
              </w:rPr>
            </w:pPr>
            <w:r w:rsidRPr="00134EBF">
              <w:rPr>
                <w:b/>
              </w:rPr>
              <w:t>8</w:t>
            </w:r>
            <w:r>
              <w:t xml:space="preserve"> </w:t>
            </w:r>
            <w:r w:rsidRPr="00134EBF">
              <w:t>Bar Code Medication Administration</w:t>
            </w:r>
          </w:p>
        </w:tc>
        <w:tc>
          <w:tcPr>
            <w:tcW w:w="2481" w:type="dxa"/>
            <w:tcBorders>
              <w:top w:val="single" w:sz="4" w:space="0" w:color="auto"/>
            </w:tcBorders>
            <w:shd w:val="clear" w:color="auto" w:fill="auto"/>
            <w:vAlign w:val="center"/>
          </w:tcPr>
          <w:p w14:paraId="69AFA8DC" w14:textId="77777777" w:rsidR="0044445E" w:rsidRPr="00CE12BF" w:rsidRDefault="0044445E" w:rsidP="0044445E">
            <w:pPr>
              <w:jc w:val="center"/>
            </w:pPr>
            <w:r>
              <w:t>Latest 3-months prior to survey submission</w:t>
            </w:r>
          </w:p>
        </w:tc>
        <w:tc>
          <w:tcPr>
            <w:tcW w:w="1318" w:type="dxa"/>
            <w:tcBorders>
              <w:top w:val="single" w:sz="4" w:space="0" w:color="auto"/>
            </w:tcBorders>
            <w:shd w:val="clear" w:color="auto" w:fill="auto"/>
            <w:vAlign w:val="center"/>
          </w:tcPr>
          <w:p w14:paraId="12EDE8E6" w14:textId="77777777" w:rsidR="0044445E" w:rsidRDefault="0044445E" w:rsidP="0044445E">
            <w:pPr>
              <w:jc w:val="center"/>
            </w:pPr>
            <w:r>
              <w:t>N/A</w:t>
            </w:r>
          </w:p>
        </w:tc>
        <w:tc>
          <w:tcPr>
            <w:tcW w:w="2482" w:type="dxa"/>
            <w:tcBorders>
              <w:top w:val="single" w:sz="4" w:space="0" w:color="auto"/>
            </w:tcBorders>
            <w:vAlign w:val="center"/>
          </w:tcPr>
          <w:p w14:paraId="4C0C8563" w14:textId="77777777" w:rsidR="0044445E" w:rsidRDefault="0044445E" w:rsidP="0044445E">
            <w:pPr>
              <w:jc w:val="center"/>
            </w:pPr>
            <w:r>
              <w:t>Latest 3-months prior to survey submission</w:t>
            </w:r>
          </w:p>
        </w:tc>
        <w:tc>
          <w:tcPr>
            <w:tcW w:w="1318" w:type="dxa"/>
            <w:tcBorders>
              <w:top w:val="single" w:sz="4" w:space="0" w:color="auto"/>
            </w:tcBorders>
            <w:vAlign w:val="center"/>
          </w:tcPr>
          <w:p w14:paraId="17660BE5" w14:textId="77777777" w:rsidR="0044445E" w:rsidRDefault="0044445E" w:rsidP="0044445E">
            <w:pPr>
              <w:jc w:val="center"/>
            </w:pPr>
            <w:r>
              <w:t>N/A</w:t>
            </w:r>
          </w:p>
        </w:tc>
      </w:tr>
      <w:tr w:rsidR="0044445E" w:rsidRPr="00CE12BF" w14:paraId="099DC8ED" w14:textId="77777777" w:rsidTr="0044445E">
        <w:trPr>
          <w:jc w:val="center"/>
        </w:trPr>
        <w:tc>
          <w:tcPr>
            <w:tcW w:w="2481" w:type="dxa"/>
            <w:shd w:val="clear" w:color="auto" w:fill="D9D9D9" w:themeFill="background1" w:themeFillShade="D9"/>
          </w:tcPr>
          <w:p w14:paraId="63EA7C6F" w14:textId="77777777" w:rsidR="0044445E" w:rsidRPr="00CE12BF" w:rsidRDefault="0044445E" w:rsidP="00244CCE">
            <w:pPr>
              <w:spacing w:before="120" w:after="120"/>
              <w:rPr>
                <w:b/>
              </w:rPr>
            </w:pPr>
            <w:r>
              <w:rPr>
                <w:b/>
              </w:rPr>
              <w:t xml:space="preserve">9 </w:t>
            </w:r>
            <w:r w:rsidRPr="00134EBF">
              <w:t>Readmission for Common Acute Conditions &amp; Procedures</w:t>
            </w:r>
          </w:p>
        </w:tc>
        <w:tc>
          <w:tcPr>
            <w:tcW w:w="2481" w:type="dxa"/>
            <w:shd w:val="clear" w:color="auto" w:fill="auto"/>
            <w:vAlign w:val="center"/>
          </w:tcPr>
          <w:p w14:paraId="35B48DA2" w14:textId="77777777" w:rsidR="0044445E" w:rsidRPr="00CE12BF" w:rsidRDefault="0044445E" w:rsidP="0044445E">
            <w:pPr>
              <w:jc w:val="center"/>
            </w:pPr>
            <w:r>
              <w:t>N/A</w:t>
            </w:r>
          </w:p>
        </w:tc>
        <w:tc>
          <w:tcPr>
            <w:tcW w:w="1318" w:type="dxa"/>
            <w:shd w:val="clear" w:color="auto" w:fill="auto"/>
            <w:vAlign w:val="center"/>
          </w:tcPr>
          <w:p w14:paraId="6AAA5B7D" w14:textId="77777777" w:rsidR="0044445E" w:rsidRPr="00CE12BF" w:rsidRDefault="0044445E" w:rsidP="0044445E">
            <w:pPr>
              <w:jc w:val="center"/>
            </w:pPr>
            <w:r>
              <w:t>N/A</w:t>
            </w:r>
          </w:p>
        </w:tc>
        <w:tc>
          <w:tcPr>
            <w:tcW w:w="2482" w:type="dxa"/>
            <w:vAlign w:val="center"/>
          </w:tcPr>
          <w:p w14:paraId="2484A9DF" w14:textId="77777777" w:rsidR="0044445E" w:rsidRPr="00CE12BF" w:rsidRDefault="0044445E" w:rsidP="0044445E">
            <w:pPr>
              <w:jc w:val="center"/>
            </w:pPr>
            <w:r>
              <w:t>N/A</w:t>
            </w:r>
          </w:p>
        </w:tc>
        <w:tc>
          <w:tcPr>
            <w:tcW w:w="1318" w:type="dxa"/>
            <w:vAlign w:val="center"/>
          </w:tcPr>
          <w:p w14:paraId="1075933A" w14:textId="77777777" w:rsidR="0044445E" w:rsidRPr="00CE12BF" w:rsidRDefault="0044445E" w:rsidP="0044445E">
            <w:pPr>
              <w:jc w:val="center"/>
            </w:pPr>
            <w:r>
              <w:t>N/A</w:t>
            </w:r>
          </w:p>
        </w:tc>
      </w:tr>
    </w:tbl>
    <w:p w14:paraId="0531F010" w14:textId="77777777" w:rsidR="00BA3AAA" w:rsidRDefault="00BA3AAA">
      <w:pPr>
        <w:rPr>
          <w:b/>
          <w:snapToGrid w:val="0"/>
          <w:sz w:val="28"/>
          <w:u w:val="single"/>
          <w:lang w:eastAsia="ja-JP"/>
        </w:rPr>
      </w:pPr>
    </w:p>
    <w:p w14:paraId="67D33F9F" w14:textId="77777777" w:rsidR="003D6A23" w:rsidRPr="00446D22" w:rsidRDefault="00134EBF" w:rsidP="00446D22">
      <w:pPr>
        <w:rPr>
          <w:b/>
          <w:snapToGrid w:val="0"/>
          <w:sz w:val="28"/>
          <w:u w:val="single"/>
          <w:lang w:eastAsia="ja-JP"/>
        </w:rPr>
      </w:pPr>
      <w:r>
        <w:rPr>
          <w:snapToGrid w:val="0"/>
        </w:rPr>
        <w:br w:type="page"/>
      </w:r>
    </w:p>
    <w:p w14:paraId="2E3C9E3D" w14:textId="77777777" w:rsidR="008733FC" w:rsidRDefault="008733FC" w:rsidP="00446D22">
      <w:pPr>
        <w:rPr>
          <w:b/>
          <w:snapToGrid w:val="0"/>
          <w:color w:val="A6A6A6" w:themeColor="background1" w:themeShade="A6"/>
          <w:sz w:val="40"/>
          <w:szCs w:val="40"/>
        </w:rPr>
        <w:sectPr w:rsidR="008733FC" w:rsidSect="008733FC">
          <w:headerReference w:type="default" r:id="rId56"/>
          <w:endnotePr>
            <w:numFmt w:val="decimal"/>
          </w:endnotePr>
          <w:type w:val="continuous"/>
          <w:pgSz w:w="12240" w:h="15840"/>
          <w:pgMar w:top="1080" w:right="1440" w:bottom="1080" w:left="1440" w:header="720" w:footer="720" w:gutter="0"/>
          <w:cols w:space="720"/>
          <w:docGrid w:linePitch="272"/>
        </w:sectPr>
      </w:pPr>
    </w:p>
    <w:p w14:paraId="668F5E14" w14:textId="77777777" w:rsidR="00446D22" w:rsidRDefault="00446D22" w:rsidP="00226BFC">
      <w:pPr>
        <w:jc w:val="center"/>
        <w:rPr>
          <w:b/>
          <w:snapToGrid w:val="0"/>
          <w:color w:val="A6A6A6" w:themeColor="background1" w:themeShade="A6"/>
          <w:sz w:val="40"/>
          <w:szCs w:val="40"/>
        </w:rPr>
      </w:pPr>
    </w:p>
    <w:p w14:paraId="25190FE4" w14:textId="77777777" w:rsidR="008A32DF" w:rsidRDefault="007A7396" w:rsidP="00226BFC">
      <w:pPr>
        <w:jc w:val="center"/>
        <w:rPr>
          <w:b/>
          <w:snapToGrid w:val="0"/>
          <w:color w:val="A6A6A6" w:themeColor="background1" w:themeShade="A6"/>
          <w:sz w:val="40"/>
          <w:szCs w:val="40"/>
        </w:rPr>
      </w:pPr>
      <w:r>
        <w:rPr>
          <w:b/>
          <w:snapToGrid w:val="0"/>
          <w:color w:val="A6A6A6" w:themeColor="background1" w:themeShade="A6"/>
          <w:sz w:val="40"/>
          <w:szCs w:val="40"/>
        </w:rPr>
        <w:t>Page Intentionally Left Blank</w:t>
      </w:r>
    </w:p>
    <w:p w14:paraId="4D836383" w14:textId="77777777" w:rsidR="007A7396" w:rsidRDefault="007A7396">
      <w:pPr>
        <w:rPr>
          <w:b/>
          <w:snapToGrid w:val="0"/>
          <w:color w:val="A6A6A6" w:themeColor="background1" w:themeShade="A6"/>
          <w:sz w:val="40"/>
          <w:szCs w:val="40"/>
        </w:rPr>
      </w:pPr>
      <w:r>
        <w:rPr>
          <w:b/>
          <w:snapToGrid w:val="0"/>
          <w:color w:val="A6A6A6" w:themeColor="background1" w:themeShade="A6"/>
          <w:sz w:val="40"/>
          <w:szCs w:val="40"/>
        </w:rPr>
        <w:br w:type="page"/>
      </w:r>
    </w:p>
    <w:p w14:paraId="448D6F95" w14:textId="77777777" w:rsidR="00D640EB" w:rsidRDefault="00D640EB" w:rsidP="007A7396">
      <w:pPr>
        <w:jc w:val="center"/>
        <w:rPr>
          <w:b/>
          <w:snapToGrid w:val="0"/>
          <w:color w:val="A6A6A6" w:themeColor="background1" w:themeShade="A6"/>
          <w:sz w:val="40"/>
          <w:szCs w:val="40"/>
        </w:rPr>
        <w:sectPr w:rsidR="00D640EB" w:rsidSect="008733FC">
          <w:headerReference w:type="default" r:id="rId57"/>
          <w:endnotePr>
            <w:numFmt w:val="decimal"/>
          </w:endnotePr>
          <w:type w:val="continuous"/>
          <w:pgSz w:w="12240" w:h="15840"/>
          <w:pgMar w:top="1080" w:right="1440" w:bottom="1080" w:left="1440" w:header="720" w:footer="720" w:gutter="0"/>
          <w:cols w:space="720"/>
          <w:docGrid w:linePitch="272"/>
        </w:sectPr>
      </w:pPr>
    </w:p>
    <w:p w14:paraId="00FE7C8D" w14:textId="77777777" w:rsidR="007A7396" w:rsidRDefault="007A7396" w:rsidP="007A7396">
      <w:pPr>
        <w:jc w:val="center"/>
        <w:rPr>
          <w:b/>
          <w:snapToGrid w:val="0"/>
          <w:color w:val="A6A6A6" w:themeColor="background1" w:themeShade="A6"/>
          <w:sz w:val="40"/>
          <w:szCs w:val="40"/>
        </w:rPr>
      </w:pPr>
    </w:p>
    <w:p w14:paraId="3DFCE365" w14:textId="77777777" w:rsidR="008A32DF" w:rsidRPr="008A32DF" w:rsidRDefault="008A32DF" w:rsidP="00B441E9">
      <w:pPr>
        <w:jc w:val="center"/>
        <w:rPr>
          <w:b/>
          <w:snapToGrid w:val="0"/>
          <w:color w:val="A6A6A6" w:themeColor="background1" w:themeShade="A6"/>
          <w:sz w:val="40"/>
          <w:szCs w:val="40"/>
        </w:rPr>
      </w:pPr>
    </w:p>
    <w:p w14:paraId="29AC800C" w14:textId="77777777" w:rsidR="008A32DF" w:rsidRDefault="008A32DF" w:rsidP="008A32DF">
      <w:pPr>
        <w:pStyle w:val="SectionHeader"/>
        <w:jc w:val="left"/>
        <w:rPr>
          <w:lang w:eastAsia="en-US"/>
        </w:rPr>
      </w:pPr>
    </w:p>
    <w:p w14:paraId="59B90FF2" w14:textId="77777777" w:rsidR="008A32DF" w:rsidRDefault="008A32DF" w:rsidP="008A32DF">
      <w:pPr>
        <w:pStyle w:val="SectionHeader"/>
        <w:jc w:val="left"/>
        <w:rPr>
          <w:lang w:eastAsia="en-US"/>
        </w:rPr>
      </w:pPr>
    </w:p>
    <w:p w14:paraId="2BA58A9C" w14:textId="77777777" w:rsidR="008A32DF" w:rsidRDefault="008A32DF" w:rsidP="008A32DF">
      <w:pPr>
        <w:pStyle w:val="SectionHeader"/>
        <w:jc w:val="left"/>
        <w:rPr>
          <w:lang w:eastAsia="en-US"/>
        </w:rPr>
      </w:pPr>
    </w:p>
    <w:p w14:paraId="08C35865" w14:textId="77777777" w:rsidR="008A32DF" w:rsidRDefault="008A32DF" w:rsidP="008A32DF">
      <w:pPr>
        <w:pStyle w:val="SectionHeader"/>
        <w:jc w:val="left"/>
        <w:rPr>
          <w:lang w:eastAsia="en-US"/>
        </w:rPr>
      </w:pPr>
    </w:p>
    <w:p w14:paraId="4922C660" w14:textId="77777777" w:rsidR="008A32DF" w:rsidRDefault="008A32DF" w:rsidP="008A32DF">
      <w:pPr>
        <w:pStyle w:val="SectionHeader"/>
        <w:jc w:val="left"/>
        <w:rPr>
          <w:lang w:eastAsia="en-US"/>
        </w:rPr>
      </w:pPr>
    </w:p>
    <w:p w14:paraId="562126BE" w14:textId="77777777" w:rsidR="008A32DF" w:rsidRDefault="008A32DF" w:rsidP="008A32DF">
      <w:pPr>
        <w:pStyle w:val="SectionHeader"/>
        <w:jc w:val="left"/>
        <w:rPr>
          <w:lang w:eastAsia="en-US"/>
        </w:rPr>
      </w:pPr>
    </w:p>
    <w:p w14:paraId="50D82702" w14:textId="77777777" w:rsidR="008A32DF" w:rsidRDefault="008A32DF" w:rsidP="008A32DF">
      <w:pPr>
        <w:pStyle w:val="SectionHeader"/>
        <w:jc w:val="left"/>
        <w:rPr>
          <w:lang w:eastAsia="en-US"/>
        </w:rPr>
      </w:pPr>
    </w:p>
    <w:p w14:paraId="0F5D455B" w14:textId="77777777" w:rsidR="008A32DF" w:rsidRDefault="008A32DF" w:rsidP="008A32DF">
      <w:pPr>
        <w:pStyle w:val="SectionHeader"/>
        <w:jc w:val="left"/>
        <w:rPr>
          <w:lang w:eastAsia="en-US"/>
        </w:rPr>
      </w:pPr>
    </w:p>
    <w:p w14:paraId="083A6E6E" w14:textId="77777777" w:rsidR="008A32DF" w:rsidRDefault="008A32DF" w:rsidP="008A32DF">
      <w:pPr>
        <w:pStyle w:val="SectionHeader"/>
        <w:jc w:val="left"/>
        <w:rPr>
          <w:lang w:eastAsia="en-US"/>
        </w:rPr>
      </w:pPr>
    </w:p>
    <w:p w14:paraId="44AB388B" w14:textId="77777777" w:rsidR="00B441E9" w:rsidRDefault="00B441E9" w:rsidP="008A32DF">
      <w:pPr>
        <w:pStyle w:val="SectionHeader"/>
      </w:pPr>
      <w:bookmarkStart w:id="19" w:name="_Toc447194961"/>
      <w:bookmarkStart w:id="20" w:name="Sect1"/>
      <w:r w:rsidRPr="00B441E9">
        <w:t>PROFILE</w:t>
      </w:r>
      <w:bookmarkEnd w:id="19"/>
    </w:p>
    <w:bookmarkEnd w:id="20"/>
    <w:p w14:paraId="77A50A61" w14:textId="77777777" w:rsidR="006A6287" w:rsidRDefault="006A6287" w:rsidP="00FE54C0">
      <w:pPr>
        <w:pStyle w:val="SectionHeader"/>
      </w:pPr>
    </w:p>
    <w:p w14:paraId="118C1BEF" w14:textId="77777777" w:rsidR="006A6287" w:rsidRDefault="006A6287" w:rsidP="006A6287"/>
    <w:p w14:paraId="47185A7E" w14:textId="20178539" w:rsidR="006A6287" w:rsidRDefault="00E26FA1" w:rsidP="00FA0352">
      <w:r>
        <w:t xml:space="preserve">Hospitals must first complete </w:t>
      </w:r>
      <w:r w:rsidR="00783C51">
        <w:t xml:space="preserve">and </w:t>
      </w:r>
      <w:r w:rsidR="00CC078E">
        <w:t xml:space="preserve">submit </w:t>
      </w:r>
      <w:r>
        <w:t>a Profile on the survey dashboard before accessing the online survey tool for the first time</w:t>
      </w:r>
      <w:r w:rsidR="00E56C09">
        <w:t xml:space="preserve">. The Profile is available year </w:t>
      </w:r>
      <w:r>
        <w:t>round and should be updated as necessary.</w:t>
      </w:r>
    </w:p>
    <w:p w14:paraId="0C54763C" w14:textId="77777777" w:rsidR="007C3262" w:rsidRPr="00B441E9" w:rsidRDefault="002D5331" w:rsidP="00B441E9">
      <w:pPr>
        <w:rPr>
          <w:b/>
          <w:sz w:val="40"/>
          <w:szCs w:val="40"/>
        </w:rPr>
      </w:pPr>
      <w:r w:rsidRPr="00B441E9">
        <w:rPr>
          <w:b/>
          <w:sz w:val="40"/>
          <w:szCs w:val="40"/>
        </w:rPr>
        <w:br w:type="page"/>
      </w:r>
    </w:p>
    <w:p w14:paraId="1F4882D6" w14:textId="77777777" w:rsidR="008910AA" w:rsidRDefault="00950575" w:rsidP="002C3E94">
      <w:pPr>
        <w:pStyle w:val="Title"/>
      </w:pPr>
      <w:bookmarkStart w:id="21" w:name="_Toc447194962"/>
      <w:r w:rsidRPr="00E56C09">
        <w:lastRenderedPageBreak/>
        <w:t>PROFILE</w:t>
      </w:r>
      <w:bookmarkEnd w:id="21"/>
    </w:p>
    <w:p w14:paraId="3BD01792" w14:textId="77777777" w:rsidR="008910AA" w:rsidRDefault="008910AA" w:rsidP="007A44CB">
      <w:pPr>
        <w:pStyle w:val="Heading3"/>
      </w:pPr>
      <w:bookmarkStart w:id="22" w:name="_Organization_Information"/>
      <w:bookmarkEnd w:id="22"/>
    </w:p>
    <w:p w14:paraId="39250EFC" w14:textId="77777777" w:rsidR="00950575" w:rsidRDefault="00950575">
      <w:r>
        <w:t xml:space="preserve">The Profile must be completed and </w:t>
      </w:r>
      <w:r w:rsidR="009F731C">
        <w:t xml:space="preserve">submitted </w:t>
      </w:r>
      <w:r>
        <w:t xml:space="preserve">before you can access the online survey tool. The profile is </w:t>
      </w:r>
      <w:r w:rsidR="00224D9B">
        <w:t>available</w:t>
      </w:r>
      <w:r>
        <w:t xml:space="preserve"> year round and should be updated as necessary. </w:t>
      </w:r>
    </w:p>
    <w:p w14:paraId="5DBCB64E" w14:textId="77777777" w:rsidR="00950575" w:rsidRDefault="00950575"/>
    <w:p w14:paraId="2BAAC998" w14:textId="77777777" w:rsidR="008910AA" w:rsidRDefault="001B3383">
      <w:r w:rsidRPr="00F126A0">
        <w:rPr>
          <w:b/>
        </w:rPr>
        <w:t xml:space="preserve">Specifications: </w:t>
      </w:r>
      <w:r w:rsidRPr="00F126A0">
        <w:rPr>
          <w:snapToGrid w:val="0"/>
        </w:rPr>
        <w:t xml:space="preserve">Hospitals that share a Medicare Provider Number are required to report by facility. Please carefully review </w:t>
      </w:r>
      <w:hyperlink r:id="rId58" w:history="1">
        <w:r w:rsidRPr="00F126A0">
          <w:rPr>
            <w:rStyle w:val="Hyperlink"/>
            <w:snapToGrid w:val="0"/>
          </w:rPr>
          <w:t>Leapfrog’s Multi-Campus Reporting Policy</w:t>
        </w:r>
      </w:hyperlink>
      <w:r w:rsidRPr="00F126A0">
        <w:rPr>
          <w:snapToGrid w:val="0"/>
        </w:rPr>
        <w:t>.</w:t>
      </w:r>
    </w:p>
    <w:p w14:paraId="52049E57" w14:textId="77777777" w:rsidR="00432BEF" w:rsidRDefault="00432BEF"/>
    <w:p w14:paraId="61ED2C96" w14:textId="77777777" w:rsidR="00033FB4" w:rsidRDefault="00671BE9">
      <w:pPr>
        <w:rPr>
          <w:color w:val="FF0000"/>
        </w:rPr>
      </w:pPr>
      <w:r w:rsidRPr="00671BE9">
        <w:rPr>
          <w:b/>
          <w:color w:val="FF0000"/>
        </w:rPr>
        <w:t xml:space="preserve">Important </w:t>
      </w:r>
      <w:r w:rsidR="0046544E" w:rsidRPr="00671BE9">
        <w:rPr>
          <w:b/>
          <w:color w:val="FF0000"/>
        </w:rPr>
        <w:t>Note</w:t>
      </w:r>
      <w:r w:rsidR="00033FB4">
        <w:rPr>
          <w:b/>
          <w:color w:val="FF0000"/>
        </w:rPr>
        <w:t>s</w:t>
      </w:r>
      <w:r w:rsidR="0046544E" w:rsidRPr="00671BE9">
        <w:rPr>
          <w:b/>
          <w:color w:val="FF0000"/>
        </w:rPr>
        <w:t>:</w:t>
      </w:r>
      <w:r w:rsidR="0046544E" w:rsidRPr="00671BE9">
        <w:rPr>
          <w:color w:val="FF0000"/>
        </w:rPr>
        <w:t xml:space="preserve"> </w:t>
      </w:r>
    </w:p>
    <w:p w14:paraId="0A2B2FBD" w14:textId="77777777" w:rsidR="00033FB4" w:rsidRDefault="00033FB4">
      <w:pPr>
        <w:rPr>
          <w:color w:val="FF0000"/>
        </w:rPr>
      </w:pPr>
    </w:p>
    <w:p w14:paraId="163B4C72" w14:textId="56495BE7" w:rsidR="0046544E" w:rsidRDefault="00033FB4">
      <w:r w:rsidRPr="00033FB4">
        <w:t xml:space="preserve">Note 1: </w:t>
      </w:r>
      <w:r w:rsidR="00DF647F" w:rsidRPr="00033FB4">
        <w:t xml:space="preserve">Leapfrog </w:t>
      </w:r>
      <w:r w:rsidR="00DF647F">
        <w:t>is implementing a new administration system that links contacts shared by hospitals</w:t>
      </w:r>
      <w:r w:rsidR="00DF794C">
        <w:t xml:space="preserve"> (i.e. CEOs, survey contacts, system contacts, and PR contacts). </w:t>
      </w:r>
      <w:r w:rsidR="00DF647F">
        <w:t>Only one phone numbe</w:t>
      </w:r>
      <w:r w:rsidR="00DF794C">
        <w:t>r and email address will be maintained</w:t>
      </w:r>
      <w:r w:rsidR="00DF647F">
        <w:t xml:space="preserve"> for each contact, meaning that if this </w:t>
      </w:r>
      <w:r w:rsidR="00DF794C">
        <w:t xml:space="preserve">shared </w:t>
      </w:r>
      <w:r w:rsidR="00DF647F">
        <w:t>contact</w:t>
      </w:r>
      <w:r w:rsidR="00DF794C">
        <w:t>’s</w:t>
      </w:r>
      <w:r w:rsidR="00DF647F">
        <w:t xml:space="preserve"> information is updated in one hospital’s Profile, it will be updated for all hospitals associated with the contact.</w:t>
      </w:r>
    </w:p>
    <w:p w14:paraId="688F44E5" w14:textId="77777777" w:rsidR="00033FB4" w:rsidRDefault="00033FB4"/>
    <w:p w14:paraId="5B5301A5" w14:textId="45381CC3" w:rsidR="00033FB4" w:rsidRDefault="00033FB4">
      <w:r>
        <w:t xml:space="preserve">Note 2: The primary contact (i.e. Survey Contact 1) and system contact will be notified at the beginning of each month if Leapfrog finds any error in your survey that needs to be corrected. </w:t>
      </w:r>
    </w:p>
    <w:p w14:paraId="7BF066E9" w14:textId="77777777" w:rsidR="0046544E" w:rsidRDefault="0046544E"/>
    <w:p w14:paraId="50A8ED02" w14:textId="77777777" w:rsidR="00950575" w:rsidRDefault="00BB1F3E" w:rsidP="007A44CB">
      <w:pPr>
        <w:pStyle w:val="Heading3"/>
      </w:pPr>
      <w:bookmarkStart w:id="23" w:name="_Toc447194963"/>
      <w:r>
        <w:t>Facility Information</w:t>
      </w:r>
      <w:bookmarkEnd w:id="23"/>
    </w:p>
    <w:p w14:paraId="7B994302" w14:textId="77777777" w:rsidR="00BB1F3E" w:rsidRDefault="00BB1F3E" w:rsidP="00BB1F3E">
      <w:pPr>
        <w:rPr>
          <w:lang w:eastAsia="ja-JP"/>
        </w:rPr>
      </w:pPr>
    </w:p>
    <w:tbl>
      <w:tblPr>
        <w:tblStyle w:val="TableGrid"/>
        <w:tblW w:w="0" w:type="auto"/>
        <w:jc w:val="center"/>
        <w:tblLook w:val="04A0" w:firstRow="1" w:lastRow="0" w:firstColumn="1" w:lastColumn="0" w:noHBand="0" w:noVBand="1"/>
      </w:tblPr>
      <w:tblGrid>
        <w:gridCol w:w="4788"/>
        <w:gridCol w:w="4788"/>
      </w:tblGrid>
      <w:tr w:rsidR="00BB1F3E" w14:paraId="348B3E0D" w14:textId="77777777" w:rsidTr="00881088">
        <w:trPr>
          <w:jc w:val="center"/>
        </w:trPr>
        <w:tc>
          <w:tcPr>
            <w:tcW w:w="4788" w:type="dxa"/>
            <w:shd w:val="clear" w:color="auto" w:fill="D9D9D9" w:themeFill="background1" w:themeFillShade="D9"/>
          </w:tcPr>
          <w:p w14:paraId="41ACA966" w14:textId="77777777" w:rsidR="00BB1F3E" w:rsidRPr="00BB1F3E" w:rsidRDefault="00BB1F3E" w:rsidP="00BB1F3E">
            <w:pPr>
              <w:rPr>
                <w:b/>
                <w:sz w:val="18"/>
                <w:szCs w:val="18"/>
                <w:lang w:eastAsia="ja-JP"/>
              </w:rPr>
            </w:pPr>
            <w:r w:rsidRPr="00BB1F3E">
              <w:rPr>
                <w:b/>
                <w:sz w:val="18"/>
                <w:szCs w:val="18"/>
                <w:lang w:eastAsia="ja-JP"/>
              </w:rPr>
              <w:t>Organization Name</w:t>
            </w:r>
          </w:p>
        </w:tc>
        <w:tc>
          <w:tcPr>
            <w:tcW w:w="4788" w:type="dxa"/>
            <w:shd w:val="clear" w:color="auto" w:fill="D9D9D9" w:themeFill="background1" w:themeFillShade="D9"/>
          </w:tcPr>
          <w:p w14:paraId="17EB89B2" w14:textId="00480603" w:rsidR="00BB1F3E" w:rsidRDefault="00BB1F3E" w:rsidP="00BB1F3E">
            <w:pPr>
              <w:rPr>
                <w:b/>
                <w:sz w:val="18"/>
                <w:szCs w:val="18"/>
                <w:lang w:eastAsia="ja-JP"/>
              </w:rPr>
            </w:pPr>
            <w:r w:rsidRPr="00BB1F3E">
              <w:rPr>
                <w:b/>
                <w:sz w:val="18"/>
                <w:szCs w:val="18"/>
                <w:lang w:eastAsia="ja-JP"/>
              </w:rPr>
              <w:t xml:space="preserve">Medicare Provider Number </w:t>
            </w:r>
            <w:hyperlink w:anchor="Endnote1" w:history="1">
              <w:r w:rsidRPr="001F1E71">
                <w:rPr>
                  <w:rStyle w:val="Hyperlink"/>
                  <w:b/>
                  <w:sz w:val="18"/>
                  <w:szCs w:val="18"/>
                  <w:lang w:eastAsia="ja-JP"/>
                </w:rPr>
                <w:t>(MPN)</w:t>
              </w:r>
            </w:hyperlink>
            <w:r w:rsidR="000469EC">
              <w:rPr>
                <w:rStyle w:val="EndnoteReference"/>
                <w:b/>
                <w:sz w:val="18"/>
                <w:szCs w:val="18"/>
                <w:lang w:eastAsia="ja-JP"/>
              </w:rPr>
              <w:endnoteReference w:id="2"/>
            </w:r>
          </w:p>
          <w:p w14:paraId="420E2AC2" w14:textId="77777777" w:rsidR="0018702E" w:rsidRPr="00033FB4" w:rsidRDefault="0018702E" w:rsidP="00BB1F3E">
            <w:pPr>
              <w:rPr>
                <w:sz w:val="16"/>
                <w:szCs w:val="16"/>
                <w:lang w:eastAsia="ja-JP"/>
              </w:rPr>
            </w:pPr>
            <w:r w:rsidRPr="00033FB4">
              <w:rPr>
                <w:sz w:val="16"/>
                <w:szCs w:val="16"/>
                <w:lang w:eastAsia="ja-JP"/>
              </w:rPr>
              <w:t xml:space="preserve">If the MPN displayed in the online survey tool is not correct, contact the Help Desk immediately. </w:t>
            </w:r>
          </w:p>
        </w:tc>
      </w:tr>
      <w:tr w:rsidR="00BB1F3E" w14:paraId="00286178" w14:textId="77777777" w:rsidTr="00881088">
        <w:trPr>
          <w:jc w:val="center"/>
        </w:trPr>
        <w:tc>
          <w:tcPr>
            <w:tcW w:w="4788" w:type="dxa"/>
            <w:tcBorders>
              <w:bottom w:val="single" w:sz="4" w:space="0" w:color="auto"/>
            </w:tcBorders>
          </w:tcPr>
          <w:p w14:paraId="5CD84FF0" w14:textId="77777777" w:rsidR="00BB1F3E" w:rsidRPr="00BB1F3E" w:rsidRDefault="00BB1F3E" w:rsidP="00BB1F3E">
            <w:pPr>
              <w:rPr>
                <w:sz w:val="18"/>
                <w:szCs w:val="18"/>
                <w:lang w:eastAsia="ja-JP"/>
              </w:rPr>
            </w:pPr>
          </w:p>
          <w:p w14:paraId="717F9482" w14:textId="492334AC" w:rsidR="00BB1F3E" w:rsidRPr="00BB1F3E" w:rsidRDefault="00BB1F3E" w:rsidP="00BB1F3E">
            <w:pPr>
              <w:rPr>
                <w:sz w:val="18"/>
                <w:szCs w:val="18"/>
                <w:lang w:eastAsia="ja-JP"/>
              </w:rPr>
            </w:pPr>
          </w:p>
        </w:tc>
        <w:tc>
          <w:tcPr>
            <w:tcW w:w="4788" w:type="dxa"/>
            <w:tcBorders>
              <w:bottom w:val="single" w:sz="4" w:space="0" w:color="auto"/>
            </w:tcBorders>
          </w:tcPr>
          <w:p w14:paraId="467135C3" w14:textId="2E45DC5A" w:rsidR="00BB1F3E" w:rsidRPr="00BB1F3E" w:rsidRDefault="00BB1F3E" w:rsidP="00BB1F3E">
            <w:pPr>
              <w:rPr>
                <w:sz w:val="18"/>
                <w:szCs w:val="18"/>
                <w:lang w:eastAsia="ja-JP"/>
              </w:rPr>
            </w:pPr>
          </w:p>
        </w:tc>
      </w:tr>
      <w:tr w:rsidR="00BB1F3E" w14:paraId="579A81B1" w14:textId="77777777" w:rsidTr="00881088">
        <w:trPr>
          <w:jc w:val="center"/>
        </w:trPr>
        <w:tc>
          <w:tcPr>
            <w:tcW w:w="4788" w:type="dxa"/>
            <w:tcBorders>
              <w:top w:val="single" w:sz="4" w:space="0" w:color="auto"/>
              <w:left w:val="nil"/>
              <w:bottom w:val="nil"/>
              <w:right w:val="single" w:sz="4" w:space="0" w:color="auto"/>
            </w:tcBorders>
          </w:tcPr>
          <w:p w14:paraId="282FF417" w14:textId="77777777" w:rsidR="00BB1F3E" w:rsidRPr="00BB1F3E" w:rsidRDefault="00BB1F3E" w:rsidP="00BB1F3E">
            <w:pPr>
              <w:rPr>
                <w:sz w:val="18"/>
                <w:szCs w:val="18"/>
                <w:lang w:eastAsia="ja-JP"/>
              </w:rPr>
            </w:pPr>
          </w:p>
        </w:tc>
        <w:tc>
          <w:tcPr>
            <w:tcW w:w="4788" w:type="dxa"/>
            <w:tcBorders>
              <w:top w:val="single" w:sz="4" w:space="0" w:color="auto"/>
              <w:left w:val="single" w:sz="4" w:space="0" w:color="auto"/>
            </w:tcBorders>
            <w:shd w:val="clear" w:color="auto" w:fill="D9D9D9" w:themeFill="background1" w:themeFillShade="D9"/>
          </w:tcPr>
          <w:p w14:paraId="52B3D260" w14:textId="430ACD48" w:rsidR="00BB1F3E" w:rsidRPr="00BB1F3E" w:rsidRDefault="00BB1F3E" w:rsidP="00BB1F3E">
            <w:pPr>
              <w:rPr>
                <w:b/>
                <w:sz w:val="18"/>
                <w:szCs w:val="18"/>
                <w:lang w:eastAsia="ja-JP"/>
              </w:rPr>
            </w:pPr>
            <w:r w:rsidRPr="00BB1F3E">
              <w:rPr>
                <w:b/>
                <w:sz w:val="18"/>
                <w:szCs w:val="18"/>
                <w:lang w:eastAsia="ja-JP"/>
              </w:rPr>
              <w:t xml:space="preserve">Federal Tax Identification Number </w:t>
            </w:r>
            <w:hyperlink w:anchor="Endnote2" w:history="1">
              <w:r w:rsidRPr="001F1E71">
                <w:rPr>
                  <w:rStyle w:val="Hyperlink"/>
                  <w:b/>
                  <w:sz w:val="18"/>
                  <w:szCs w:val="18"/>
                  <w:lang w:eastAsia="ja-JP"/>
                </w:rPr>
                <w:t>(TIN)</w:t>
              </w:r>
            </w:hyperlink>
            <w:r w:rsidR="00B06977">
              <w:rPr>
                <w:rStyle w:val="EndnoteReference"/>
                <w:b/>
                <w:sz w:val="18"/>
                <w:szCs w:val="18"/>
                <w:lang w:eastAsia="ja-JP"/>
              </w:rPr>
              <w:endnoteReference w:id="3"/>
            </w:r>
          </w:p>
        </w:tc>
      </w:tr>
      <w:tr w:rsidR="00BB1F3E" w14:paraId="6FF78D73" w14:textId="77777777" w:rsidTr="00881088">
        <w:trPr>
          <w:jc w:val="center"/>
        </w:trPr>
        <w:tc>
          <w:tcPr>
            <w:tcW w:w="4788" w:type="dxa"/>
            <w:tcBorders>
              <w:top w:val="nil"/>
              <w:left w:val="nil"/>
              <w:bottom w:val="nil"/>
              <w:right w:val="single" w:sz="4" w:space="0" w:color="auto"/>
            </w:tcBorders>
          </w:tcPr>
          <w:p w14:paraId="5D6E54D1" w14:textId="77777777" w:rsidR="00BB1F3E" w:rsidRPr="00BB1F3E" w:rsidRDefault="00BB1F3E" w:rsidP="00BB1F3E">
            <w:pPr>
              <w:rPr>
                <w:sz w:val="18"/>
                <w:szCs w:val="18"/>
                <w:lang w:eastAsia="ja-JP"/>
              </w:rPr>
            </w:pPr>
          </w:p>
        </w:tc>
        <w:tc>
          <w:tcPr>
            <w:tcW w:w="4788" w:type="dxa"/>
            <w:tcBorders>
              <w:left w:val="single" w:sz="4" w:space="0" w:color="auto"/>
            </w:tcBorders>
          </w:tcPr>
          <w:p w14:paraId="6CB8B6E1" w14:textId="77777777" w:rsidR="00BB1F3E" w:rsidRPr="00BB1F3E" w:rsidRDefault="00BB1F3E" w:rsidP="00BB1F3E">
            <w:pPr>
              <w:rPr>
                <w:sz w:val="18"/>
                <w:szCs w:val="18"/>
                <w:lang w:eastAsia="ja-JP"/>
              </w:rPr>
            </w:pPr>
          </w:p>
          <w:p w14:paraId="054CD798" w14:textId="77777777" w:rsidR="00BB1F3E" w:rsidRPr="00BB1F3E" w:rsidRDefault="00BB1F3E" w:rsidP="00BB1F3E">
            <w:pPr>
              <w:rPr>
                <w:sz w:val="18"/>
                <w:szCs w:val="18"/>
                <w:lang w:eastAsia="ja-JP"/>
              </w:rPr>
            </w:pPr>
          </w:p>
        </w:tc>
      </w:tr>
      <w:tr w:rsidR="00BB1F3E" w14:paraId="41E1C1C6" w14:textId="77777777" w:rsidTr="00881088">
        <w:trPr>
          <w:jc w:val="center"/>
        </w:trPr>
        <w:tc>
          <w:tcPr>
            <w:tcW w:w="4788" w:type="dxa"/>
            <w:tcBorders>
              <w:top w:val="nil"/>
              <w:left w:val="nil"/>
              <w:bottom w:val="nil"/>
              <w:right w:val="single" w:sz="4" w:space="0" w:color="auto"/>
            </w:tcBorders>
          </w:tcPr>
          <w:p w14:paraId="06FA6D91" w14:textId="77777777" w:rsidR="00BB1F3E" w:rsidRPr="00BB1F3E" w:rsidRDefault="00BB1F3E" w:rsidP="00BB1F3E">
            <w:pPr>
              <w:rPr>
                <w:sz w:val="18"/>
                <w:szCs w:val="18"/>
                <w:lang w:eastAsia="ja-JP"/>
              </w:rPr>
            </w:pPr>
          </w:p>
        </w:tc>
        <w:tc>
          <w:tcPr>
            <w:tcW w:w="4788" w:type="dxa"/>
            <w:tcBorders>
              <w:left w:val="single" w:sz="4" w:space="0" w:color="auto"/>
            </w:tcBorders>
            <w:shd w:val="clear" w:color="auto" w:fill="D9D9D9" w:themeFill="background1" w:themeFillShade="D9"/>
          </w:tcPr>
          <w:p w14:paraId="5049FFA8" w14:textId="10721FC5" w:rsidR="00BB1F3E" w:rsidRPr="00BB1F3E" w:rsidRDefault="00BB1F3E" w:rsidP="00BB1F3E">
            <w:pPr>
              <w:rPr>
                <w:b/>
                <w:sz w:val="18"/>
                <w:szCs w:val="18"/>
                <w:lang w:eastAsia="ja-JP"/>
              </w:rPr>
            </w:pPr>
            <w:r w:rsidRPr="00BB1F3E">
              <w:rPr>
                <w:b/>
                <w:sz w:val="18"/>
                <w:szCs w:val="18"/>
                <w:lang w:eastAsia="ja-JP"/>
              </w:rPr>
              <w:t xml:space="preserve">National Provider Identifier </w:t>
            </w:r>
            <w:hyperlink w:anchor="Endnote3" w:history="1">
              <w:r w:rsidRPr="001F1E71">
                <w:rPr>
                  <w:rStyle w:val="Hyperlink"/>
                  <w:b/>
                  <w:sz w:val="18"/>
                  <w:szCs w:val="18"/>
                  <w:lang w:eastAsia="ja-JP"/>
                </w:rPr>
                <w:t>(NPI)</w:t>
              </w:r>
            </w:hyperlink>
            <w:r w:rsidR="00B06977">
              <w:rPr>
                <w:rStyle w:val="EndnoteReference"/>
                <w:b/>
                <w:sz w:val="18"/>
                <w:szCs w:val="18"/>
                <w:lang w:eastAsia="ja-JP"/>
              </w:rPr>
              <w:endnoteReference w:id="4"/>
            </w:r>
          </w:p>
        </w:tc>
      </w:tr>
      <w:tr w:rsidR="00BB1F3E" w14:paraId="0AB51578" w14:textId="77777777" w:rsidTr="00881088">
        <w:trPr>
          <w:jc w:val="center"/>
        </w:trPr>
        <w:tc>
          <w:tcPr>
            <w:tcW w:w="4788" w:type="dxa"/>
            <w:tcBorders>
              <w:top w:val="nil"/>
              <w:left w:val="nil"/>
              <w:bottom w:val="nil"/>
              <w:right w:val="single" w:sz="4" w:space="0" w:color="auto"/>
            </w:tcBorders>
          </w:tcPr>
          <w:p w14:paraId="0CD3986F" w14:textId="77777777" w:rsidR="00BB1F3E" w:rsidRPr="00BB1F3E" w:rsidRDefault="00BB1F3E" w:rsidP="00BB1F3E">
            <w:pPr>
              <w:rPr>
                <w:sz w:val="18"/>
                <w:szCs w:val="18"/>
                <w:lang w:eastAsia="ja-JP"/>
              </w:rPr>
            </w:pPr>
          </w:p>
        </w:tc>
        <w:tc>
          <w:tcPr>
            <w:tcW w:w="4788" w:type="dxa"/>
            <w:tcBorders>
              <w:left w:val="single" w:sz="4" w:space="0" w:color="auto"/>
            </w:tcBorders>
          </w:tcPr>
          <w:p w14:paraId="2C8B8316" w14:textId="77777777" w:rsidR="00BB1F3E" w:rsidRPr="00BB1F3E" w:rsidRDefault="00BB1F3E" w:rsidP="00BB1F3E">
            <w:pPr>
              <w:rPr>
                <w:sz w:val="18"/>
                <w:szCs w:val="18"/>
                <w:lang w:eastAsia="ja-JP"/>
              </w:rPr>
            </w:pPr>
          </w:p>
          <w:p w14:paraId="7F30B5A2" w14:textId="77777777" w:rsidR="00BB1F3E" w:rsidRPr="00BB1F3E" w:rsidRDefault="00BB1F3E" w:rsidP="00BB1F3E">
            <w:pPr>
              <w:rPr>
                <w:sz w:val="18"/>
                <w:szCs w:val="18"/>
                <w:lang w:eastAsia="ja-JP"/>
              </w:rPr>
            </w:pPr>
          </w:p>
        </w:tc>
      </w:tr>
    </w:tbl>
    <w:p w14:paraId="489E0009" w14:textId="77777777" w:rsidR="00BB1F3E" w:rsidRDefault="00BB1F3E" w:rsidP="00BB1F3E">
      <w:pPr>
        <w:pStyle w:val="Heading3"/>
        <w:rPr>
          <w:snapToGrid w:val="0"/>
        </w:rPr>
      </w:pPr>
      <w:bookmarkStart w:id="27" w:name="_Toc447194964"/>
      <w:r>
        <w:rPr>
          <w:snapToGrid w:val="0"/>
        </w:rPr>
        <w:t>Demographic Information</w:t>
      </w:r>
      <w:bookmarkEnd w:id="27"/>
    </w:p>
    <w:p w14:paraId="70743BF3" w14:textId="77777777" w:rsidR="00BB1F3E" w:rsidRPr="00BB1F3E" w:rsidRDefault="00BB1F3E" w:rsidP="00BB1F3E">
      <w:pPr>
        <w:rPr>
          <w:sz w:val="18"/>
          <w:szCs w:val="18"/>
          <w:lang w:eastAsia="ja-JP"/>
        </w:rPr>
      </w:pPr>
    </w:p>
    <w:tbl>
      <w:tblPr>
        <w:tblStyle w:val="TableGrid"/>
        <w:tblW w:w="0" w:type="auto"/>
        <w:jc w:val="center"/>
        <w:tblLook w:val="04A0" w:firstRow="1" w:lastRow="0" w:firstColumn="1" w:lastColumn="0" w:noHBand="0" w:noVBand="1"/>
      </w:tblPr>
      <w:tblGrid>
        <w:gridCol w:w="4788"/>
        <w:gridCol w:w="4788"/>
      </w:tblGrid>
      <w:tr w:rsidR="00BB1F3E" w:rsidRPr="00BB1F3E" w14:paraId="06A86CA2" w14:textId="77777777" w:rsidTr="00881088">
        <w:trPr>
          <w:jc w:val="center"/>
        </w:trPr>
        <w:tc>
          <w:tcPr>
            <w:tcW w:w="4788" w:type="dxa"/>
            <w:shd w:val="clear" w:color="auto" w:fill="D9D9D9" w:themeFill="background1" w:themeFillShade="D9"/>
          </w:tcPr>
          <w:p w14:paraId="362CBB96" w14:textId="77777777" w:rsidR="00BB1F3E" w:rsidRPr="00BB1F3E" w:rsidRDefault="00BB1F3E" w:rsidP="00BB1F3E">
            <w:pPr>
              <w:rPr>
                <w:b/>
                <w:sz w:val="18"/>
                <w:szCs w:val="18"/>
                <w:lang w:eastAsia="ja-JP"/>
              </w:rPr>
            </w:pPr>
            <w:r w:rsidRPr="00BB1F3E">
              <w:rPr>
                <w:b/>
                <w:sz w:val="18"/>
                <w:szCs w:val="18"/>
                <w:lang w:eastAsia="ja-JP"/>
              </w:rPr>
              <w:t>Physical Address</w:t>
            </w:r>
          </w:p>
          <w:p w14:paraId="6D2528F4" w14:textId="77777777" w:rsidR="00BB1F3E" w:rsidRPr="00033FB4" w:rsidRDefault="00BB1F3E" w:rsidP="00BB1F3E">
            <w:pPr>
              <w:rPr>
                <w:sz w:val="16"/>
                <w:szCs w:val="16"/>
                <w:lang w:eastAsia="ja-JP"/>
              </w:rPr>
            </w:pPr>
            <w:r w:rsidRPr="00033FB4">
              <w:rPr>
                <w:sz w:val="16"/>
                <w:szCs w:val="16"/>
                <w:lang w:eastAsia="ja-JP"/>
              </w:rPr>
              <w:t>(used for public reporting)</w:t>
            </w:r>
          </w:p>
        </w:tc>
        <w:tc>
          <w:tcPr>
            <w:tcW w:w="4788" w:type="dxa"/>
            <w:shd w:val="clear" w:color="auto" w:fill="D9D9D9" w:themeFill="background1" w:themeFillShade="D9"/>
          </w:tcPr>
          <w:p w14:paraId="45A11313" w14:textId="77777777" w:rsidR="00BB1F3E" w:rsidRPr="00BB1F3E" w:rsidRDefault="00BB1F3E" w:rsidP="00BB1F3E">
            <w:pPr>
              <w:rPr>
                <w:b/>
                <w:sz w:val="18"/>
                <w:szCs w:val="18"/>
                <w:lang w:eastAsia="ja-JP"/>
              </w:rPr>
            </w:pPr>
            <w:r w:rsidRPr="00BB1F3E">
              <w:rPr>
                <w:b/>
                <w:sz w:val="18"/>
                <w:szCs w:val="18"/>
                <w:lang w:eastAsia="ja-JP"/>
              </w:rPr>
              <w:t>Mailing Address</w:t>
            </w:r>
          </w:p>
          <w:p w14:paraId="4F65923F" w14:textId="77777777" w:rsidR="00BB1F3E" w:rsidRPr="00033FB4" w:rsidRDefault="00BB1F3E" w:rsidP="00BB1F3E">
            <w:pPr>
              <w:rPr>
                <w:sz w:val="16"/>
                <w:szCs w:val="16"/>
                <w:lang w:eastAsia="ja-JP"/>
              </w:rPr>
            </w:pPr>
            <w:r w:rsidRPr="00033FB4">
              <w:rPr>
                <w:sz w:val="16"/>
                <w:szCs w:val="16"/>
                <w:lang w:eastAsia="ja-JP"/>
              </w:rPr>
              <w:t>(used to send important communications)</w:t>
            </w:r>
          </w:p>
        </w:tc>
      </w:tr>
      <w:tr w:rsidR="00BB1F3E" w14:paraId="230E23EB" w14:textId="77777777" w:rsidTr="00881088">
        <w:trPr>
          <w:jc w:val="center"/>
        </w:trPr>
        <w:tc>
          <w:tcPr>
            <w:tcW w:w="4788" w:type="dxa"/>
            <w:tcBorders>
              <w:bottom w:val="single" w:sz="4" w:space="0" w:color="auto"/>
            </w:tcBorders>
            <w:shd w:val="clear" w:color="auto" w:fill="D9D9D9" w:themeFill="background1" w:themeFillShade="D9"/>
          </w:tcPr>
          <w:p w14:paraId="065C2BFE" w14:textId="77777777" w:rsidR="00BB1F3E" w:rsidRPr="00BB1F3E" w:rsidRDefault="00BB1F3E" w:rsidP="00BB1F3E">
            <w:pPr>
              <w:rPr>
                <w:b/>
                <w:sz w:val="18"/>
                <w:szCs w:val="18"/>
                <w:lang w:eastAsia="ja-JP"/>
              </w:rPr>
            </w:pPr>
            <w:r w:rsidRPr="00BB1F3E">
              <w:rPr>
                <w:b/>
                <w:sz w:val="18"/>
                <w:szCs w:val="18"/>
                <w:lang w:eastAsia="ja-JP"/>
              </w:rPr>
              <w:t>Street Address</w:t>
            </w:r>
          </w:p>
        </w:tc>
        <w:tc>
          <w:tcPr>
            <w:tcW w:w="4788" w:type="dxa"/>
            <w:tcBorders>
              <w:bottom w:val="single" w:sz="4" w:space="0" w:color="auto"/>
            </w:tcBorders>
            <w:shd w:val="clear" w:color="auto" w:fill="D9D9D9" w:themeFill="background1" w:themeFillShade="D9"/>
          </w:tcPr>
          <w:p w14:paraId="1910580A" w14:textId="77777777" w:rsidR="00BB1F3E" w:rsidRPr="00BB1F3E" w:rsidRDefault="00615551" w:rsidP="00BB1F3E">
            <w:pPr>
              <w:rPr>
                <w:b/>
                <w:sz w:val="18"/>
                <w:szCs w:val="18"/>
                <w:lang w:eastAsia="ja-JP"/>
              </w:rPr>
            </w:pPr>
            <w:r>
              <w:rPr>
                <w:b/>
                <w:sz w:val="18"/>
                <w:szCs w:val="18"/>
                <w:lang w:eastAsia="ja-JP"/>
              </w:rPr>
              <w:t>Street Address or P.O</w:t>
            </w:r>
            <w:r w:rsidR="00BB1F3E" w:rsidRPr="00BB1F3E">
              <w:rPr>
                <w:b/>
                <w:sz w:val="18"/>
                <w:szCs w:val="18"/>
                <w:lang w:eastAsia="ja-JP"/>
              </w:rPr>
              <w:t>. Box</w:t>
            </w:r>
          </w:p>
        </w:tc>
      </w:tr>
      <w:tr w:rsidR="00BB1F3E" w14:paraId="076FE102" w14:textId="77777777" w:rsidTr="00881088">
        <w:trPr>
          <w:jc w:val="center"/>
        </w:trPr>
        <w:tc>
          <w:tcPr>
            <w:tcW w:w="4788" w:type="dxa"/>
          </w:tcPr>
          <w:p w14:paraId="7084AF42" w14:textId="77777777" w:rsidR="00BB1F3E" w:rsidRDefault="00BB1F3E" w:rsidP="00BB1F3E">
            <w:pPr>
              <w:rPr>
                <w:b/>
                <w:sz w:val="18"/>
                <w:szCs w:val="18"/>
                <w:lang w:eastAsia="ja-JP"/>
              </w:rPr>
            </w:pPr>
          </w:p>
          <w:p w14:paraId="2D445C5B" w14:textId="77777777" w:rsidR="0087020F" w:rsidRPr="00BB1F3E" w:rsidRDefault="0087020F" w:rsidP="00BB1F3E">
            <w:pPr>
              <w:rPr>
                <w:b/>
                <w:sz w:val="18"/>
                <w:szCs w:val="18"/>
                <w:lang w:eastAsia="ja-JP"/>
              </w:rPr>
            </w:pPr>
          </w:p>
        </w:tc>
        <w:tc>
          <w:tcPr>
            <w:tcW w:w="4788" w:type="dxa"/>
          </w:tcPr>
          <w:p w14:paraId="3297DFC2" w14:textId="77777777" w:rsidR="00BB1F3E" w:rsidRPr="00BB1F3E" w:rsidRDefault="00BB1F3E" w:rsidP="00BB1F3E">
            <w:pPr>
              <w:rPr>
                <w:b/>
                <w:sz w:val="18"/>
                <w:szCs w:val="18"/>
                <w:lang w:eastAsia="ja-JP"/>
              </w:rPr>
            </w:pPr>
          </w:p>
        </w:tc>
      </w:tr>
      <w:tr w:rsidR="00BB1F3E" w14:paraId="04275975" w14:textId="77777777" w:rsidTr="00881088">
        <w:trPr>
          <w:jc w:val="center"/>
        </w:trPr>
        <w:tc>
          <w:tcPr>
            <w:tcW w:w="4788" w:type="dxa"/>
            <w:shd w:val="clear" w:color="auto" w:fill="D9D9D9" w:themeFill="background1" w:themeFillShade="D9"/>
          </w:tcPr>
          <w:p w14:paraId="6A17C0CC" w14:textId="77777777" w:rsidR="00BB1F3E" w:rsidRPr="00BB1F3E" w:rsidRDefault="00BB1F3E" w:rsidP="00BB1F3E">
            <w:pPr>
              <w:rPr>
                <w:b/>
                <w:sz w:val="18"/>
                <w:szCs w:val="18"/>
                <w:lang w:eastAsia="ja-JP"/>
              </w:rPr>
            </w:pPr>
            <w:r w:rsidRPr="00BB1F3E">
              <w:rPr>
                <w:b/>
                <w:sz w:val="18"/>
                <w:szCs w:val="18"/>
                <w:lang w:eastAsia="ja-JP"/>
              </w:rPr>
              <w:t>City</w:t>
            </w:r>
          </w:p>
        </w:tc>
        <w:tc>
          <w:tcPr>
            <w:tcW w:w="4788" w:type="dxa"/>
            <w:shd w:val="clear" w:color="auto" w:fill="D9D9D9" w:themeFill="background1" w:themeFillShade="D9"/>
          </w:tcPr>
          <w:p w14:paraId="2C4C3F5B" w14:textId="77777777" w:rsidR="00BB1F3E" w:rsidRPr="00BB1F3E" w:rsidRDefault="00BB1F3E" w:rsidP="00BB1F3E">
            <w:pPr>
              <w:rPr>
                <w:b/>
                <w:sz w:val="18"/>
                <w:szCs w:val="18"/>
                <w:lang w:eastAsia="ja-JP"/>
              </w:rPr>
            </w:pPr>
            <w:r w:rsidRPr="00BB1F3E">
              <w:rPr>
                <w:b/>
                <w:sz w:val="18"/>
                <w:szCs w:val="18"/>
                <w:lang w:eastAsia="ja-JP"/>
              </w:rPr>
              <w:t>City</w:t>
            </w:r>
          </w:p>
        </w:tc>
      </w:tr>
      <w:tr w:rsidR="00BB1F3E" w14:paraId="21C9A99C" w14:textId="77777777" w:rsidTr="00881088">
        <w:trPr>
          <w:jc w:val="center"/>
        </w:trPr>
        <w:tc>
          <w:tcPr>
            <w:tcW w:w="4788" w:type="dxa"/>
          </w:tcPr>
          <w:p w14:paraId="749F9758" w14:textId="77777777" w:rsidR="00BB1F3E" w:rsidRDefault="00BB1F3E" w:rsidP="00BB1F3E">
            <w:pPr>
              <w:rPr>
                <w:b/>
                <w:sz w:val="18"/>
                <w:szCs w:val="18"/>
                <w:lang w:eastAsia="ja-JP"/>
              </w:rPr>
            </w:pPr>
          </w:p>
          <w:p w14:paraId="297E13DD" w14:textId="77777777" w:rsidR="0087020F" w:rsidRPr="00BB1F3E" w:rsidRDefault="0087020F" w:rsidP="00BB1F3E">
            <w:pPr>
              <w:rPr>
                <w:b/>
                <w:sz w:val="18"/>
                <w:szCs w:val="18"/>
                <w:lang w:eastAsia="ja-JP"/>
              </w:rPr>
            </w:pPr>
          </w:p>
        </w:tc>
        <w:tc>
          <w:tcPr>
            <w:tcW w:w="4788" w:type="dxa"/>
          </w:tcPr>
          <w:p w14:paraId="64CCD9BA" w14:textId="77777777" w:rsidR="00BB1F3E" w:rsidRPr="00BB1F3E" w:rsidRDefault="00BB1F3E" w:rsidP="00BB1F3E">
            <w:pPr>
              <w:rPr>
                <w:b/>
                <w:sz w:val="18"/>
                <w:szCs w:val="18"/>
                <w:lang w:eastAsia="ja-JP"/>
              </w:rPr>
            </w:pPr>
          </w:p>
        </w:tc>
      </w:tr>
      <w:tr w:rsidR="00BB1F3E" w14:paraId="701FC541" w14:textId="77777777" w:rsidTr="00881088">
        <w:trPr>
          <w:jc w:val="center"/>
        </w:trPr>
        <w:tc>
          <w:tcPr>
            <w:tcW w:w="4788" w:type="dxa"/>
            <w:shd w:val="clear" w:color="auto" w:fill="D9D9D9" w:themeFill="background1" w:themeFillShade="D9"/>
          </w:tcPr>
          <w:p w14:paraId="507C94DF" w14:textId="77777777" w:rsidR="00BB1F3E" w:rsidRPr="00BB1F3E" w:rsidRDefault="00E9134C" w:rsidP="00BB1F3E">
            <w:pPr>
              <w:rPr>
                <w:b/>
                <w:sz w:val="18"/>
                <w:szCs w:val="18"/>
                <w:lang w:eastAsia="ja-JP"/>
              </w:rPr>
            </w:pPr>
            <w:hyperlink w:anchor="Endnote4" w:history="1">
              <w:r w:rsidR="00BB1F3E" w:rsidRPr="001F1E71">
                <w:rPr>
                  <w:rStyle w:val="Hyperlink"/>
                  <w:b/>
                  <w:sz w:val="18"/>
                  <w:szCs w:val="18"/>
                  <w:lang w:eastAsia="ja-JP"/>
                </w:rPr>
                <w:t>State</w:t>
              </w:r>
            </w:hyperlink>
            <w:r w:rsidR="008A6A1B">
              <w:rPr>
                <w:rStyle w:val="EndnoteReference"/>
                <w:b/>
                <w:sz w:val="18"/>
                <w:szCs w:val="18"/>
                <w:lang w:eastAsia="ja-JP"/>
              </w:rPr>
              <w:endnoteReference w:id="5"/>
            </w:r>
          </w:p>
        </w:tc>
        <w:tc>
          <w:tcPr>
            <w:tcW w:w="4788" w:type="dxa"/>
            <w:shd w:val="clear" w:color="auto" w:fill="D9D9D9" w:themeFill="background1" w:themeFillShade="D9"/>
          </w:tcPr>
          <w:p w14:paraId="566808A0" w14:textId="77777777" w:rsidR="00BB1F3E" w:rsidRPr="00BB1F3E" w:rsidRDefault="00BB1F3E" w:rsidP="00BB1F3E">
            <w:pPr>
              <w:rPr>
                <w:b/>
                <w:sz w:val="18"/>
                <w:szCs w:val="18"/>
                <w:lang w:eastAsia="ja-JP"/>
              </w:rPr>
            </w:pPr>
            <w:r w:rsidRPr="00BB1F3E">
              <w:rPr>
                <w:b/>
                <w:sz w:val="18"/>
                <w:szCs w:val="18"/>
                <w:lang w:eastAsia="ja-JP"/>
              </w:rPr>
              <w:t>State</w:t>
            </w:r>
          </w:p>
        </w:tc>
      </w:tr>
      <w:tr w:rsidR="00BB1F3E" w14:paraId="23B249E4" w14:textId="77777777" w:rsidTr="00881088">
        <w:trPr>
          <w:jc w:val="center"/>
        </w:trPr>
        <w:tc>
          <w:tcPr>
            <w:tcW w:w="4788" w:type="dxa"/>
          </w:tcPr>
          <w:p w14:paraId="0DDF345F" w14:textId="77777777" w:rsidR="00BB1F3E" w:rsidRDefault="00BB1F3E" w:rsidP="00BB1F3E">
            <w:pPr>
              <w:rPr>
                <w:b/>
                <w:sz w:val="18"/>
                <w:szCs w:val="18"/>
                <w:lang w:eastAsia="ja-JP"/>
              </w:rPr>
            </w:pPr>
          </w:p>
          <w:p w14:paraId="46E8C766" w14:textId="77777777" w:rsidR="0087020F" w:rsidRPr="00BB1F3E" w:rsidRDefault="0087020F" w:rsidP="00BB1F3E">
            <w:pPr>
              <w:rPr>
                <w:b/>
                <w:sz w:val="18"/>
                <w:szCs w:val="18"/>
                <w:lang w:eastAsia="ja-JP"/>
              </w:rPr>
            </w:pPr>
          </w:p>
        </w:tc>
        <w:tc>
          <w:tcPr>
            <w:tcW w:w="4788" w:type="dxa"/>
          </w:tcPr>
          <w:p w14:paraId="6B36784E" w14:textId="77777777" w:rsidR="00BB1F3E" w:rsidRPr="00BB1F3E" w:rsidRDefault="00BB1F3E" w:rsidP="00BB1F3E">
            <w:pPr>
              <w:rPr>
                <w:b/>
                <w:sz w:val="18"/>
                <w:szCs w:val="18"/>
                <w:lang w:eastAsia="ja-JP"/>
              </w:rPr>
            </w:pPr>
          </w:p>
        </w:tc>
      </w:tr>
      <w:tr w:rsidR="00BB1F3E" w14:paraId="3CB683D6" w14:textId="77777777" w:rsidTr="00881088">
        <w:trPr>
          <w:jc w:val="center"/>
        </w:trPr>
        <w:tc>
          <w:tcPr>
            <w:tcW w:w="4788" w:type="dxa"/>
            <w:shd w:val="clear" w:color="auto" w:fill="D9D9D9" w:themeFill="background1" w:themeFillShade="D9"/>
          </w:tcPr>
          <w:p w14:paraId="09C9658E" w14:textId="77777777" w:rsidR="00BB1F3E" w:rsidRPr="00BB1F3E" w:rsidRDefault="00BB1F3E" w:rsidP="00BB1F3E">
            <w:pPr>
              <w:rPr>
                <w:b/>
                <w:sz w:val="18"/>
                <w:szCs w:val="18"/>
                <w:lang w:eastAsia="ja-JP"/>
              </w:rPr>
            </w:pPr>
            <w:r w:rsidRPr="00BB1F3E">
              <w:rPr>
                <w:b/>
                <w:sz w:val="18"/>
                <w:szCs w:val="18"/>
                <w:lang w:eastAsia="ja-JP"/>
              </w:rPr>
              <w:t>Zip Code</w:t>
            </w:r>
          </w:p>
        </w:tc>
        <w:tc>
          <w:tcPr>
            <w:tcW w:w="4788" w:type="dxa"/>
            <w:shd w:val="clear" w:color="auto" w:fill="D9D9D9" w:themeFill="background1" w:themeFillShade="D9"/>
          </w:tcPr>
          <w:p w14:paraId="0E49B522" w14:textId="77777777" w:rsidR="00BB1F3E" w:rsidRPr="00BB1F3E" w:rsidRDefault="00BB1F3E" w:rsidP="00BB1F3E">
            <w:pPr>
              <w:rPr>
                <w:b/>
                <w:sz w:val="18"/>
                <w:szCs w:val="18"/>
                <w:lang w:eastAsia="ja-JP"/>
              </w:rPr>
            </w:pPr>
            <w:r w:rsidRPr="00BB1F3E">
              <w:rPr>
                <w:b/>
                <w:sz w:val="18"/>
                <w:szCs w:val="18"/>
                <w:lang w:eastAsia="ja-JP"/>
              </w:rPr>
              <w:t>Zip Code</w:t>
            </w:r>
          </w:p>
        </w:tc>
      </w:tr>
      <w:tr w:rsidR="00BB1F3E" w14:paraId="6D219F7E" w14:textId="77777777" w:rsidTr="00881088">
        <w:trPr>
          <w:jc w:val="center"/>
        </w:trPr>
        <w:tc>
          <w:tcPr>
            <w:tcW w:w="4788" w:type="dxa"/>
          </w:tcPr>
          <w:p w14:paraId="40EC8235" w14:textId="77777777" w:rsidR="00BB1F3E" w:rsidRDefault="00BB1F3E" w:rsidP="00BB1F3E">
            <w:pPr>
              <w:rPr>
                <w:b/>
                <w:sz w:val="18"/>
                <w:szCs w:val="18"/>
                <w:lang w:eastAsia="ja-JP"/>
              </w:rPr>
            </w:pPr>
          </w:p>
          <w:p w14:paraId="4C4C0072" w14:textId="77777777" w:rsidR="0087020F" w:rsidRPr="00BB1F3E" w:rsidRDefault="0087020F" w:rsidP="00BB1F3E">
            <w:pPr>
              <w:rPr>
                <w:b/>
                <w:sz w:val="18"/>
                <w:szCs w:val="18"/>
                <w:lang w:eastAsia="ja-JP"/>
              </w:rPr>
            </w:pPr>
          </w:p>
        </w:tc>
        <w:tc>
          <w:tcPr>
            <w:tcW w:w="4788" w:type="dxa"/>
          </w:tcPr>
          <w:p w14:paraId="1ABA0369" w14:textId="77777777" w:rsidR="00BB1F3E" w:rsidRPr="00BB1F3E" w:rsidRDefault="00BB1F3E" w:rsidP="00BB1F3E">
            <w:pPr>
              <w:rPr>
                <w:b/>
                <w:sz w:val="18"/>
                <w:szCs w:val="18"/>
                <w:lang w:eastAsia="ja-JP"/>
              </w:rPr>
            </w:pPr>
          </w:p>
        </w:tc>
      </w:tr>
      <w:tr w:rsidR="00BB1F3E" w14:paraId="590BD7C4" w14:textId="77777777" w:rsidTr="00881088">
        <w:trPr>
          <w:jc w:val="center"/>
        </w:trPr>
        <w:tc>
          <w:tcPr>
            <w:tcW w:w="4788" w:type="dxa"/>
            <w:tcBorders>
              <w:bottom w:val="single" w:sz="4" w:space="0" w:color="auto"/>
            </w:tcBorders>
            <w:shd w:val="clear" w:color="auto" w:fill="D9D9D9" w:themeFill="background1" w:themeFillShade="D9"/>
          </w:tcPr>
          <w:p w14:paraId="3DF0A87F" w14:textId="77777777" w:rsidR="00BB1F3E" w:rsidRPr="00BB1F3E" w:rsidRDefault="00BB1F3E" w:rsidP="00BB1F3E">
            <w:pPr>
              <w:rPr>
                <w:b/>
                <w:sz w:val="18"/>
                <w:szCs w:val="18"/>
                <w:lang w:eastAsia="ja-JP"/>
              </w:rPr>
            </w:pPr>
            <w:r w:rsidRPr="00BB1F3E">
              <w:rPr>
                <w:b/>
                <w:sz w:val="18"/>
                <w:szCs w:val="18"/>
                <w:lang w:eastAsia="ja-JP"/>
              </w:rPr>
              <w:t>Zip Code Suffix</w:t>
            </w:r>
          </w:p>
        </w:tc>
        <w:tc>
          <w:tcPr>
            <w:tcW w:w="4788" w:type="dxa"/>
            <w:tcBorders>
              <w:bottom w:val="single" w:sz="4" w:space="0" w:color="auto"/>
            </w:tcBorders>
            <w:shd w:val="clear" w:color="auto" w:fill="D9D9D9" w:themeFill="background1" w:themeFillShade="D9"/>
          </w:tcPr>
          <w:p w14:paraId="547CF690" w14:textId="77777777" w:rsidR="00BB1F3E" w:rsidRPr="00BB1F3E" w:rsidRDefault="00BB1F3E" w:rsidP="00BB1F3E">
            <w:pPr>
              <w:rPr>
                <w:b/>
                <w:sz w:val="18"/>
                <w:szCs w:val="18"/>
                <w:lang w:eastAsia="ja-JP"/>
              </w:rPr>
            </w:pPr>
            <w:r w:rsidRPr="00BB1F3E">
              <w:rPr>
                <w:b/>
                <w:sz w:val="18"/>
                <w:szCs w:val="18"/>
                <w:lang w:eastAsia="ja-JP"/>
              </w:rPr>
              <w:t>Zip Code Suffix</w:t>
            </w:r>
          </w:p>
        </w:tc>
      </w:tr>
      <w:tr w:rsidR="00BB1F3E" w14:paraId="55DC11BB" w14:textId="77777777" w:rsidTr="00881088">
        <w:trPr>
          <w:jc w:val="center"/>
        </w:trPr>
        <w:tc>
          <w:tcPr>
            <w:tcW w:w="4788" w:type="dxa"/>
            <w:tcBorders>
              <w:top w:val="single" w:sz="4" w:space="0" w:color="auto"/>
              <w:right w:val="single" w:sz="4" w:space="0" w:color="auto"/>
            </w:tcBorders>
          </w:tcPr>
          <w:p w14:paraId="366151CC" w14:textId="77777777" w:rsidR="00BB1F3E" w:rsidRDefault="00BB1F3E" w:rsidP="00BB1F3E">
            <w:pPr>
              <w:rPr>
                <w:b/>
                <w:sz w:val="18"/>
                <w:szCs w:val="18"/>
                <w:lang w:eastAsia="ja-JP"/>
              </w:rPr>
            </w:pPr>
          </w:p>
          <w:p w14:paraId="4E8BBF8C" w14:textId="77777777" w:rsidR="0087020F" w:rsidRPr="00BB1F3E" w:rsidRDefault="0087020F" w:rsidP="00BB1F3E">
            <w:pPr>
              <w:rPr>
                <w:b/>
                <w:sz w:val="18"/>
                <w:szCs w:val="18"/>
                <w:lang w:eastAsia="ja-JP"/>
              </w:rPr>
            </w:pPr>
          </w:p>
        </w:tc>
        <w:tc>
          <w:tcPr>
            <w:tcW w:w="4788" w:type="dxa"/>
            <w:tcBorders>
              <w:top w:val="single" w:sz="4" w:space="0" w:color="auto"/>
              <w:left w:val="single" w:sz="4" w:space="0" w:color="auto"/>
              <w:bottom w:val="nil"/>
              <w:right w:val="nil"/>
            </w:tcBorders>
          </w:tcPr>
          <w:p w14:paraId="62403FCA" w14:textId="77777777" w:rsidR="00BB1F3E" w:rsidRPr="00BB1F3E" w:rsidRDefault="00BB1F3E" w:rsidP="00BB1F3E">
            <w:pPr>
              <w:rPr>
                <w:b/>
                <w:sz w:val="18"/>
                <w:szCs w:val="18"/>
                <w:lang w:eastAsia="ja-JP"/>
              </w:rPr>
            </w:pPr>
          </w:p>
        </w:tc>
      </w:tr>
      <w:tr w:rsidR="00BB1F3E" w14:paraId="10E5A8B0" w14:textId="77777777" w:rsidTr="00881088">
        <w:trPr>
          <w:jc w:val="center"/>
        </w:trPr>
        <w:tc>
          <w:tcPr>
            <w:tcW w:w="4788" w:type="dxa"/>
            <w:tcBorders>
              <w:right w:val="single" w:sz="4" w:space="0" w:color="auto"/>
            </w:tcBorders>
            <w:shd w:val="clear" w:color="auto" w:fill="D9D9D9" w:themeFill="background1" w:themeFillShade="D9"/>
          </w:tcPr>
          <w:p w14:paraId="76A11B9B" w14:textId="77777777" w:rsidR="00BB1F3E" w:rsidRPr="00BB1F3E" w:rsidRDefault="00BB1F3E" w:rsidP="00BB1F3E">
            <w:pPr>
              <w:rPr>
                <w:b/>
                <w:sz w:val="18"/>
                <w:szCs w:val="18"/>
                <w:lang w:eastAsia="ja-JP"/>
              </w:rPr>
            </w:pPr>
            <w:r w:rsidRPr="00BB1F3E">
              <w:rPr>
                <w:b/>
                <w:sz w:val="18"/>
                <w:szCs w:val="18"/>
                <w:lang w:eastAsia="ja-JP"/>
              </w:rPr>
              <w:t>Main Phone Number</w:t>
            </w:r>
          </w:p>
        </w:tc>
        <w:tc>
          <w:tcPr>
            <w:tcW w:w="4788" w:type="dxa"/>
            <w:tcBorders>
              <w:top w:val="nil"/>
              <w:left w:val="single" w:sz="4" w:space="0" w:color="auto"/>
              <w:bottom w:val="nil"/>
              <w:right w:val="nil"/>
            </w:tcBorders>
          </w:tcPr>
          <w:p w14:paraId="1DACFFFF" w14:textId="77777777" w:rsidR="00BB1F3E" w:rsidRPr="00BB1F3E" w:rsidRDefault="00BB1F3E" w:rsidP="00BB1F3E">
            <w:pPr>
              <w:rPr>
                <w:b/>
                <w:sz w:val="18"/>
                <w:szCs w:val="18"/>
                <w:lang w:eastAsia="ja-JP"/>
              </w:rPr>
            </w:pPr>
          </w:p>
        </w:tc>
      </w:tr>
      <w:tr w:rsidR="00BB1F3E" w14:paraId="38D8C62A" w14:textId="77777777" w:rsidTr="00881088">
        <w:trPr>
          <w:jc w:val="center"/>
        </w:trPr>
        <w:tc>
          <w:tcPr>
            <w:tcW w:w="4788" w:type="dxa"/>
            <w:tcBorders>
              <w:right w:val="single" w:sz="4" w:space="0" w:color="auto"/>
            </w:tcBorders>
          </w:tcPr>
          <w:p w14:paraId="5585339D" w14:textId="77777777" w:rsidR="00BB1F3E" w:rsidRDefault="00BB1F3E" w:rsidP="00BB1F3E">
            <w:pPr>
              <w:rPr>
                <w:b/>
                <w:sz w:val="18"/>
                <w:szCs w:val="18"/>
                <w:lang w:eastAsia="ja-JP"/>
              </w:rPr>
            </w:pPr>
          </w:p>
          <w:p w14:paraId="7219F968" w14:textId="77777777" w:rsidR="0087020F" w:rsidRPr="00BB1F3E" w:rsidRDefault="0087020F" w:rsidP="00BB1F3E">
            <w:pPr>
              <w:rPr>
                <w:b/>
                <w:sz w:val="18"/>
                <w:szCs w:val="18"/>
                <w:lang w:eastAsia="ja-JP"/>
              </w:rPr>
            </w:pPr>
          </w:p>
        </w:tc>
        <w:tc>
          <w:tcPr>
            <w:tcW w:w="4788" w:type="dxa"/>
            <w:tcBorders>
              <w:top w:val="nil"/>
              <w:left w:val="single" w:sz="4" w:space="0" w:color="auto"/>
              <w:bottom w:val="nil"/>
              <w:right w:val="nil"/>
            </w:tcBorders>
          </w:tcPr>
          <w:p w14:paraId="6981EFC8" w14:textId="77777777" w:rsidR="00BB1F3E" w:rsidRPr="00BB1F3E" w:rsidRDefault="00BB1F3E" w:rsidP="00BB1F3E">
            <w:pPr>
              <w:rPr>
                <w:b/>
                <w:sz w:val="18"/>
                <w:szCs w:val="18"/>
                <w:lang w:eastAsia="ja-JP"/>
              </w:rPr>
            </w:pPr>
          </w:p>
        </w:tc>
      </w:tr>
      <w:tr w:rsidR="00BB1F3E" w14:paraId="551B3122" w14:textId="77777777" w:rsidTr="00881088">
        <w:trPr>
          <w:jc w:val="center"/>
        </w:trPr>
        <w:tc>
          <w:tcPr>
            <w:tcW w:w="4788" w:type="dxa"/>
            <w:tcBorders>
              <w:right w:val="single" w:sz="4" w:space="0" w:color="auto"/>
            </w:tcBorders>
            <w:shd w:val="clear" w:color="auto" w:fill="D9D9D9" w:themeFill="background1" w:themeFillShade="D9"/>
          </w:tcPr>
          <w:p w14:paraId="6F37126C" w14:textId="77777777" w:rsidR="00BB1F3E" w:rsidRDefault="00E9134C" w:rsidP="00BB1F3E">
            <w:pPr>
              <w:rPr>
                <w:b/>
                <w:sz w:val="18"/>
                <w:szCs w:val="18"/>
                <w:lang w:eastAsia="ja-JP"/>
              </w:rPr>
            </w:pPr>
            <w:hyperlink w:anchor="Endnote5" w:history="1">
              <w:r w:rsidR="00BB1F3E" w:rsidRPr="001F1E71">
                <w:rPr>
                  <w:rStyle w:val="Hyperlink"/>
                  <w:b/>
                  <w:sz w:val="18"/>
                  <w:szCs w:val="18"/>
                  <w:lang w:eastAsia="ja-JP"/>
                </w:rPr>
                <w:t>Hospital Website Address</w:t>
              </w:r>
            </w:hyperlink>
            <w:r w:rsidR="000469EC">
              <w:rPr>
                <w:rStyle w:val="EndnoteReference"/>
                <w:b/>
                <w:sz w:val="18"/>
                <w:szCs w:val="18"/>
                <w:lang w:eastAsia="ja-JP"/>
              </w:rPr>
              <w:endnoteReference w:id="6"/>
            </w:r>
          </w:p>
          <w:p w14:paraId="2ECA98EB" w14:textId="77777777" w:rsidR="00881088" w:rsidRPr="00033FB4" w:rsidRDefault="00881088" w:rsidP="00BB1F3E">
            <w:pPr>
              <w:rPr>
                <w:sz w:val="16"/>
                <w:szCs w:val="16"/>
                <w:lang w:eastAsia="ja-JP"/>
              </w:rPr>
            </w:pPr>
            <w:r w:rsidRPr="00033FB4">
              <w:rPr>
                <w:sz w:val="16"/>
                <w:szCs w:val="16"/>
                <w:lang w:eastAsia="ja-JP"/>
              </w:rPr>
              <w:t xml:space="preserve">(So consumers can learn more about your hospital’s efforts in the area of patient safety and quality improvement) </w:t>
            </w:r>
          </w:p>
        </w:tc>
        <w:tc>
          <w:tcPr>
            <w:tcW w:w="4788" w:type="dxa"/>
            <w:tcBorders>
              <w:top w:val="nil"/>
              <w:left w:val="single" w:sz="4" w:space="0" w:color="auto"/>
              <w:bottom w:val="nil"/>
              <w:right w:val="nil"/>
            </w:tcBorders>
          </w:tcPr>
          <w:p w14:paraId="2D594790" w14:textId="77777777" w:rsidR="00BB1F3E" w:rsidRPr="00BB1F3E" w:rsidRDefault="00BB1F3E" w:rsidP="00BB1F3E">
            <w:pPr>
              <w:rPr>
                <w:b/>
                <w:sz w:val="18"/>
                <w:szCs w:val="18"/>
                <w:lang w:eastAsia="ja-JP"/>
              </w:rPr>
            </w:pPr>
          </w:p>
        </w:tc>
      </w:tr>
      <w:tr w:rsidR="0087020F" w14:paraId="2AB2A40F" w14:textId="77777777" w:rsidTr="00881088">
        <w:trPr>
          <w:jc w:val="center"/>
        </w:trPr>
        <w:tc>
          <w:tcPr>
            <w:tcW w:w="4788" w:type="dxa"/>
            <w:tcBorders>
              <w:right w:val="single" w:sz="4" w:space="0" w:color="auto"/>
            </w:tcBorders>
          </w:tcPr>
          <w:p w14:paraId="0F38CCAE" w14:textId="77777777" w:rsidR="0087020F" w:rsidRDefault="0087020F" w:rsidP="00BB1F3E">
            <w:pPr>
              <w:rPr>
                <w:b/>
                <w:sz w:val="18"/>
                <w:szCs w:val="18"/>
                <w:lang w:eastAsia="ja-JP"/>
              </w:rPr>
            </w:pPr>
          </w:p>
          <w:p w14:paraId="1110F532" w14:textId="77777777" w:rsidR="0087020F" w:rsidRPr="00BB1F3E" w:rsidRDefault="0087020F" w:rsidP="00BB1F3E">
            <w:pPr>
              <w:rPr>
                <w:b/>
                <w:sz w:val="18"/>
                <w:szCs w:val="18"/>
                <w:lang w:eastAsia="ja-JP"/>
              </w:rPr>
            </w:pPr>
          </w:p>
        </w:tc>
        <w:tc>
          <w:tcPr>
            <w:tcW w:w="4788" w:type="dxa"/>
            <w:tcBorders>
              <w:top w:val="nil"/>
              <w:left w:val="single" w:sz="4" w:space="0" w:color="auto"/>
              <w:bottom w:val="nil"/>
              <w:right w:val="nil"/>
            </w:tcBorders>
          </w:tcPr>
          <w:p w14:paraId="529B4BAA" w14:textId="77777777" w:rsidR="0087020F" w:rsidRPr="00BB1F3E" w:rsidRDefault="0087020F" w:rsidP="00BB1F3E">
            <w:pPr>
              <w:rPr>
                <w:b/>
                <w:sz w:val="18"/>
                <w:szCs w:val="18"/>
                <w:lang w:eastAsia="ja-JP"/>
              </w:rPr>
            </w:pPr>
          </w:p>
        </w:tc>
      </w:tr>
    </w:tbl>
    <w:p w14:paraId="224C8B20" w14:textId="77777777" w:rsidR="00B563E2" w:rsidRDefault="00B563E2" w:rsidP="00B563E2">
      <w:pPr>
        <w:rPr>
          <w:lang w:eastAsia="ja-JP"/>
        </w:rPr>
      </w:pPr>
    </w:p>
    <w:p w14:paraId="6D81FC86" w14:textId="77777777" w:rsidR="00BA3AAA" w:rsidRPr="00B563E2" w:rsidRDefault="00BA3AAA" w:rsidP="00B563E2">
      <w:pPr>
        <w:rPr>
          <w:b/>
          <w:i/>
          <w:snapToGrid w:val="0"/>
          <w:sz w:val="24"/>
          <w:szCs w:val="24"/>
          <w:lang w:eastAsia="ja-JP"/>
        </w:rPr>
      </w:pPr>
    </w:p>
    <w:p w14:paraId="2EC19FD6" w14:textId="77777777" w:rsidR="008910AA" w:rsidRDefault="008910AA" w:rsidP="007A44CB">
      <w:pPr>
        <w:pStyle w:val="Heading3"/>
        <w:rPr>
          <w:snapToGrid w:val="0"/>
        </w:rPr>
      </w:pPr>
      <w:bookmarkStart w:id="30" w:name="_Toc447194965"/>
      <w:r w:rsidRPr="00C646A3">
        <w:rPr>
          <w:snapToGrid w:val="0"/>
        </w:rPr>
        <w:lastRenderedPageBreak/>
        <w:t>Contact Information</w:t>
      </w:r>
      <w:bookmarkEnd w:id="30"/>
      <w:r w:rsidRPr="00C646A3">
        <w:rPr>
          <w:snapToGrid w:val="0"/>
        </w:rPr>
        <w:t xml:space="preserve"> </w:t>
      </w:r>
    </w:p>
    <w:p w14:paraId="551D91A8" w14:textId="77777777" w:rsidR="00881088" w:rsidRDefault="00881088" w:rsidP="00881088">
      <w:pPr>
        <w:rPr>
          <w:lang w:eastAsia="ja-JP"/>
        </w:rPr>
      </w:pPr>
    </w:p>
    <w:tbl>
      <w:tblPr>
        <w:tblStyle w:val="TableGrid"/>
        <w:tblW w:w="0" w:type="auto"/>
        <w:jc w:val="center"/>
        <w:tblLook w:val="04A0" w:firstRow="1" w:lastRow="0" w:firstColumn="1" w:lastColumn="0" w:noHBand="0" w:noVBand="1"/>
      </w:tblPr>
      <w:tblGrid>
        <w:gridCol w:w="4788"/>
        <w:gridCol w:w="4788"/>
      </w:tblGrid>
      <w:tr w:rsidR="00881088" w14:paraId="17E41E3F" w14:textId="77777777" w:rsidTr="00B563E2">
        <w:trPr>
          <w:jc w:val="center"/>
        </w:trPr>
        <w:tc>
          <w:tcPr>
            <w:tcW w:w="4788" w:type="dxa"/>
            <w:shd w:val="clear" w:color="auto" w:fill="D9D9D9" w:themeFill="background1" w:themeFillShade="D9"/>
          </w:tcPr>
          <w:p w14:paraId="6A69CDB8" w14:textId="77777777" w:rsidR="00881088" w:rsidRPr="00B563E2" w:rsidRDefault="00881088" w:rsidP="00881088">
            <w:pPr>
              <w:rPr>
                <w:b/>
                <w:sz w:val="18"/>
                <w:szCs w:val="18"/>
                <w:lang w:eastAsia="ja-JP"/>
              </w:rPr>
            </w:pPr>
            <w:r w:rsidRPr="00B563E2">
              <w:rPr>
                <w:b/>
                <w:sz w:val="18"/>
                <w:szCs w:val="18"/>
                <w:lang w:eastAsia="ja-JP"/>
              </w:rPr>
              <w:t>Chief Executive Officer (CEO</w:t>
            </w:r>
            <w:r w:rsidR="00090572">
              <w:rPr>
                <w:b/>
                <w:sz w:val="18"/>
                <w:szCs w:val="18"/>
                <w:lang w:eastAsia="ja-JP"/>
              </w:rPr>
              <w:t>)</w:t>
            </w:r>
          </w:p>
        </w:tc>
        <w:tc>
          <w:tcPr>
            <w:tcW w:w="4788" w:type="dxa"/>
            <w:shd w:val="clear" w:color="auto" w:fill="D9D9D9" w:themeFill="background1" w:themeFillShade="D9"/>
          </w:tcPr>
          <w:p w14:paraId="7805F710" w14:textId="77777777" w:rsidR="00881088" w:rsidRPr="00B563E2" w:rsidRDefault="00881088" w:rsidP="00881088">
            <w:pPr>
              <w:rPr>
                <w:b/>
                <w:sz w:val="18"/>
                <w:szCs w:val="18"/>
                <w:lang w:eastAsia="ja-JP"/>
              </w:rPr>
            </w:pPr>
            <w:r w:rsidRPr="00B563E2">
              <w:rPr>
                <w:b/>
                <w:sz w:val="18"/>
                <w:szCs w:val="18"/>
                <w:lang w:eastAsia="ja-JP"/>
              </w:rPr>
              <w:t>Chairman of the Board</w:t>
            </w:r>
          </w:p>
        </w:tc>
      </w:tr>
      <w:tr w:rsidR="00881088" w14:paraId="503E3CF5" w14:textId="77777777" w:rsidTr="00B563E2">
        <w:trPr>
          <w:jc w:val="center"/>
        </w:trPr>
        <w:tc>
          <w:tcPr>
            <w:tcW w:w="4788" w:type="dxa"/>
            <w:shd w:val="clear" w:color="auto" w:fill="D9D9D9" w:themeFill="background1" w:themeFillShade="D9"/>
          </w:tcPr>
          <w:p w14:paraId="25690D10" w14:textId="77777777" w:rsidR="00881088" w:rsidRPr="00B563E2" w:rsidRDefault="00881088" w:rsidP="00881088">
            <w:pPr>
              <w:rPr>
                <w:b/>
                <w:sz w:val="18"/>
                <w:szCs w:val="18"/>
                <w:lang w:eastAsia="ja-JP"/>
              </w:rPr>
            </w:pPr>
            <w:r w:rsidRPr="00B563E2">
              <w:rPr>
                <w:b/>
                <w:sz w:val="18"/>
                <w:szCs w:val="18"/>
                <w:lang w:eastAsia="ja-JP"/>
              </w:rPr>
              <w:t>First Name</w:t>
            </w:r>
          </w:p>
        </w:tc>
        <w:tc>
          <w:tcPr>
            <w:tcW w:w="4788" w:type="dxa"/>
            <w:shd w:val="clear" w:color="auto" w:fill="D9D9D9" w:themeFill="background1" w:themeFillShade="D9"/>
          </w:tcPr>
          <w:p w14:paraId="4A26DECD" w14:textId="77777777" w:rsidR="00881088" w:rsidRPr="00B563E2" w:rsidRDefault="00881088" w:rsidP="00881088">
            <w:pPr>
              <w:rPr>
                <w:b/>
                <w:sz w:val="18"/>
                <w:szCs w:val="18"/>
                <w:lang w:eastAsia="ja-JP"/>
              </w:rPr>
            </w:pPr>
            <w:r w:rsidRPr="00B563E2">
              <w:rPr>
                <w:b/>
                <w:sz w:val="18"/>
                <w:szCs w:val="18"/>
                <w:lang w:eastAsia="ja-JP"/>
              </w:rPr>
              <w:t>First Name</w:t>
            </w:r>
          </w:p>
        </w:tc>
      </w:tr>
      <w:tr w:rsidR="00881088" w14:paraId="78BF80C1" w14:textId="77777777" w:rsidTr="00881088">
        <w:trPr>
          <w:jc w:val="center"/>
        </w:trPr>
        <w:tc>
          <w:tcPr>
            <w:tcW w:w="4788" w:type="dxa"/>
          </w:tcPr>
          <w:p w14:paraId="7EB55EB6" w14:textId="77777777" w:rsidR="00881088" w:rsidRDefault="00881088" w:rsidP="00881088">
            <w:pPr>
              <w:rPr>
                <w:b/>
                <w:sz w:val="18"/>
                <w:szCs w:val="18"/>
                <w:lang w:eastAsia="ja-JP"/>
              </w:rPr>
            </w:pPr>
          </w:p>
          <w:p w14:paraId="0EFF78E9" w14:textId="77777777" w:rsidR="00DA0BB1" w:rsidRPr="00B563E2" w:rsidRDefault="00DA0BB1" w:rsidP="00881088">
            <w:pPr>
              <w:rPr>
                <w:b/>
                <w:sz w:val="18"/>
                <w:szCs w:val="18"/>
                <w:lang w:eastAsia="ja-JP"/>
              </w:rPr>
            </w:pPr>
          </w:p>
        </w:tc>
        <w:tc>
          <w:tcPr>
            <w:tcW w:w="4788" w:type="dxa"/>
          </w:tcPr>
          <w:p w14:paraId="79CE41CE" w14:textId="77777777" w:rsidR="00881088" w:rsidRPr="00B563E2" w:rsidRDefault="00881088" w:rsidP="00881088">
            <w:pPr>
              <w:rPr>
                <w:b/>
                <w:sz w:val="18"/>
                <w:szCs w:val="18"/>
                <w:lang w:eastAsia="ja-JP"/>
              </w:rPr>
            </w:pPr>
          </w:p>
        </w:tc>
      </w:tr>
      <w:tr w:rsidR="00881088" w14:paraId="2B67E839" w14:textId="77777777" w:rsidTr="00DA0BB1">
        <w:trPr>
          <w:jc w:val="center"/>
        </w:trPr>
        <w:tc>
          <w:tcPr>
            <w:tcW w:w="4788" w:type="dxa"/>
            <w:tcBorders>
              <w:bottom w:val="single" w:sz="4" w:space="0" w:color="auto"/>
            </w:tcBorders>
            <w:shd w:val="clear" w:color="auto" w:fill="D9D9D9" w:themeFill="background1" w:themeFillShade="D9"/>
          </w:tcPr>
          <w:p w14:paraId="65BB754E" w14:textId="77777777" w:rsidR="00881088" w:rsidRPr="00B563E2" w:rsidRDefault="00881088" w:rsidP="00881088">
            <w:pPr>
              <w:rPr>
                <w:b/>
                <w:sz w:val="18"/>
                <w:szCs w:val="18"/>
                <w:lang w:eastAsia="ja-JP"/>
              </w:rPr>
            </w:pPr>
            <w:r w:rsidRPr="00B563E2">
              <w:rPr>
                <w:b/>
                <w:sz w:val="18"/>
                <w:szCs w:val="18"/>
                <w:lang w:eastAsia="ja-JP"/>
              </w:rPr>
              <w:t>Last Name</w:t>
            </w:r>
          </w:p>
        </w:tc>
        <w:tc>
          <w:tcPr>
            <w:tcW w:w="4788" w:type="dxa"/>
            <w:tcBorders>
              <w:bottom w:val="single" w:sz="4" w:space="0" w:color="auto"/>
            </w:tcBorders>
            <w:shd w:val="clear" w:color="auto" w:fill="D9D9D9" w:themeFill="background1" w:themeFillShade="D9"/>
          </w:tcPr>
          <w:p w14:paraId="639021A7" w14:textId="77777777" w:rsidR="00881088" w:rsidRPr="00B563E2" w:rsidRDefault="00881088" w:rsidP="00881088">
            <w:pPr>
              <w:rPr>
                <w:b/>
                <w:sz w:val="18"/>
                <w:szCs w:val="18"/>
                <w:lang w:eastAsia="ja-JP"/>
              </w:rPr>
            </w:pPr>
            <w:r w:rsidRPr="00B563E2">
              <w:rPr>
                <w:b/>
                <w:sz w:val="18"/>
                <w:szCs w:val="18"/>
                <w:lang w:eastAsia="ja-JP"/>
              </w:rPr>
              <w:t>Last Name</w:t>
            </w:r>
          </w:p>
        </w:tc>
      </w:tr>
      <w:tr w:rsidR="00881088" w14:paraId="2F57C19A" w14:textId="77777777" w:rsidTr="00DA0BB1">
        <w:trPr>
          <w:jc w:val="center"/>
        </w:trPr>
        <w:tc>
          <w:tcPr>
            <w:tcW w:w="4788" w:type="dxa"/>
          </w:tcPr>
          <w:p w14:paraId="4C44A368" w14:textId="77777777" w:rsidR="00881088" w:rsidRDefault="00881088" w:rsidP="00881088">
            <w:pPr>
              <w:rPr>
                <w:b/>
                <w:sz w:val="18"/>
                <w:szCs w:val="18"/>
                <w:lang w:eastAsia="ja-JP"/>
              </w:rPr>
            </w:pPr>
          </w:p>
          <w:p w14:paraId="003D9850" w14:textId="77777777" w:rsidR="00DA0BB1" w:rsidRPr="00B563E2" w:rsidRDefault="00DA0BB1" w:rsidP="00881088">
            <w:pPr>
              <w:rPr>
                <w:b/>
                <w:sz w:val="18"/>
                <w:szCs w:val="18"/>
                <w:lang w:eastAsia="ja-JP"/>
              </w:rPr>
            </w:pPr>
          </w:p>
        </w:tc>
        <w:tc>
          <w:tcPr>
            <w:tcW w:w="4788" w:type="dxa"/>
            <w:tcBorders>
              <w:bottom w:val="single" w:sz="4" w:space="0" w:color="auto"/>
            </w:tcBorders>
          </w:tcPr>
          <w:p w14:paraId="5608EC22" w14:textId="77777777" w:rsidR="00881088" w:rsidRPr="00B563E2" w:rsidRDefault="00881088" w:rsidP="00881088">
            <w:pPr>
              <w:rPr>
                <w:b/>
                <w:sz w:val="18"/>
                <w:szCs w:val="18"/>
                <w:lang w:eastAsia="ja-JP"/>
              </w:rPr>
            </w:pPr>
          </w:p>
        </w:tc>
      </w:tr>
      <w:tr w:rsidR="00881088" w14:paraId="32954734" w14:textId="77777777" w:rsidTr="00DA0BB1">
        <w:trPr>
          <w:jc w:val="center"/>
        </w:trPr>
        <w:tc>
          <w:tcPr>
            <w:tcW w:w="4788" w:type="dxa"/>
            <w:tcBorders>
              <w:right w:val="single" w:sz="4" w:space="0" w:color="auto"/>
            </w:tcBorders>
            <w:shd w:val="clear" w:color="auto" w:fill="D9D9D9" w:themeFill="background1" w:themeFillShade="D9"/>
          </w:tcPr>
          <w:p w14:paraId="54AAEC5D" w14:textId="77777777" w:rsidR="00881088" w:rsidRDefault="00881088" w:rsidP="00881088">
            <w:pPr>
              <w:rPr>
                <w:b/>
                <w:sz w:val="18"/>
                <w:szCs w:val="18"/>
                <w:lang w:eastAsia="ja-JP"/>
              </w:rPr>
            </w:pPr>
            <w:r w:rsidRPr="00B563E2">
              <w:rPr>
                <w:b/>
                <w:sz w:val="18"/>
                <w:szCs w:val="18"/>
                <w:lang w:eastAsia="ja-JP"/>
              </w:rPr>
              <w:t>Email Address</w:t>
            </w:r>
          </w:p>
          <w:p w14:paraId="3C3A8733" w14:textId="77777777" w:rsidR="00090572" w:rsidRPr="00033FB4" w:rsidRDefault="00090572" w:rsidP="00881088">
            <w:pPr>
              <w:rPr>
                <w:sz w:val="16"/>
                <w:szCs w:val="16"/>
                <w:lang w:eastAsia="ja-JP"/>
              </w:rPr>
            </w:pPr>
            <w:r w:rsidRPr="00033FB4">
              <w:rPr>
                <w:sz w:val="16"/>
                <w:szCs w:val="16"/>
                <w:lang w:eastAsia="ja-JP"/>
              </w:rPr>
              <w:t>(required for emailing of security codes and Top Hospital notification)</w:t>
            </w:r>
          </w:p>
        </w:tc>
        <w:tc>
          <w:tcPr>
            <w:tcW w:w="4788" w:type="dxa"/>
            <w:tcBorders>
              <w:top w:val="single" w:sz="4" w:space="0" w:color="auto"/>
              <w:left w:val="single" w:sz="4" w:space="0" w:color="auto"/>
              <w:bottom w:val="nil"/>
              <w:right w:val="nil"/>
            </w:tcBorders>
          </w:tcPr>
          <w:p w14:paraId="2C617A15" w14:textId="77777777" w:rsidR="00881088" w:rsidRPr="00B563E2" w:rsidRDefault="00881088" w:rsidP="00881088">
            <w:pPr>
              <w:rPr>
                <w:b/>
                <w:sz w:val="18"/>
                <w:szCs w:val="18"/>
                <w:lang w:eastAsia="ja-JP"/>
              </w:rPr>
            </w:pPr>
          </w:p>
        </w:tc>
      </w:tr>
      <w:tr w:rsidR="00881088" w14:paraId="1EEFD81E" w14:textId="77777777" w:rsidTr="00DA0BB1">
        <w:trPr>
          <w:jc w:val="center"/>
        </w:trPr>
        <w:tc>
          <w:tcPr>
            <w:tcW w:w="4788" w:type="dxa"/>
            <w:tcBorders>
              <w:right w:val="single" w:sz="4" w:space="0" w:color="auto"/>
            </w:tcBorders>
          </w:tcPr>
          <w:p w14:paraId="23D96BFC" w14:textId="77777777" w:rsidR="00881088" w:rsidRDefault="00881088" w:rsidP="00881088">
            <w:pPr>
              <w:rPr>
                <w:b/>
                <w:sz w:val="18"/>
                <w:szCs w:val="18"/>
                <w:lang w:eastAsia="ja-JP"/>
              </w:rPr>
            </w:pPr>
          </w:p>
          <w:p w14:paraId="67107112" w14:textId="77777777" w:rsidR="00DA0BB1" w:rsidRPr="00B563E2" w:rsidRDefault="00DA0BB1" w:rsidP="00881088">
            <w:pPr>
              <w:rPr>
                <w:b/>
                <w:sz w:val="18"/>
                <w:szCs w:val="18"/>
                <w:lang w:eastAsia="ja-JP"/>
              </w:rPr>
            </w:pPr>
          </w:p>
        </w:tc>
        <w:tc>
          <w:tcPr>
            <w:tcW w:w="4788" w:type="dxa"/>
            <w:tcBorders>
              <w:top w:val="nil"/>
              <w:left w:val="single" w:sz="4" w:space="0" w:color="auto"/>
              <w:bottom w:val="nil"/>
              <w:right w:val="nil"/>
            </w:tcBorders>
          </w:tcPr>
          <w:p w14:paraId="7CCEA729" w14:textId="77777777" w:rsidR="00881088" w:rsidRPr="00B563E2" w:rsidRDefault="00881088" w:rsidP="00881088">
            <w:pPr>
              <w:rPr>
                <w:b/>
                <w:sz w:val="18"/>
                <w:szCs w:val="18"/>
                <w:lang w:eastAsia="ja-JP"/>
              </w:rPr>
            </w:pPr>
          </w:p>
        </w:tc>
      </w:tr>
    </w:tbl>
    <w:p w14:paraId="7242B310" w14:textId="77777777" w:rsidR="00950575" w:rsidRDefault="00950575" w:rsidP="00EB41AD">
      <w:pPr>
        <w:rPr>
          <w:lang w:eastAsia="ja-JP"/>
        </w:rPr>
      </w:pPr>
      <w:bookmarkStart w:id="31" w:name="_Toc383774978"/>
    </w:p>
    <w:tbl>
      <w:tblPr>
        <w:tblStyle w:val="TableGrid"/>
        <w:tblW w:w="0" w:type="auto"/>
        <w:jc w:val="center"/>
        <w:tblLook w:val="04A0" w:firstRow="1" w:lastRow="0" w:firstColumn="1" w:lastColumn="0" w:noHBand="0" w:noVBand="1"/>
      </w:tblPr>
      <w:tblGrid>
        <w:gridCol w:w="4788"/>
        <w:gridCol w:w="4788"/>
      </w:tblGrid>
      <w:tr w:rsidR="00DA0BB1" w14:paraId="124FA6BE" w14:textId="77777777" w:rsidTr="000469EC">
        <w:trPr>
          <w:jc w:val="center"/>
        </w:trPr>
        <w:tc>
          <w:tcPr>
            <w:tcW w:w="4788" w:type="dxa"/>
            <w:shd w:val="clear" w:color="auto" w:fill="D9D9D9" w:themeFill="background1" w:themeFillShade="D9"/>
          </w:tcPr>
          <w:p w14:paraId="03DC678D" w14:textId="47226603" w:rsidR="00DA0BB1" w:rsidRPr="00B563E2" w:rsidRDefault="00D9090F" w:rsidP="000469EC">
            <w:pPr>
              <w:rPr>
                <w:b/>
                <w:sz w:val="18"/>
                <w:szCs w:val="18"/>
                <w:lang w:eastAsia="ja-JP"/>
              </w:rPr>
            </w:pPr>
            <w:r>
              <w:rPr>
                <w:b/>
                <w:sz w:val="18"/>
                <w:szCs w:val="18"/>
                <w:lang w:eastAsia="ja-JP"/>
              </w:rPr>
              <w:t>Primary Contact</w:t>
            </w:r>
          </w:p>
        </w:tc>
        <w:tc>
          <w:tcPr>
            <w:tcW w:w="4788" w:type="dxa"/>
            <w:shd w:val="clear" w:color="auto" w:fill="D9D9D9" w:themeFill="background1" w:themeFillShade="D9"/>
          </w:tcPr>
          <w:p w14:paraId="397D2DB7" w14:textId="58F1D2DD" w:rsidR="00DA0BB1" w:rsidRPr="00B563E2" w:rsidRDefault="00D9090F" w:rsidP="000469EC">
            <w:pPr>
              <w:rPr>
                <w:b/>
                <w:sz w:val="18"/>
                <w:szCs w:val="18"/>
                <w:lang w:eastAsia="ja-JP"/>
              </w:rPr>
            </w:pPr>
            <w:r>
              <w:rPr>
                <w:b/>
                <w:sz w:val="18"/>
                <w:szCs w:val="18"/>
                <w:lang w:eastAsia="ja-JP"/>
              </w:rPr>
              <w:t>Secondary Contact</w:t>
            </w:r>
          </w:p>
        </w:tc>
      </w:tr>
      <w:tr w:rsidR="00DA0BB1" w14:paraId="554C6C46" w14:textId="77777777" w:rsidTr="000469EC">
        <w:trPr>
          <w:jc w:val="center"/>
        </w:trPr>
        <w:tc>
          <w:tcPr>
            <w:tcW w:w="4788" w:type="dxa"/>
            <w:shd w:val="clear" w:color="auto" w:fill="D9D9D9" w:themeFill="background1" w:themeFillShade="D9"/>
          </w:tcPr>
          <w:p w14:paraId="14BC71A9" w14:textId="77777777" w:rsidR="00DA0BB1" w:rsidRPr="00DF794C" w:rsidRDefault="00DA0BB1" w:rsidP="000469EC">
            <w:pPr>
              <w:rPr>
                <w:b/>
                <w:sz w:val="18"/>
                <w:szCs w:val="18"/>
                <w:lang w:eastAsia="ja-JP"/>
              </w:rPr>
            </w:pPr>
            <w:r w:rsidRPr="00DF794C">
              <w:rPr>
                <w:b/>
                <w:sz w:val="18"/>
                <w:szCs w:val="18"/>
                <w:lang w:eastAsia="ja-JP"/>
              </w:rPr>
              <w:t>First Name</w:t>
            </w:r>
          </w:p>
        </w:tc>
        <w:tc>
          <w:tcPr>
            <w:tcW w:w="4788" w:type="dxa"/>
            <w:shd w:val="clear" w:color="auto" w:fill="D9D9D9" w:themeFill="background1" w:themeFillShade="D9"/>
          </w:tcPr>
          <w:p w14:paraId="1C61216F" w14:textId="77777777" w:rsidR="00DA0BB1" w:rsidRPr="00DF794C" w:rsidRDefault="00DA0BB1" w:rsidP="000469EC">
            <w:pPr>
              <w:rPr>
                <w:b/>
                <w:sz w:val="18"/>
                <w:szCs w:val="18"/>
                <w:lang w:eastAsia="ja-JP"/>
              </w:rPr>
            </w:pPr>
            <w:r w:rsidRPr="00DF794C">
              <w:rPr>
                <w:b/>
                <w:sz w:val="18"/>
                <w:szCs w:val="18"/>
                <w:lang w:eastAsia="ja-JP"/>
              </w:rPr>
              <w:t>First Name</w:t>
            </w:r>
          </w:p>
        </w:tc>
      </w:tr>
      <w:tr w:rsidR="00DA0BB1" w14:paraId="3EB54C64" w14:textId="77777777" w:rsidTr="000469EC">
        <w:trPr>
          <w:jc w:val="center"/>
        </w:trPr>
        <w:tc>
          <w:tcPr>
            <w:tcW w:w="4788" w:type="dxa"/>
          </w:tcPr>
          <w:p w14:paraId="6FE2A82C" w14:textId="77777777" w:rsidR="00DA0BB1" w:rsidRDefault="00DA0BB1" w:rsidP="000469EC">
            <w:pPr>
              <w:rPr>
                <w:b/>
                <w:sz w:val="18"/>
                <w:szCs w:val="18"/>
                <w:lang w:eastAsia="ja-JP"/>
              </w:rPr>
            </w:pPr>
          </w:p>
          <w:p w14:paraId="655A8BA8" w14:textId="77777777" w:rsidR="00DA0BB1" w:rsidRPr="00B563E2" w:rsidRDefault="00DA0BB1" w:rsidP="000469EC">
            <w:pPr>
              <w:rPr>
                <w:b/>
                <w:sz w:val="18"/>
                <w:szCs w:val="18"/>
                <w:lang w:eastAsia="ja-JP"/>
              </w:rPr>
            </w:pPr>
          </w:p>
        </w:tc>
        <w:tc>
          <w:tcPr>
            <w:tcW w:w="4788" w:type="dxa"/>
          </w:tcPr>
          <w:p w14:paraId="5DAC869E" w14:textId="77777777" w:rsidR="00DA0BB1" w:rsidRPr="00B563E2" w:rsidRDefault="00DA0BB1" w:rsidP="000469EC">
            <w:pPr>
              <w:rPr>
                <w:b/>
                <w:sz w:val="18"/>
                <w:szCs w:val="18"/>
                <w:lang w:eastAsia="ja-JP"/>
              </w:rPr>
            </w:pPr>
          </w:p>
        </w:tc>
      </w:tr>
      <w:tr w:rsidR="00DA0BB1" w14:paraId="59B2BC72" w14:textId="77777777" w:rsidTr="000469EC">
        <w:trPr>
          <w:jc w:val="center"/>
        </w:trPr>
        <w:tc>
          <w:tcPr>
            <w:tcW w:w="4788" w:type="dxa"/>
            <w:shd w:val="clear" w:color="auto" w:fill="D9D9D9" w:themeFill="background1" w:themeFillShade="D9"/>
          </w:tcPr>
          <w:p w14:paraId="4C406EDF" w14:textId="77777777" w:rsidR="00DA0BB1" w:rsidRPr="00B563E2" w:rsidRDefault="00DA0BB1" w:rsidP="000469EC">
            <w:pPr>
              <w:rPr>
                <w:b/>
                <w:sz w:val="18"/>
                <w:szCs w:val="18"/>
                <w:lang w:eastAsia="ja-JP"/>
              </w:rPr>
            </w:pPr>
            <w:r w:rsidRPr="00B563E2">
              <w:rPr>
                <w:b/>
                <w:sz w:val="18"/>
                <w:szCs w:val="18"/>
                <w:lang w:eastAsia="ja-JP"/>
              </w:rPr>
              <w:t>Last Name</w:t>
            </w:r>
          </w:p>
        </w:tc>
        <w:tc>
          <w:tcPr>
            <w:tcW w:w="4788" w:type="dxa"/>
            <w:shd w:val="clear" w:color="auto" w:fill="D9D9D9" w:themeFill="background1" w:themeFillShade="D9"/>
          </w:tcPr>
          <w:p w14:paraId="5EEA32FB" w14:textId="77777777" w:rsidR="00DA0BB1" w:rsidRPr="00B563E2" w:rsidRDefault="00DA0BB1" w:rsidP="000469EC">
            <w:pPr>
              <w:rPr>
                <w:b/>
                <w:sz w:val="18"/>
                <w:szCs w:val="18"/>
                <w:lang w:eastAsia="ja-JP"/>
              </w:rPr>
            </w:pPr>
            <w:r w:rsidRPr="00B563E2">
              <w:rPr>
                <w:b/>
                <w:sz w:val="18"/>
                <w:szCs w:val="18"/>
                <w:lang w:eastAsia="ja-JP"/>
              </w:rPr>
              <w:t xml:space="preserve">Last Name </w:t>
            </w:r>
          </w:p>
        </w:tc>
      </w:tr>
      <w:tr w:rsidR="00DA0BB1" w14:paraId="67A717A6" w14:textId="77777777" w:rsidTr="000469EC">
        <w:trPr>
          <w:jc w:val="center"/>
        </w:trPr>
        <w:tc>
          <w:tcPr>
            <w:tcW w:w="4788" w:type="dxa"/>
          </w:tcPr>
          <w:p w14:paraId="38F44585" w14:textId="77777777" w:rsidR="00DA0BB1" w:rsidRDefault="00DA0BB1" w:rsidP="000469EC">
            <w:pPr>
              <w:rPr>
                <w:b/>
                <w:sz w:val="18"/>
                <w:szCs w:val="18"/>
                <w:lang w:eastAsia="ja-JP"/>
              </w:rPr>
            </w:pPr>
          </w:p>
          <w:p w14:paraId="0E1BCC92" w14:textId="77777777" w:rsidR="00DA0BB1" w:rsidRPr="00B563E2" w:rsidRDefault="00DA0BB1" w:rsidP="000469EC">
            <w:pPr>
              <w:rPr>
                <w:b/>
                <w:sz w:val="18"/>
                <w:szCs w:val="18"/>
                <w:lang w:eastAsia="ja-JP"/>
              </w:rPr>
            </w:pPr>
          </w:p>
        </w:tc>
        <w:tc>
          <w:tcPr>
            <w:tcW w:w="4788" w:type="dxa"/>
          </w:tcPr>
          <w:p w14:paraId="5B83BAEE" w14:textId="77777777" w:rsidR="00DA0BB1" w:rsidRPr="00B563E2" w:rsidRDefault="00DA0BB1" w:rsidP="000469EC">
            <w:pPr>
              <w:rPr>
                <w:b/>
                <w:sz w:val="18"/>
                <w:szCs w:val="18"/>
                <w:lang w:eastAsia="ja-JP"/>
              </w:rPr>
            </w:pPr>
          </w:p>
        </w:tc>
      </w:tr>
      <w:tr w:rsidR="00DA0BB1" w14:paraId="1EB176C2" w14:textId="77777777" w:rsidTr="000469EC">
        <w:trPr>
          <w:jc w:val="center"/>
        </w:trPr>
        <w:tc>
          <w:tcPr>
            <w:tcW w:w="4788" w:type="dxa"/>
            <w:shd w:val="clear" w:color="auto" w:fill="D9D9D9" w:themeFill="background1" w:themeFillShade="D9"/>
          </w:tcPr>
          <w:p w14:paraId="10431752" w14:textId="77777777" w:rsidR="00DA0BB1" w:rsidRPr="00B563E2" w:rsidRDefault="00DA0BB1" w:rsidP="000469EC">
            <w:pPr>
              <w:rPr>
                <w:b/>
                <w:sz w:val="18"/>
                <w:szCs w:val="18"/>
                <w:lang w:eastAsia="ja-JP"/>
              </w:rPr>
            </w:pPr>
            <w:r w:rsidRPr="00B563E2">
              <w:rPr>
                <w:b/>
                <w:sz w:val="18"/>
                <w:szCs w:val="18"/>
                <w:lang w:eastAsia="ja-JP"/>
              </w:rPr>
              <w:t>Title</w:t>
            </w:r>
          </w:p>
        </w:tc>
        <w:tc>
          <w:tcPr>
            <w:tcW w:w="4788" w:type="dxa"/>
            <w:shd w:val="clear" w:color="auto" w:fill="D9D9D9" w:themeFill="background1" w:themeFillShade="D9"/>
          </w:tcPr>
          <w:p w14:paraId="78E25A5C" w14:textId="77777777" w:rsidR="00DA0BB1" w:rsidRPr="00B563E2" w:rsidRDefault="00DA0BB1" w:rsidP="000469EC">
            <w:pPr>
              <w:rPr>
                <w:b/>
                <w:sz w:val="18"/>
                <w:szCs w:val="18"/>
                <w:lang w:eastAsia="ja-JP"/>
              </w:rPr>
            </w:pPr>
            <w:r w:rsidRPr="00B563E2">
              <w:rPr>
                <w:b/>
                <w:sz w:val="18"/>
                <w:szCs w:val="18"/>
                <w:lang w:eastAsia="ja-JP"/>
              </w:rPr>
              <w:t>Title</w:t>
            </w:r>
          </w:p>
        </w:tc>
      </w:tr>
      <w:tr w:rsidR="00DA0BB1" w14:paraId="33B98DBF" w14:textId="77777777" w:rsidTr="000469EC">
        <w:trPr>
          <w:jc w:val="center"/>
        </w:trPr>
        <w:tc>
          <w:tcPr>
            <w:tcW w:w="4788" w:type="dxa"/>
          </w:tcPr>
          <w:p w14:paraId="1925A35B" w14:textId="77777777" w:rsidR="00DA0BB1" w:rsidRDefault="00DA0BB1" w:rsidP="000469EC">
            <w:pPr>
              <w:rPr>
                <w:b/>
                <w:sz w:val="18"/>
                <w:szCs w:val="18"/>
                <w:lang w:eastAsia="ja-JP"/>
              </w:rPr>
            </w:pPr>
          </w:p>
          <w:p w14:paraId="53F89A59" w14:textId="77777777" w:rsidR="00DA0BB1" w:rsidRPr="00B563E2" w:rsidRDefault="00DA0BB1" w:rsidP="000469EC">
            <w:pPr>
              <w:rPr>
                <w:b/>
                <w:sz w:val="18"/>
                <w:szCs w:val="18"/>
                <w:lang w:eastAsia="ja-JP"/>
              </w:rPr>
            </w:pPr>
          </w:p>
        </w:tc>
        <w:tc>
          <w:tcPr>
            <w:tcW w:w="4788" w:type="dxa"/>
          </w:tcPr>
          <w:p w14:paraId="03461C55" w14:textId="77777777" w:rsidR="00DA0BB1" w:rsidRPr="00B563E2" w:rsidRDefault="00DA0BB1" w:rsidP="000469EC">
            <w:pPr>
              <w:rPr>
                <w:b/>
                <w:sz w:val="18"/>
                <w:szCs w:val="18"/>
                <w:lang w:eastAsia="ja-JP"/>
              </w:rPr>
            </w:pPr>
          </w:p>
        </w:tc>
      </w:tr>
      <w:tr w:rsidR="00DA0BB1" w14:paraId="7E46C235" w14:textId="77777777" w:rsidTr="000469EC">
        <w:trPr>
          <w:jc w:val="center"/>
        </w:trPr>
        <w:tc>
          <w:tcPr>
            <w:tcW w:w="4788" w:type="dxa"/>
            <w:shd w:val="clear" w:color="auto" w:fill="D9D9D9" w:themeFill="background1" w:themeFillShade="D9"/>
          </w:tcPr>
          <w:p w14:paraId="707F99F3" w14:textId="77777777" w:rsidR="00DA0BB1" w:rsidRPr="00B563E2" w:rsidRDefault="00DA0BB1" w:rsidP="000469EC">
            <w:pPr>
              <w:rPr>
                <w:b/>
                <w:sz w:val="18"/>
                <w:szCs w:val="18"/>
                <w:lang w:eastAsia="ja-JP"/>
              </w:rPr>
            </w:pPr>
            <w:r w:rsidRPr="00B563E2">
              <w:rPr>
                <w:b/>
                <w:sz w:val="18"/>
                <w:szCs w:val="18"/>
                <w:lang w:eastAsia="ja-JP"/>
              </w:rPr>
              <w:t>Phone Number</w:t>
            </w:r>
          </w:p>
        </w:tc>
        <w:tc>
          <w:tcPr>
            <w:tcW w:w="4788" w:type="dxa"/>
            <w:shd w:val="clear" w:color="auto" w:fill="D9D9D9" w:themeFill="background1" w:themeFillShade="D9"/>
          </w:tcPr>
          <w:p w14:paraId="6A41EDA5" w14:textId="77777777" w:rsidR="00DA0BB1" w:rsidRPr="00B563E2" w:rsidRDefault="00DA0BB1" w:rsidP="000469EC">
            <w:pPr>
              <w:rPr>
                <w:b/>
                <w:sz w:val="18"/>
                <w:szCs w:val="18"/>
                <w:lang w:eastAsia="ja-JP"/>
              </w:rPr>
            </w:pPr>
            <w:r w:rsidRPr="00B563E2">
              <w:rPr>
                <w:b/>
                <w:sz w:val="18"/>
                <w:szCs w:val="18"/>
                <w:lang w:eastAsia="ja-JP"/>
              </w:rPr>
              <w:t>Phone Number</w:t>
            </w:r>
          </w:p>
        </w:tc>
      </w:tr>
      <w:tr w:rsidR="00DA0BB1" w14:paraId="4C3F5162" w14:textId="77777777" w:rsidTr="000469EC">
        <w:trPr>
          <w:jc w:val="center"/>
        </w:trPr>
        <w:tc>
          <w:tcPr>
            <w:tcW w:w="4788" w:type="dxa"/>
          </w:tcPr>
          <w:p w14:paraId="7B956156" w14:textId="77777777" w:rsidR="00DA0BB1" w:rsidRDefault="00DA0BB1" w:rsidP="000469EC">
            <w:pPr>
              <w:rPr>
                <w:b/>
                <w:sz w:val="18"/>
                <w:szCs w:val="18"/>
                <w:lang w:eastAsia="ja-JP"/>
              </w:rPr>
            </w:pPr>
          </w:p>
          <w:p w14:paraId="2CC42AA3" w14:textId="77777777" w:rsidR="00DA0BB1" w:rsidRPr="00B563E2" w:rsidRDefault="00DA0BB1" w:rsidP="000469EC">
            <w:pPr>
              <w:rPr>
                <w:b/>
                <w:sz w:val="18"/>
                <w:szCs w:val="18"/>
                <w:lang w:eastAsia="ja-JP"/>
              </w:rPr>
            </w:pPr>
          </w:p>
        </w:tc>
        <w:tc>
          <w:tcPr>
            <w:tcW w:w="4788" w:type="dxa"/>
          </w:tcPr>
          <w:p w14:paraId="7CA47592" w14:textId="77777777" w:rsidR="00DA0BB1" w:rsidRPr="00B563E2" w:rsidRDefault="00DA0BB1" w:rsidP="000469EC">
            <w:pPr>
              <w:rPr>
                <w:b/>
                <w:sz w:val="18"/>
                <w:szCs w:val="18"/>
                <w:lang w:eastAsia="ja-JP"/>
              </w:rPr>
            </w:pPr>
          </w:p>
        </w:tc>
      </w:tr>
      <w:tr w:rsidR="00DA0BB1" w14:paraId="2FBEECF9" w14:textId="77777777" w:rsidTr="000469EC">
        <w:trPr>
          <w:jc w:val="center"/>
        </w:trPr>
        <w:tc>
          <w:tcPr>
            <w:tcW w:w="4788" w:type="dxa"/>
            <w:shd w:val="clear" w:color="auto" w:fill="D9D9D9" w:themeFill="background1" w:themeFillShade="D9"/>
          </w:tcPr>
          <w:p w14:paraId="3421F372" w14:textId="77777777" w:rsidR="00DA0BB1" w:rsidRPr="00B563E2" w:rsidRDefault="00DA0BB1" w:rsidP="000469EC">
            <w:pPr>
              <w:rPr>
                <w:b/>
                <w:sz w:val="18"/>
                <w:szCs w:val="18"/>
                <w:lang w:eastAsia="ja-JP"/>
              </w:rPr>
            </w:pPr>
            <w:r w:rsidRPr="00B563E2">
              <w:rPr>
                <w:b/>
                <w:sz w:val="18"/>
                <w:szCs w:val="18"/>
                <w:lang w:eastAsia="ja-JP"/>
              </w:rPr>
              <w:t>Phone Number Extension</w:t>
            </w:r>
          </w:p>
        </w:tc>
        <w:tc>
          <w:tcPr>
            <w:tcW w:w="4788" w:type="dxa"/>
            <w:shd w:val="clear" w:color="auto" w:fill="D9D9D9" w:themeFill="background1" w:themeFillShade="D9"/>
          </w:tcPr>
          <w:p w14:paraId="158523E6" w14:textId="77777777" w:rsidR="00DA0BB1" w:rsidRPr="00B563E2" w:rsidRDefault="00DA0BB1" w:rsidP="000469EC">
            <w:pPr>
              <w:rPr>
                <w:b/>
                <w:sz w:val="18"/>
                <w:szCs w:val="18"/>
                <w:lang w:eastAsia="ja-JP"/>
              </w:rPr>
            </w:pPr>
            <w:r w:rsidRPr="00B563E2">
              <w:rPr>
                <w:b/>
                <w:sz w:val="18"/>
                <w:szCs w:val="18"/>
                <w:lang w:eastAsia="ja-JP"/>
              </w:rPr>
              <w:t>Phone Number Extension</w:t>
            </w:r>
          </w:p>
        </w:tc>
      </w:tr>
      <w:tr w:rsidR="00DA0BB1" w14:paraId="34D6E341" w14:textId="77777777" w:rsidTr="000469EC">
        <w:trPr>
          <w:jc w:val="center"/>
        </w:trPr>
        <w:tc>
          <w:tcPr>
            <w:tcW w:w="4788" w:type="dxa"/>
          </w:tcPr>
          <w:p w14:paraId="4A95CBB2" w14:textId="77777777" w:rsidR="00DA0BB1" w:rsidRDefault="00DA0BB1" w:rsidP="000469EC">
            <w:pPr>
              <w:rPr>
                <w:b/>
                <w:sz w:val="18"/>
                <w:szCs w:val="18"/>
                <w:lang w:eastAsia="ja-JP"/>
              </w:rPr>
            </w:pPr>
          </w:p>
          <w:p w14:paraId="6FB45130" w14:textId="77777777" w:rsidR="00DA0BB1" w:rsidRPr="00B563E2" w:rsidRDefault="00DA0BB1" w:rsidP="000469EC">
            <w:pPr>
              <w:rPr>
                <w:b/>
                <w:sz w:val="18"/>
                <w:szCs w:val="18"/>
                <w:lang w:eastAsia="ja-JP"/>
              </w:rPr>
            </w:pPr>
          </w:p>
        </w:tc>
        <w:tc>
          <w:tcPr>
            <w:tcW w:w="4788" w:type="dxa"/>
          </w:tcPr>
          <w:p w14:paraId="739BA35C" w14:textId="77777777" w:rsidR="00DA0BB1" w:rsidRPr="00B563E2" w:rsidRDefault="00DA0BB1" w:rsidP="000469EC">
            <w:pPr>
              <w:rPr>
                <w:b/>
                <w:sz w:val="18"/>
                <w:szCs w:val="18"/>
                <w:lang w:eastAsia="ja-JP"/>
              </w:rPr>
            </w:pPr>
          </w:p>
        </w:tc>
      </w:tr>
      <w:tr w:rsidR="00DA0BB1" w14:paraId="3C28D922" w14:textId="77777777" w:rsidTr="000469EC">
        <w:trPr>
          <w:jc w:val="center"/>
        </w:trPr>
        <w:tc>
          <w:tcPr>
            <w:tcW w:w="4788" w:type="dxa"/>
            <w:shd w:val="clear" w:color="auto" w:fill="D9D9D9" w:themeFill="background1" w:themeFillShade="D9"/>
          </w:tcPr>
          <w:p w14:paraId="32D8FE92" w14:textId="77777777" w:rsidR="00DA0BB1" w:rsidRPr="00B563E2" w:rsidRDefault="00DA0BB1" w:rsidP="000469EC">
            <w:pPr>
              <w:rPr>
                <w:b/>
                <w:sz w:val="18"/>
                <w:szCs w:val="18"/>
                <w:lang w:eastAsia="ja-JP"/>
              </w:rPr>
            </w:pPr>
            <w:r w:rsidRPr="00B563E2">
              <w:rPr>
                <w:b/>
                <w:sz w:val="18"/>
                <w:szCs w:val="18"/>
                <w:lang w:eastAsia="ja-JP"/>
              </w:rPr>
              <w:t>Email Address</w:t>
            </w:r>
          </w:p>
        </w:tc>
        <w:tc>
          <w:tcPr>
            <w:tcW w:w="4788" w:type="dxa"/>
            <w:shd w:val="clear" w:color="auto" w:fill="D9D9D9" w:themeFill="background1" w:themeFillShade="D9"/>
          </w:tcPr>
          <w:p w14:paraId="49AAE53B" w14:textId="77777777" w:rsidR="00DA0BB1" w:rsidRPr="00B563E2" w:rsidRDefault="00DA0BB1" w:rsidP="000469EC">
            <w:pPr>
              <w:rPr>
                <w:b/>
                <w:sz w:val="18"/>
                <w:szCs w:val="18"/>
                <w:lang w:eastAsia="ja-JP"/>
              </w:rPr>
            </w:pPr>
            <w:r w:rsidRPr="00B563E2">
              <w:rPr>
                <w:b/>
                <w:sz w:val="18"/>
                <w:szCs w:val="18"/>
                <w:lang w:eastAsia="ja-JP"/>
              </w:rPr>
              <w:t>Email Address</w:t>
            </w:r>
          </w:p>
        </w:tc>
      </w:tr>
      <w:tr w:rsidR="00DA0BB1" w14:paraId="03D890D5" w14:textId="77777777" w:rsidTr="000469EC">
        <w:trPr>
          <w:jc w:val="center"/>
        </w:trPr>
        <w:tc>
          <w:tcPr>
            <w:tcW w:w="4788" w:type="dxa"/>
          </w:tcPr>
          <w:p w14:paraId="061EB8E2" w14:textId="77777777" w:rsidR="00DA0BB1" w:rsidRDefault="00DA0BB1" w:rsidP="000469EC">
            <w:pPr>
              <w:rPr>
                <w:b/>
                <w:sz w:val="18"/>
                <w:szCs w:val="18"/>
                <w:lang w:eastAsia="ja-JP"/>
              </w:rPr>
            </w:pPr>
          </w:p>
          <w:p w14:paraId="63A76D2C" w14:textId="77777777" w:rsidR="00DA0BB1" w:rsidRPr="00B563E2" w:rsidRDefault="00DA0BB1" w:rsidP="000469EC">
            <w:pPr>
              <w:rPr>
                <w:b/>
                <w:sz w:val="18"/>
                <w:szCs w:val="18"/>
                <w:lang w:eastAsia="ja-JP"/>
              </w:rPr>
            </w:pPr>
          </w:p>
        </w:tc>
        <w:tc>
          <w:tcPr>
            <w:tcW w:w="4788" w:type="dxa"/>
          </w:tcPr>
          <w:p w14:paraId="29141E3B" w14:textId="77777777" w:rsidR="00DA0BB1" w:rsidRPr="00B563E2" w:rsidRDefault="00DA0BB1" w:rsidP="000469EC">
            <w:pPr>
              <w:rPr>
                <w:b/>
                <w:sz w:val="18"/>
                <w:szCs w:val="18"/>
                <w:lang w:eastAsia="ja-JP"/>
              </w:rPr>
            </w:pPr>
          </w:p>
        </w:tc>
      </w:tr>
    </w:tbl>
    <w:p w14:paraId="2638F53A" w14:textId="77777777" w:rsidR="00DA0BB1" w:rsidRDefault="00DA0BB1" w:rsidP="00EB41AD">
      <w:pPr>
        <w:rPr>
          <w:lang w:eastAsia="ja-JP"/>
        </w:rPr>
      </w:pPr>
    </w:p>
    <w:tbl>
      <w:tblPr>
        <w:tblStyle w:val="TableGrid"/>
        <w:tblW w:w="0" w:type="auto"/>
        <w:jc w:val="center"/>
        <w:tblLook w:val="04A0" w:firstRow="1" w:lastRow="0" w:firstColumn="1" w:lastColumn="0" w:noHBand="0" w:noVBand="1"/>
      </w:tblPr>
      <w:tblGrid>
        <w:gridCol w:w="4682"/>
        <w:gridCol w:w="4668"/>
      </w:tblGrid>
      <w:tr w:rsidR="00DA0BB1" w14:paraId="4136AEAC" w14:textId="77777777" w:rsidTr="00D9090F">
        <w:trPr>
          <w:jc w:val="center"/>
        </w:trPr>
        <w:tc>
          <w:tcPr>
            <w:tcW w:w="4682" w:type="dxa"/>
            <w:shd w:val="clear" w:color="auto" w:fill="D9D9D9" w:themeFill="background1" w:themeFillShade="D9"/>
          </w:tcPr>
          <w:p w14:paraId="72246E3C" w14:textId="77777777" w:rsidR="00DA0BB1" w:rsidRDefault="00DA0BB1" w:rsidP="000469EC">
            <w:pPr>
              <w:rPr>
                <w:b/>
                <w:sz w:val="18"/>
                <w:szCs w:val="18"/>
                <w:lang w:eastAsia="ja-JP"/>
              </w:rPr>
            </w:pPr>
            <w:r w:rsidRPr="00B563E2">
              <w:rPr>
                <w:b/>
                <w:sz w:val="18"/>
                <w:szCs w:val="18"/>
                <w:lang w:eastAsia="ja-JP"/>
              </w:rPr>
              <w:t xml:space="preserve">PR Contact </w:t>
            </w:r>
          </w:p>
          <w:p w14:paraId="7AA5EE87" w14:textId="77777777" w:rsidR="00DF794C" w:rsidRPr="00033FB4" w:rsidRDefault="00DF794C" w:rsidP="000469EC">
            <w:pPr>
              <w:rPr>
                <w:sz w:val="16"/>
                <w:szCs w:val="16"/>
                <w:lang w:eastAsia="ja-JP"/>
              </w:rPr>
            </w:pPr>
            <w:r w:rsidRPr="00033FB4">
              <w:rPr>
                <w:sz w:val="16"/>
                <w:szCs w:val="16"/>
                <w:lang w:eastAsia="ja-JP"/>
              </w:rPr>
              <w:t>(required for Top Hospital notification)</w:t>
            </w:r>
          </w:p>
        </w:tc>
        <w:tc>
          <w:tcPr>
            <w:tcW w:w="4668" w:type="dxa"/>
            <w:shd w:val="clear" w:color="auto" w:fill="D9D9D9" w:themeFill="background1" w:themeFillShade="D9"/>
          </w:tcPr>
          <w:p w14:paraId="4ABC9F43" w14:textId="77777777" w:rsidR="00DA0BB1" w:rsidRPr="00B563E2" w:rsidRDefault="00DA0BB1" w:rsidP="000469EC">
            <w:pPr>
              <w:rPr>
                <w:b/>
                <w:sz w:val="18"/>
                <w:szCs w:val="18"/>
                <w:lang w:eastAsia="ja-JP"/>
              </w:rPr>
            </w:pPr>
            <w:r w:rsidRPr="00B563E2">
              <w:rPr>
                <w:b/>
                <w:sz w:val="18"/>
                <w:szCs w:val="18"/>
                <w:lang w:eastAsia="ja-JP"/>
              </w:rPr>
              <w:t>Health System Information</w:t>
            </w:r>
          </w:p>
        </w:tc>
      </w:tr>
      <w:tr w:rsidR="00DA0BB1" w14:paraId="0B93C3C7" w14:textId="77777777" w:rsidTr="00D9090F">
        <w:trPr>
          <w:jc w:val="center"/>
        </w:trPr>
        <w:tc>
          <w:tcPr>
            <w:tcW w:w="4682" w:type="dxa"/>
            <w:shd w:val="clear" w:color="auto" w:fill="D9D9D9" w:themeFill="background1" w:themeFillShade="D9"/>
          </w:tcPr>
          <w:p w14:paraId="69D7D473" w14:textId="77777777" w:rsidR="00DA0BB1" w:rsidRPr="00B563E2" w:rsidRDefault="00DA0BB1" w:rsidP="000469EC">
            <w:pPr>
              <w:rPr>
                <w:b/>
                <w:sz w:val="18"/>
                <w:szCs w:val="18"/>
                <w:lang w:eastAsia="ja-JP"/>
              </w:rPr>
            </w:pPr>
            <w:r w:rsidRPr="00B563E2">
              <w:rPr>
                <w:b/>
                <w:sz w:val="18"/>
                <w:szCs w:val="18"/>
                <w:lang w:eastAsia="ja-JP"/>
              </w:rPr>
              <w:t>First Name</w:t>
            </w:r>
          </w:p>
        </w:tc>
        <w:tc>
          <w:tcPr>
            <w:tcW w:w="4668" w:type="dxa"/>
            <w:shd w:val="clear" w:color="auto" w:fill="D9D9D9" w:themeFill="background1" w:themeFillShade="D9"/>
          </w:tcPr>
          <w:p w14:paraId="17FE230F" w14:textId="77777777" w:rsidR="00DA0BB1" w:rsidRPr="00B563E2" w:rsidRDefault="00DA0BB1" w:rsidP="000469EC">
            <w:pPr>
              <w:rPr>
                <w:b/>
                <w:sz w:val="18"/>
                <w:szCs w:val="18"/>
                <w:lang w:eastAsia="ja-JP"/>
              </w:rPr>
            </w:pPr>
            <w:r w:rsidRPr="00B563E2">
              <w:rPr>
                <w:b/>
                <w:sz w:val="18"/>
                <w:szCs w:val="18"/>
                <w:lang w:eastAsia="ja-JP"/>
              </w:rPr>
              <w:t>Is this hospital part of a healthcare system or Integrated Delivery Network?</w:t>
            </w:r>
          </w:p>
        </w:tc>
      </w:tr>
      <w:tr w:rsidR="00DA0BB1" w14:paraId="43C35C02" w14:textId="77777777" w:rsidTr="00D9090F">
        <w:trPr>
          <w:jc w:val="center"/>
        </w:trPr>
        <w:tc>
          <w:tcPr>
            <w:tcW w:w="4682" w:type="dxa"/>
          </w:tcPr>
          <w:p w14:paraId="3ECA6E27" w14:textId="77777777" w:rsidR="00DA0BB1" w:rsidRPr="00B563E2" w:rsidRDefault="00DA0BB1" w:rsidP="000469EC">
            <w:pPr>
              <w:rPr>
                <w:b/>
                <w:sz w:val="18"/>
                <w:szCs w:val="18"/>
                <w:lang w:eastAsia="ja-JP"/>
              </w:rPr>
            </w:pPr>
          </w:p>
        </w:tc>
        <w:tc>
          <w:tcPr>
            <w:tcW w:w="4668" w:type="dxa"/>
          </w:tcPr>
          <w:p w14:paraId="76F0A53B" w14:textId="77777777" w:rsidR="00DA0BB1" w:rsidRPr="00B563E2" w:rsidRDefault="00DA0BB1" w:rsidP="000469EC">
            <w:pPr>
              <w:rPr>
                <w:sz w:val="18"/>
                <w:szCs w:val="18"/>
                <w:lang w:eastAsia="ja-JP"/>
              </w:rPr>
            </w:pPr>
            <w:r w:rsidRPr="00B563E2">
              <w:rPr>
                <w:sz w:val="18"/>
                <w:szCs w:val="18"/>
                <w:lang w:eastAsia="ja-JP"/>
              </w:rPr>
              <w:sym w:font="Wingdings" w:char="F06F"/>
            </w:r>
            <w:r w:rsidRPr="00B563E2">
              <w:rPr>
                <w:sz w:val="18"/>
                <w:szCs w:val="18"/>
                <w:lang w:eastAsia="ja-JP"/>
              </w:rPr>
              <w:t xml:space="preserve"> Yes</w:t>
            </w:r>
          </w:p>
          <w:p w14:paraId="08FFCB30" w14:textId="77777777" w:rsidR="00DA0BB1" w:rsidRPr="00B563E2" w:rsidRDefault="00DA0BB1" w:rsidP="000469EC">
            <w:pPr>
              <w:rPr>
                <w:sz w:val="18"/>
                <w:szCs w:val="18"/>
                <w:lang w:eastAsia="ja-JP"/>
              </w:rPr>
            </w:pPr>
            <w:r w:rsidRPr="00B563E2">
              <w:rPr>
                <w:sz w:val="18"/>
                <w:szCs w:val="18"/>
                <w:lang w:eastAsia="ja-JP"/>
              </w:rPr>
              <w:sym w:font="Wingdings" w:char="F06F"/>
            </w:r>
            <w:r w:rsidRPr="00B563E2">
              <w:rPr>
                <w:sz w:val="18"/>
                <w:szCs w:val="18"/>
                <w:lang w:eastAsia="ja-JP"/>
              </w:rPr>
              <w:t xml:space="preserve"> No</w:t>
            </w:r>
          </w:p>
          <w:p w14:paraId="5822A290" w14:textId="77777777" w:rsidR="00DA0BB1" w:rsidRPr="00B563E2" w:rsidRDefault="00DA0BB1" w:rsidP="000469EC">
            <w:pPr>
              <w:rPr>
                <w:sz w:val="18"/>
                <w:szCs w:val="18"/>
                <w:lang w:eastAsia="ja-JP"/>
              </w:rPr>
            </w:pPr>
            <w:r w:rsidRPr="00B563E2">
              <w:rPr>
                <w:sz w:val="18"/>
                <w:szCs w:val="18"/>
                <w:lang w:eastAsia="ja-JP"/>
              </w:rPr>
              <w:t>If yes, provide contact information.</w:t>
            </w:r>
          </w:p>
        </w:tc>
      </w:tr>
      <w:tr w:rsidR="00DA0BB1" w14:paraId="6F802218" w14:textId="77777777" w:rsidTr="00D9090F">
        <w:trPr>
          <w:jc w:val="center"/>
        </w:trPr>
        <w:tc>
          <w:tcPr>
            <w:tcW w:w="4682" w:type="dxa"/>
            <w:shd w:val="clear" w:color="auto" w:fill="D9D9D9" w:themeFill="background1" w:themeFillShade="D9"/>
          </w:tcPr>
          <w:p w14:paraId="38AD8F92" w14:textId="77777777" w:rsidR="00DA0BB1" w:rsidRPr="00B563E2" w:rsidRDefault="00DA0BB1" w:rsidP="000469EC">
            <w:pPr>
              <w:rPr>
                <w:b/>
                <w:sz w:val="18"/>
                <w:szCs w:val="18"/>
                <w:lang w:eastAsia="ja-JP"/>
              </w:rPr>
            </w:pPr>
            <w:r w:rsidRPr="00B563E2">
              <w:rPr>
                <w:b/>
                <w:sz w:val="18"/>
                <w:szCs w:val="18"/>
                <w:lang w:eastAsia="ja-JP"/>
              </w:rPr>
              <w:t>Last Name</w:t>
            </w:r>
          </w:p>
        </w:tc>
        <w:tc>
          <w:tcPr>
            <w:tcW w:w="4668" w:type="dxa"/>
            <w:shd w:val="clear" w:color="auto" w:fill="D9D9D9" w:themeFill="background1" w:themeFillShade="D9"/>
          </w:tcPr>
          <w:p w14:paraId="75699B85" w14:textId="77777777" w:rsidR="00DA0BB1" w:rsidRPr="00B563E2" w:rsidRDefault="00B06977" w:rsidP="000469EC">
            <w:pPr>
              <w:rPr>
                <w:b/>
                <w:sz w:val="18"/>
                <w:szCs w:val="18"/>
                <w:lang w:eastAsia="ja-JP"/>
              </w:rPr>
            </w:pPr>
            <w:r>
              <w:rPr>
                <w:b/>
                <w:sz w:val="18"/>
                <w:szCs w:val="18"/>
                <w:lang w:eastAsia="ja-JP"/>
              </w:rPr>
              <w:t>N</w:t>
            </w:r>
            <w:r w:rsidRPr="00B06977">
              <w:rPr>
                <w:b/>
                <w:sz w:val="18"/>
                <w:szCs w:val="18"/>
                <w:lang w:eastAsia="ja-JP"/>
              </w:rPr>
              <w:t>ame of the healthcare system or Integrated Delivery Network</w:t>
            </w:r>
          </w:p>
        </w:tc>
      </w:tr>
      <w:tr w:rsidR="00DA0BB1" w14:paraId="2385DC53" w14:textId="77777777" w:rsidTr="00D9090F">
        <w:trPr>
          <w:jc w:val="center"/>
        </w:trPr>
        <w:tc>
          <w:tcPr>
            <w:tcW w:w="4682" w:type="dxa"/>
          </w:tcPr>
          <w:p w14:paraId="21A8D866" w14:textId="77777777" w:rsidR="00DA0BB1" w:rsidRDefault="00DA0BB1" w:rsidP="000469EC">
            <w:pPr>
              <w:rPr>
                <w:b/>
                <w:sz w:val="18"/>
                <w:szCs w:val="18"/>
                <w:lang w:eastAsia="ja-JP"/>
              </w:rPr>
            </w:pPr>
          </w:p>
          <w:p w14:paraId="65828743" w14:textId="77777777" w:rsidR="00DA0BB1" w:rsidRPr="00B563E2" w:rsidRDefault="00DA0BB1" w:rsidP="000469EC">
            <w:pPr>
              <w:rPr>
                <w:b/>
                <w:sz w:val="18"/>
                <w:szCs w:val="18"/>
                <w:lang w:eastAsia="ja-JP"/>
              </w:rPr>
            </w:pPr>
          </w:p>
        </w:tc>
        <w:tc>
          <w:tcPr>
            <w:tcW w:w="4668" w:type="dxa"/>
          </w:tcPr>
          <w:p w14:paraId="5B8BF6BF" w14:textId="77777777" w:rsidR="00DA0BB1" w:rsidRPr="00B563E2" w:rsidRDefault="00DA0BB1" w:rsidP="000469EC">
            <w:pPr>
              <w:rPr>
                <w:b/>
                <w:sz w:val="18"/>
                <w:szCs w:val="18"/>
                <w:lang w:eastAsia="ja-JP"/>
              </w:rPr>
            </w:pPr>
          </w:p>
        </w:tc>
      </w:tr>
      <w:tr w:rsidR="00DA0BB1" w14:paraId="15030D86" w14:textId="77777777" w:rsidTr="00D9090F">
        <w:trPr>
          <w:jc w:val="center"/>
        </w:trPr>
        <w:tc>
          <w:tcPr>
            <w:tcW w:w="4682" w:type="dxa"/>
            <w:shd w:val="clear" w:color="auto" w:fill="D9D9D9" w:themeFill="background1" w:themeFillShade="D9"/>
          </w:tcPr>
          <w:p w14:paraId="616214F2" w14:textId="77777777" w:rsidR="00DA0BB1" w:rsidRPr="00B563E2" w:rsidRDefault="00DA0BB1" w:rsidP="000469EC">
            <w:pPr>
              <w:rPr>
                <w:b/>
                <w:sz w:val="18"/>
                <w:szCs w:val="18"/>
                <w:lang w:eastAsia="ja-JP"/>
              </w:rPr>
            </w:pPr>
            <w:r w:rsidRPr="00B563E2">
              <w:rPr>
                <w:b/>
                <w:sz w:val="18"/>
                <w:szCs w:val="18"/>
                <w:lang w:eastAsia="ja-JP"/>
              </w:rPr>
              <w:t>Phone Number</w:t>
            </w:r>
          </w:p>
        </w:tc>
        <w:tc>
          <w:tcPr>
            <w:tcW w:w="4668" w:type="dxa"/>
            <w:shd w:val="clear" w:color="auto" w:fill="D9D9D9" w:themeFill="background1" w:themeFillShade="D9"/>
          </w:tcPr>
          <w:p w14:paraId="0ACA7BFB" w14:textId="4DB41AA4" w:rsidR="00DA0BB1" w:rsidRPr="00B563E2" w:rsidRDefault="00D9090F" w:rsidP="000469EC">
            <w:pPr>
              <w:rPr>
                <w:b/>
                <w:sz w:val="18"/>
                <w:szCs w:val="18"/>
                <w:lang w:eastAsia="ja-JP"/>
              </w:rPr>
            </w:pPr>
            <w:r>
              <w:rPr>
                <w:b/>
                <w:sz w:val="18"/>
                <w:szCs w:val="18"/>
                <w:lang w:eastAsia="ja-JP"/>
              </w:rPr>
              <w:t>System Contact First Name</w:t>
            </w:r>
          </w:p>
        </w:tc>
      </w:tr>
      <w:tr w:rsidR="00DA0BB1" w14:paraId="687FA9EF" w14:textId="77777777" w:rsidTr="00D9090F">
        <w:trPr>
          <w:jc w:val="center"/>
        </w:trPr>
        <w:tc>
          <w:tcPr>
            <w:tcW w:w="4682" w:type="dxa"/>
          </w:tcPr>
          <w:p w14:paraId="312A9024" w14:textId="77777777" w:rsidR="00DA0BB1" w:rsidRDefault="00DA0BB1" w:rsidP="000469EC">
            <w:pPr>
              <w:rPr>
                <w:b/>
                <w:sz w:val="18"/>
                <w:szCs w:val="18"/>
                <w:lang w:eastAsia="ja-JP"/>
              </w:rPr>
            </w:pPr>
          </w:p>
          <w:p w14:paraId="48E89356" w14:textId="77777777" w:rsidR="00DA0BB1" w:rsidRPr="00B563E2" w:rsidRDefault="00DA0BB1" w:rsidP="000469EC">
            <w:pPr>
              <w:rPr>
                <w:b/>
                <w:sz w:val="18"/>
                <w:szCs w:val="18"/>
                <w:lang w:eastAsia="ja-JP"/>
              </w:rPr>
            </w:pPr>
          </w:p>
        </w:tc>
        <w:tc>
          <w:tcPr>
            <w:tcW w:w="4668" w:type="dxa"/>
            <w:tcBorders>
              <w:bottom w:val="single" w:sz="4" w:space="0" w:color="auto"/>
            </w:tcBorders>
          </w:tcPr>
          <w:p w14:paraId="1D69376A" w14:textId="77777777" w:rsidR="00DA0BB1" w:rsidRPr="00B563E2" w:rsidRDefault="00DA0BB1" w:rsidP="000469EC">
            <w:pPr>
              <w:rPr>
                <w:b/>
                <w:sz w:val="18"/>
                <w:szCs w:val="18"/>
                <w:lang w:eastAsia="ja-JP"/>
              </w:rPr>
            </w:pPr>
          </w:p>
        </w:tc>
      </w:tr>
      <w:tr w:rsidR="00DA0BB1" w14:paraId="23E8440C" w14:textId="77777777" w:rsidTr="00D9090F">
        <w:trPr>
          <w:jc w:val="center"/>
        </w:trPr>
        <w:tc>
          <w:tcPr>
            <w:tcW w:w="4682" w:type="dxa"/>
            <w:tcBorders>
              <w:bottom w:val="single" w:sz="4" w:space="0" w:color="auto"/>
            </w:tcBorders>
            <w:shd w:val="clear" w:color="auto" w:fill="D9D9D9" w:themeFill="background1" w:themeFillShade="D9"/>
          </w:tcPr>
          <w:p w14:paraId="04A71A28" w14:textId="77777777" w:rsidR="00DA0BB1" w:rsidRPr="00B563E2" w:rsidRDefault="00DA0BB1" w:rsidP="000469EC">
            <w:pPr>
              <w:rPr>
                <w:b/>
                <w:sz w:val="18"/>
                <w:szCs w:val="18"/>
                <w:lang w:eastAsia="ja-JP"/>
              </w:rPr>
            </w:pPr>
            <w:r w:rsidRPr="00B563E2">
              <w:rPr>
                <w:b/>
                <w:sz w:val="18"/>
                <w:szCs w:val="18"/>
                <w:lang w:eastAsia="ja-JP"/>
              </w:rPr>
              <w:t>Phone Number Extension</w:t>
            </w:r>
          </w:p>
        </w:tc>
        <w:tc>
          <w:tcPr>
            <w:tcW w:w="4668" w:type="dxa"/>
            <w:shd w:val="clear" w:color="auto" w:fill="D9D9D9" w:themeFill="background1" w:themeFillShade="D9"/>
          </w:tcPr>
          <w:p w14:paraId="19A32C54" w14:textId="116EDF6C" w:rsidR="00DA0BB1" w:rsidRPr="00B563E2" w:rsidRDefault="00D9090F" w:rsidP="000469EC">
            <w:pPr>
              <w:rPr>
                <w:b/>
                <w:sz w:val="18"/>
                <w:szCs w:val="18"/>
                <w:lang w:eastAsia="ja-JP"/>
              </w:rPr>
            </w:pPr>
            <w:r>
              <w:rPr>
                <w:b/>
                <w:sz w:val="18"/>
                <w:szCs w:val="18"/>
                <w:lang w:eastAsia="ja-JP"/>
              </w:rPr>
              <w:t xml:space="preserve">System Contact </w:t>
            </w:r>
            <w:r w:rsidR="00B06977" w:rsidRPr="00B563E2">
              <w:rPr>
                <w:b/>
                <w:sz w:val="18"/>
                <w:szCs w:val="18"/>
                <w:lang w:eastAsia="ja-JP"/>
              </w:rPr>
              <w:t>Last Name</w:t>
            </w:r>
          </w:p>
        </w:tc>
      </w:tr>
      <w:tr w:rsidR="00DA0BB1" w14:paraId="4788C59F" w14:textId="77777777" w:rsidTr="00D9090F">
        <w:trPr>
          <w:jc w:val="center"/>
        </w:trPr>
        <w:tc>
          <w:tcPr>
            <w:tcW w:w="4682" w:type="dxa"/>
          </w:tcPr>
          <w:p w14:paraId="2087364F" w14:textId="77777777" w:rsidR="00DA0BB1" w:rsidRDefault="00DA0BB1" w:rsidP="000469EC">
            <w:pPr>
              <w:rPr>
                <w:b/>
                <w:sz w:val="18"/>
                <w:szCs w:val="18"/>
                <w:lang w:eastAsia="ja-JP"/>
              </w:rPr>
            </w:pPr>
          </w:p>
          <w:p w14:paraId="7E3B4625" w14:textId="77777777" w:rsidR="00DA0BB1" w:rsidRPr="00B563E2" w:rsidRDefault="00DA0BB1" w:rsidP="000469EC">
            <w:pPr>
              <w:rPr>
                <w:b/>
                <w:sz w:val="18"/>
                <w:szCs w:val="18"/>
                <w:lang w:eastAsia="ja-JP"/>
              </w:rPr>
            </w:pPr>
          </w:p>
        </w:tc>
        <w:tc>
          <w:tcPr>
            <w:tcW w:w="4668" w:type="dxa"/>
            <w:tcBorders>
              <w:bottom w:val="single" w:sz="4" w:space="0" w:color="auto"/>
            </w:tcBorders>
          </w:tcPr>
          <w:p w14:paraId="42FEE44A" w14:textId="77777777" w:rsidR="00DA0BB1" w:rsidRPr="00B563E2" w:rsidRDefault="00DA0BB1" w:rsidP="000469EC">
            <w:pPr>
              <w:rPr>
                <w:b/>
                <w:sz w:val="18"/>
                <w:szCs w:val="18"/>
                <w:lang w:eastAsia="ja-JP"/>
              </w:rPr>
            </w:pPr>
          </w:p>
        </w:tc>
      </w:tr>
      <w:tr w:rsidR="00DA0BB1" w14:paraId="0D985DA6" w14:textId="77777777" w:rsidTr="00D9090F">
        <w:trPr>
          <w:jc w:val="center"/>
        </w:trPr>
        <w:tc>
          <w:tcPr>
            <w:tcW w:w="4682" w:type="dxa"/>
            <w:tcBorders>
              <w:right w:val="single" w:sz="4" w:space="0" w:color="auto"/>
            </w:tcBorders>
            <w:shd w:val="clear" w:color="auto" w:fill="D9D9D9" w:themeFill="background1" w:themeFillShade="D9"/>
          </w:tcPr>
          <w:p w14:paraId="65123D53" w14:textId="77777777" w:rsidR="00DA0BB1" w:rsidRPr="00B563E2" w:rsidRDefault="00DA0BB1" w:rsidP="000469EC">
            <w:pPr>
              <w:rPr>
                <w:b/>
                <w:sz w:val="18"/>
                <w:szCs w:val="18"/>
                <w:lang w:eastAsia="ja-JP"/>
              </w:rPr>
            </w:pPr>
            <w:r w:rsidRPr="00B563E2">
              <w:rPr>
                <w:b/>
                <w:sz w:val="18"/>
                <w:szCs w:val="18"/>
                <w:lang w:eastAsia="ja-JP"/>
              </w:rPr>
              <w:t>Email Address</w:t>
            </w:r>
          </w:p>
        </w:tc>
        <w:tc>
          <w:tcPr>
            <w:tcW w:w="4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78DD2" w14:textId="657DDD8A" w:rsidR="00DA0BB1" w:rsidRPr="00B563E2" w:rsidRDefault="00D9090F" w:rsidP="000469EC">
            <w:pPr>
              <w:rPr>
                <w:b/>
                <w:sz w:val="18"/>
                <w:szCs w:val="18"/>
                <w:lang w:eastAsia="ja-JP"/>
              </w:rPr>
            </w:pPr>
            <w:r>
              <w:rPr>
                <w:b/>
                <w:sz w:val="18"/>
                <w:szCs w:val="18"/>
                <w:lang w:eastAsia="ja-JP"/>
              </w:rPr>
              <w:t xml:space="preserve">System Contact </w:t>
            </w:r>
            <w:r w:rsidR="00B06977" w:rsidRPr="00B563E2">
              <w:rPr>
                <w:b/>
                <w:sz w:val="18"/>
                <w:szCs w:val="18"/>
                <w:lang w:eastAsia="ja-JP"/>
              </w:rPr>
              <w:t>Email Address</w:t>
            </w:r>
          </w:p>
        </w:tc>
      </w:tr>
      <w:tr w:rsidR="00DA0BB1" w14:paraId="6F1982A8" w14:textId="77777777" w:rsidTr="00D9090F">
        <w:trPr>
          <w:jc w:val="center"/>
        </w:trPr>
        <w:tc>
          <w:tcPr>
            <w:tcW w:w="4682" w:type="dxa"/>
            <w:tcBorders>
              <w:right w:val="single" w:sz="4" w:space="0" w:color="auto"/>
            </w:tcBorders>
          </w:tcPr>
          <w:p w14:paraId="294D712A" w14:textId="77777777" w:rsidR="00DA0BB1" w:rsidRDefault="00DA0BB1" w:rsidP="000469EC">
            <w:pPr>
              <w:rPr>
                <w:b/>
                <w:sz w:val="18"/>
                <w:szCs w:val="18"/>
                <w:lang w:eastAsia="ja-JP"/>
              </w:rPr>
            </w:pPr>
          </w:p>
          <w:p w14:paraId="1AFB1327" w14:textId="77777777" w:rsidR="00DA0BB1" w:rsidRPr="00B563E2" w:rsidRDefault="00DA0BB1" w:rsidP="000469EC">
            <w:pPr>
              <w:rPr>
                <w:b/>
                <w:sz w:val="18"/>
                <w:szCs w:val="18"/>
                <w:lang w:eastAsia="ja-JP"/>
              </w:rPr>
            </w:pPr>
          </w:p>
        </w:tc>
        <w:tc>
          <w:tcPr>
            <w:tcW w:w="4668" w:type="dxa"/>
            <w:tcBorders>
              <w:top w:val="single" w:sz="4" w:space="0" w:color="auto"/>
              <w:left w:val="single" w:sz="4" w:space="0" w:color="auto"/>
              <w:bottom w:val="single" w:sz="4" w:space="0" w:color="auto"/>
              <w:right w:val="single" w:sz="4" w:space="0" w:color="auto"/>
            </w:tcBorders>
          </w:tcPr>
          <w:p w14:paraId="2D1A902B" w14:textId="77777777" w:rsidR="00DA0BB1" w:rsidRPr="00B563E2" w:rsidRDefault="00DA0BB1" w:rsidP="000469EC">
            <w:pPr>
              <w:rPr>
                <w:b/>
                <w:sz w:val="18"/>
                <w:szCs w:val="18"/>
                <w:lang w:eastAsia="ja-JP"/>
              </w:rPr>
            </w:pPr>
          </w:p>
        </w:tc>
      </w:tr>
      <w:tr w:rsidR="001550B8" w14:paraId="27C27DB2" w14:textId="77777777" w:rsidTr="00C31AC3">
        <w:trPr>
          <w:jc w:val="center"/>
        </w:trPr>
        <w:tc>
          <w:tcPr>
            <w:tcW w:w="9350" w:type="dxa"/>
            <w:gridSpan w:val="2"/>
            <w:tcBorders>
              <w:right w:val="single" w:sz="4" w:space="0" w:color="auto"/>
            </w:tcBorders>
            <w:shd w:val="clear" w:color="auto" w:fill="D9D9D9" w:themeFill="background1" w:themeFillShade="D9"/>
          </w:tcPr>
          <w:p w14:paraId="6B468E3B" w14:textId="0CCB4FAB" w:rsidR="001550B8" w:rsidRDefault="001550B8" w:rsidP="000469EC">
            <w:pPr>
              <w:rPr>
                <w:b/>
                <w:sz w:val="18"/>
                <w:szCs w:val="18"/>
                <w:lang w:eastAsia="ja-JP"/>
              </w:rPr>
            </w:pPr>
            <w:r>
              <w:rPr>
                <w:b/>
                <w:sz w:val="18"/>
                <w:szCs w:val="18"/>
                <w:lang w:eastAsia="ja-JP"/>
              </w:rPr>
              <w:t xml:space="preserve">Additional Contact Information </w:t>
            </w:r>
          </w:p>
          <w:p w14:paraId="37E35862" w14:textId="6B0CF602" w:rsidR="001550B8" w:rsidRPr="00B563E2" w:rsidRDefault="001550B8" w:rsidP="000469EC">
            <w:pPr>
              <w:rPr>
                <w:b/>
                <w:sz w:val="18"/>
                <w:szCs w:val="18"/>
                <w:lang w:eastAsia="ja-JP"/>
              </w:rPr>
            </w:pPr>
            <w:r w:rsidRPr="00033FB4">
              <w:rPr>
                <w:sz w:val="16"/>
                <w:szCs w:val="16"/>
                <w:lang w:eastAsia="ja-JP"/>
              </w:rPr>
              <w:t xml:space="preserve">Please provide the email address for your hospital’s general inbox (e.g. </w:t>
            </w:r>
            <w:hyperlink r:id="rId59" w:history="1">
              <w:r w:rsidRPr="00033FB4">
                <w:rPr>
                  <w:rStyle w:val="Hyperlink"/>
                  <w:sz w:val="16"/>
                  <w:szCs w:val="16"/>
                  <w:lang w:eastAsia="ja-JP"/>
                </w:rPr>
                <w:t>info@hospital.com</w:t>
              </w:r>
            </w:hyperlink>
            <w:r w:rsidRPr="00033FB4">
              <w:rPr>
                <w:sz w:val="16"/>
                <w:szCs w:val="16"/>
                <w:lang w:eastAsia="ja-JP"/>
              </w:rPr>
              <w:t>). This will be used on the Leapfrog Hospital Results website for patients and consumers to provide feedback directly to your hospitals.</w:t>
            </w:r>
          </w:p>
        </w:tc>
      </w:tr>
      <w:tr w:rsidR="001550B8" w14:paraId="038EB575" w14:textId="77777777" w:rsidTr="001550B8">
        <w:trPr>
          <w:jc w:val="center"/>
        </w:trPr>
        <w:tc>
          <w:tcPr>
            <w:tcW w:w="9350" w:type="dxa"/>
            <w:gridSpan w:val="2"/>
            <w:tcBorders>
              <w:right w:val="single" w:sz="4" w:space="0" w:color="auto"/>
            </w:tcBorders>
            <w:shd w:val="clear" w:color="auto" w:fill="auto"/>
          </w:tcPr>
          <w:p w14:paraId="6EBC0BB0" w14:textId="77777777" w:rsidR="001550B8" w:rsidRDefault="001550B8" w:rsidP="00D9090F">
            <w:pPr>
              <w:rPr>
                <w:b/>
                <w:sz w:val="18"/>
                <w:szCs w:val="18"/>
                <w:lang w:eastAsia="ja-JP"/>
              </w:rPr>
            </w:pPr>
          </w:p>
          <w:p w14:paraId="6B930E0B" w14:textId="77777777" w:rsidR="001550B8" w:rsidRDefault="001550B8" w:rsidP="00D9090F">
            <w:pPr>
              <w:rPr>
                <w:b/>
                <w:sz w:val="18"/>
                <w:szCs w:val="18"/>
                <w:lang w:eastAsia="ja-JP"/>
              </w:rPr>
            </w:pPr>
          </w:p>
        </w:tc>
      </w:tr>
    </w:tbl>
    <w:p w14:paraId="595761B7" w14:textId="3352AF57" w:rsidR="00A437A9" w:rsidRDefault="00A437A9">
      <w:pPr>
        <w:sectPr w:rsidR="00A437A9" w:rsidSect="008733FC">
          <w:headerReference w:type="default" r:id="rId60"/>
          <w:endnotePr>
            <w:numFmt w:val="decimal"/>
          </w:endnotePr>
          <w:type w:val="continuous"/>
          <w:pgSz w:w="12240" w:h="15840"/>
          <w:pgMar w:top="1080" w:right="1440" w:bottom="1080" w:left="1440" w:header="720" w:footer="720" w:gutter="0"/>
          <w:cols w:space="720"/>
          <w:docGrid w:linePitch="272"/>
        </w:sectPr>
      </w:pPr>
    </w:p>
    <w:p w14:paraId="0B40B4C4" w14:textId="436DE95C" w:rsidR="00A437A9" w:rsidRDefault="00A437A9"/>
    <w:p w14:paraId="16349D85" w14:textId="77777777" w:rsidR="00A437A9" w:rsidRPr="00A437A9" w:rsidRDefault="00A437A9" w:rsidP="00A437A9"/>
    <w:p w14:paraId="3C70EDE3" w14:textId="68BEE00C" w:rsidR="00A437A9" w:rsidRPr="00A437A9" w:rsidRDefault="00A437A9" w:rsidP="00A437A9">
      <w:pPr>
        <w:jc w:val="center"/>
        <w:rPr>
          <w:b/>
          <w:sz w:val="40"/>
          <w:szCs w:val="40"/>
        </w:rPr>
      </w:pPr>
      <w:r w:rsidRPr="00A437A9">
        <w:rPr>
          <w:b/>
          <w:color w:val="A6A6A6" w:themeColor="background1" w:themeShade="A6"/>
          <w:sz w:val="40"/>
          <w:szCs w:val="40"/>
        </w:rPr>
        <w:t>Page Intentionally Left Blank</w:t>
      </w:r>
    </w:p>
    <w:p w14:paraId="15D60719" w14:textId="77777777" w:rsidR="00A437A9" w:rsidRPr="00A437A9" w:rsidRDefault="00A437A9" w:rsidP="00A437A9"/>
    <w:p w14:paraId="6A9E57FE" w14:textId="4EDB0BA5" w:rsidR="00A437A9" w:rsidRDefault="00A437A9" w:rsidP="00A437A9"/>
    <w:p w14:paraId="445A904F" w14:textId="615EF898" w:rsidR="00A437A9" w:rsidRDefault="00A437A9" w:rsidP="00A437A9"/>
    <w:p w14:paraId="1373CD84" w14:textId="5CA002D0" w:rsidR="00A437A9" w:rsidRPr="00A437A9" w:rsidRDefault="00A437A9" w:rsidP="00A437A9">
      <w:pPr>
        <w:tabs>
          <w:tab w:val="center" w:pos="4680"/>
        </w:tabs>
        <w:sectPr w:rsidR="00A437A9" w:rsidRPr="00A437A9" w:rsidSect="00A437A9">
          <w:headerReference w:type="default" r:id="rId61"/>
          <w:endnotePr>
            <w:numFmt w:val="decimal"/>
          </w:endnotePr>
          <w:pgSz w:w="12240" w:h="15840"/>
          <w:pgMar w:top="1080" w:right="1440" w:bottom="1080" w:left="1440" w:header="720" w:footer="720" w:gutter="0"/>
          <w:cols w:space="720"/>
          <w:docGrid w:linePitch="272"/>
        </w:sectPr>
      </w:pPr>
      <w:r>
        <w:tab/>
      </w:r>
    </w:p>
    <w:p w14:paraId="24D1AF21" w14:textId="551E6CCC" w:rsidR="00A437A9" w:rsidRDefault="00A437A9">
      <w:pPr>
        <w:rPr>
          <w:b/>
          <w:snapToGrid w:val="0"/>
          <w:sz w:val="40"/>
          <w:szCs w:val="40"/>
          <w:lang w:eastAsia="ja-JP"/>
        </w:rPr>
      </w:pPr>
    </w:p>
    <w:p w14:paraId="3761E91F" w14:textId="77777777" w:rsidR="00950575" w:rsidRDefault="00950575" w:rsidP="00D9090F">
      <w:pPr>
        <w:pStyle w:val="SectionHeader"/>
        <w:jc w:val="left"/>
      </w:pPr>
    </w:p>
    <w:p w14:paraId="2D204F71" w14:textId="77777777" w:rsidR="00950575" w:rsidRDefault="00950575" w:rsidP="00950575">
      <w:pPr>
        <w:pStyle w:val="SectionHeader"/>
      </w:pPr>
    </w:p>
    <w:p w14:paraId="4B9474FF" w14:textId="77777777" w:rsidR="00950575" w:rsidRDefault="00950575" w:rsidP="00950575">
      <w:pPr>
        <w:pStyle w:val="SectionHeader"/>
      </w:pPr>
    </w:p>
    <w:p w14:paraId="19593767" w14:textId="77777777" w:rsidR="00950575" w:rsidRDefault="00950575" w:rsidP="00950575">
      <w:pPr>
        <w:pStyle w:val="SectionHeader"/>
      </w:pPr>
    </w:p>
    <w:p w14:paraId="0EAF18F4" w14:textId="77777777" w:rsidR="00950575" w:rsidRDefault="00950575" w:rsidP="00950575">
      <w:pPr>
        <w:pStyle w:val="SectionHeader"/>
      </w:pPr>
    </w:p>
    <w:p w14:paraId="6E5CF465" w14:textId="77777777" w:rsidR="00950575" w:rsidRDefault="00950575" w:rsidP="00950575">
      <w:pPr>
        <w:pStyle w:val="SectionHeader"/>
      </w:pPr>
    </w:p>
    <w:p w14:paraId="28A8F6E3" w14:textId="77777777" w:rsidR="00D9090F" w:rsidRDefault="00D9090F" w:rsidP="00950575">
      <w:pPr>
        <w:pStyle w:val="SectionHeader"/>
      </w:pPr>
    </w:p>
    <w:p w14:paraId="751430B0" w14:textId="77777777" w:rsidR="00D9090F" w:rsidRDefault="00D9090F" w:rsidP="00950575">
      <w:pPr>
        <w:pStyle w:val="SectionHeader"/>
      </w:pPr>
    </w:p>
    <w:p w14:paraId="229CC20E" w14:textId="77777777" w:rsidR="00D9090F" w:rsidRDefault="00D9090F" w:rsidP="00950575">
      <w:pPr>
        <w:pStyle w:val="SectionHeader"/>
      </w:pPr>
    </w:p>
    <w:p w14:paraId="72CD5F23" w14:textId="77777777" w:rsidR="00D9090F" w:rsidRDefault="00D9090F" w:rsidP="00950575">
      <w:pPr>
        <w:pStyle w:val="SectionHeader"/>
      </w:pPr>
    </w:p>
    <w:p w14:paraId="4BC7A991" w14:textId="77777777" w:rsidR="00D9090F" w:rsidRDefault="00D9090F" w:rsidP="00950575">
      <w:pPr>
        <w:pStyle w:val="SectionHeader"/>
      </w:pPr>
    </w:p>
    <w:p w14:paraId="7F18C9E3" w14:textId="77777777" w:rsidR="00950575" w:rsidRDefault="00950575" w:rsidP="00950575">
      <w:pPr>
        <w:pStyle w:val="SectionHeader"/>
      </w:pPr>
      <w:bookmarkStart w:id="32" w:name="_Toc447194966"/>
      <w:r w:rsidRPr="00B441E9">
        <w:t>SECTION 1</w:t>
      </w:r>
      <w:r>
        <w:t xml:space="preserve">: </w:t>
      </w:r>
      <w:r w:rsidRPr="00B441E9">
        <w:t>BASIC HOSPITAL INFORMATION</w:t>
      </w:r>
      <w:bookmarkEnd w:id="32"/>
    </w:p>
    <w:p w14:paraId="75060BC3" w14:textId="77777777" w:rsidR="00950575" w:rsidRDefault="00950575" w:rsidP="00950575">
      <w:pPr>
        <w:pStyle w:val="SectionHeader"/>
      </w:pPr>
    </w:p>
    <w:p w14:paraId="03FE3340" w14:textId="77777777" w:rsidR="00950575" w:rsidRDefault="00950575" w:rsidP="00950575"/>
    <w:p w14:paraId="4A00D805" w14:textId="77777777" w:rsidR="00950575" w:rsidRDefault="00950575" w:rsidP="00950575">
      <w:r>
        <w:t xml:space="preserve">This section includes questions and reference information for Section 1 Basic Hospital Information. Please carefully review the questions, endnotes, and reference information (e.g., measure specifications, notes, and frequently asked questions) before you begin. Failure to review the reference information could result in inaccurate responses. </w:t>
      </w:r>
    </w:p>
    <w:p w14:paraId="1D6C1362" w14:textId="77777777" w:rsidR="00950575" w:rsidRPr="00B441E9" w:rsidRDefault="00950575" w:rsidP="00950575">
      <w:pPr>
        <w:rPr>
          <w:b/>
          <w:sz w:val="40"/>
          <w:szCs w:val="40"/>
        </w:rPr>
      </w:pPr>
      <w:r w:rsidRPr="00B441E9">
        <w:rPr>
          <w:b/>
          <w:sz w:val="40"/>
          <w:szCs w:val="40"/>
        </w:rPr>
        <w:br w:type="page"/>
      </w:r>
    </w:p>
    <w:p w14:paraId="563048BA" w14:textId="77777777" w:rsidR="00950575" w:rsidRDefault="003C7B12" w:rsidP="002C3E94">
      <w:pPr>
        <w:pStyle w:val="Title"/>
      </w:pPr>
      <w:bookmarkStart w:id="33" w:name="_Basic_Hospital_Information"/>
      <w:bookmarkStart w:id="34" w:name="_Toc447194967"/>
      <w:bookmarkEnd w:id="33"/>
      <w:r>
        <w:lastRenderedPageBreak/>
        <w:t xml:space="preserve">Section 1: 2016 </w:t>
      </w:r>
      <w:r w:rsidR="00560833" w:rsidRPr="00552E5D">
        <w:t>Basic Hospital</w:t>
      </w:r>
      <w:r w:rsidR="00950575" w:rsidRPr="00552E5D">
        <w:t xml:space="preserve"> Information</w:t>
      </w:r>
      <w:bookmarkEnd w:id="34"/>
      <w:r w:rsidR="00950575" w:rsidRPr="00552E5D">
        <w:t xml:space="preserve"> </w:t>
      </w:r>
    </w:p>
    <w:p w14:paraId="1562F545" w14:textId="77777777" w:rsidR="001B3383" w:rsidRPr="00380B30" w:rsidRDefault="001B3383" w:rsidP="002C3E94"/>
    <w:p w14:paraId="1068088C" w14:textId="77777777" w:rsidR="00950575" w:rsidRDefault="001B3383" w:rsidP="00950575">
      <w:r>
        <w:rPr>
          <w:b/>
        </w:rPr>
        <w:t xml:space="preserve">Specifications: </w:t>
      </w:r>
      <w:r w:rsidRPr="0029519D">
        <w:rPr>
          <w:snapToGrid w:val="0"/>
        </w:rPr>
        <w:t xml:space="preserve">Hospitals that share a Medicare Provider Number are required to report by facility. Please carefully review </w:t>
      </w:r>
      <w:hyperlink r:id="rId62" w:history="1">
        <w:r w:rsidRPr="00DF794C">
          <w:rPr>
            <w:rStyle w:val="Hyperlink"/>
            <w:snapToGrid w:val="0"/>
          </w:rPr>
          <w:t>Leapfrog’s Multi-Campus Reporting Policy</w:t>
        </w:r>
      </w:hyperlink>
      <w:r w:rsidRPr="00DF794C">
        <w:rPr>
          <w:snapToGrid w:val="0"/>
        </w:rPr>
        <w:t>.</w:t>
      </w:r>
    </w:p>
    <w:p w14:paraId="29BED556" w14:textId="77777777" w:rsidR="00AE1A2D" w:rsidRDefault="00AE1A2D" w:rsidP="00950575"/>
    <w:tbl>
      <w:tblPr>
        <w:tblStyle w:val="TableGrid"/>
        <w:tblW w:w="953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30"/>
      </w:tblGrid>
      <w:tr w:rsidR="00B804CC" w14:paraId="15CCCED2" w14:textId="77777777" w:rsidTr="007D68BC">
        <w:trPr>
          <w:jc w:val="center"/>
        </w:trPr>
        <w:tc>
          <w:tcPr>
            <w:tcW w:w="9530" w:type="dxa"/>
          </w:tcPr>
          <w:p w14:paraId="74DE8534" w14:textId="77777777" w:rsidR="00B804CC" w:rsidRPr="000D6054" w:rsidRDefault="00B804CC" w:rsidP="000F2C60">
            <w:pPr>
              <w:spacing w:before="120"/>
              <w:rPr>
                <w:snapToGrid w:val="0"/>
              </w:rPr>
            </w:pPr>
            <w:r>
              <w:rPr>
                <w:b/>
                <w:snapToGrid w:val="0"/>
              </w:rPr>
              <w:t>Reporting Time Period: 12 months</w:t>
            </w:r>
          </w:p>
          <w:p w14:paraId="17A9186D" w14:textId="77777777" w:rsidR="00B804CC" w:rsidRPr="00B804CC" w:rsidRDefault="00B804CC" w:rsidP="00ED58C1">
            <w:pPr>
              <w:pStyle w:val="ListParagraph"/>
              <w:numPr>
                <w:ilvl w:val="0"/>
                <w:numId w:val="82"/>
              </w:numPr>
              <w:rPr>
                <w:i/>
                <w:snapToGrid w:val="0"/>
              </w:rPr>
            </w:pPr>
            <w:r w:rsidRPr="004D6EB3">
              <w:rPr>
                <w:snapToGrid w:val="0"/>
              </w:rPr>
              <w:t>For surveys submitted prior to September 1, 2016: 01/01/2015 – 12/31/2015</w:t>
            </w:r>
          </w:p>
          <w:p w14:paraId="4D1ABCE0" w14:textId="77777777" w:rsidR="00B804CC" w:rsidRPr="00B804CC" w:rsidRDefault="00B804CC" w:rsidP="000F2C60">
            <w:pPr>
              <w:pStyle w:val="ListParagraph"/>
              <w:numPr>
                <w:ilvl w:val="0"/>
                <w:numId w:val="82"/>
              </w:numPr>
              <w:spacing w:after="120"/>
              <w:rPr>
                <w:i/>
                <w:snapToGrid w:val="0"/>
              </w:rPr>
            </w:pPr>
            <w:r w:rsidRPr="00B804CC">
              <w:rPr>
                <w:snapToGrid w:val="0"/>
              </w:rPr>
              <w:t>For surveys (re)submitted on or after September 1, 2016: 07/01/2015 – 06/30/2016</w:t>
            </w:r>
          </w:p>
        </w:tc>
      </w:tr>
    </w:tbl>
    <w:p w14:paraId="6D2701EA" w14:textId="77777777" w:rsidR="00B804CC" w:rsidRPr="00552E5D" w:rsidRDefault="00B804CC" w:rsidP="00950575"/>
    <w:p w14:paraId="0C814D9F" w14:textId="77777777" w:rsidR="00950575" w:rsidRPr="00B804CC" w:rsidRDefault="00950575" w:rsidP="00B804CC">
      <w:pPr>
        <w:rPr>
          <w: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880"/>
      </w:tblGrid>
      <w:tr w:rsidR="009F6C33" w:rsidRPr="00552E5D" w14:paraId="17C90D46" w14:textId="77777777" w:rsidTr="00614016">
        <w:tc>
          <w:tcPr>
            <w:tcW w:w="6588" w:type="dxa"/>
          </w:tcPr>
          <w:p w14:paraId="578B778B" w14:textId="77777777" w:rsidR="009F6C33" w:rsidRPr="004D6EB3" w:rsidRDefault="007A4221" w:rsidP="00614016">
            <w:pPr>
              <w:numPr>
                <w:ilvl w:val="0"/>
                <w:numId w:val="1"/>
              </w:numPr>
              <w:tabs>
                <w:tab w:val="num" w:pos="450"/>
              </w:tabs>
              <w:ind w:left="450" w:hanging="450"/>
              <w:rPr>
                <w:snapToGrid w:val="0"/>
              </w:rPr>
            </w:pPr>
            <w:r w:rsidRPr="004D6EB3">
              <w:rPr>
                <w:snapToGrid w:val="0"/>
              </w:rPr>
              <w:t>Reporting time period used:</w:t>
            </w:r>
          </w:p>
        </w:tc>
        <w:tc>
          <w:tcPr>
            <w:tcW w:w="2880" w:type="dxa"/>
          </w:tcPr>
          <w:p w14:paraId="1C7604D6" w14:textId="77777777" w:rsidR="009F6C33" w:rsidRPr="004D6EB3" w:rsidRDefault="009F6C33" w:rsidP="009F6C33">
            <w:pPr>
              <w:jc w:val="center"/>
              <w:rPr>
                <w:snapToGrid w:val="0"/>
              </w:rPr>
            </w:pPr>
            <w:r w:rsidRPr="004D6EB3">
              <w:rPr>
                <w:snapToGrid w:val="0"/>
              </w:rPr>
              <w:sym w:font="Wingdings" w:char="F0A8"/>
            </w:r>
            <w:r w:rsidRPr="004D6EB3">
              <w:rPr>
                <w:snapToGrid w:val="0"/>
              </w:rPr>
              <w:t xml:space="preserve"> 01/01/2015 – 12/31/2015</w:t>
            </w:r>
          </w:p>
          <w:p w14:paraId="76A44A73" w14:textId="77777777" w:rsidR="009F6C33" w:rsidRPr="00552E5D" w:rsidRDefault="009F6C33" w:rsidP="009F6C33">
            <w:pPr>
              <w:jc w:val="center"/>
              <w:rPr>
                <w:snapToGrid w:val="0"/>
              </w:rPr>
            </w:pPr>
            <w:r w:rsidRPr="004D6EB3">
              <w:rPr>
                <w:snapToGrid w:val="0"/>
              </w:rPr>
              <w:sym w:font="Wingdings" w:char="F0A8"/>
            </w:r>
            <w:r w:rsidRPr="004D6EB3">
              <w:rPr>
                <w:snapToGrid w:val="0"/>
              </w:rPr>
              <w:t xml:space="preserve"> 07/01/2015 – 06/30/2016</w:t>
            </w:r>
          </w:p>
        </w:tc>
      </w:tr>
      <w:tr w:rsidR="00950575" w:rsidRPr="00552E5D" w14:paraId="06EE0C4A" w14:textId="77777777" w:rsidTr="00614016">
        <w:tc>
          <w:tcPr>
            <w:tcW w:w="6588" w:type="dxa"/>
          </w:tcPr>
          <w:p w14:paraId="170EF4B3" w14:textId="77777777" w:rsidR="00950575" w:rsidRPr="00552E5D" w:rsidRDefault="00950575" w:rsidP="00921C5A">
            <w:pPr>
              <w:numPr>
                <w:ilvl w:val="0"/>
                <w:numId w:val="1"/>
              </w:numPr>
              <w:tabs>
                <w:tab w:val="num" w:pos="450"/>
              </w:tabs>
              <w:ind w:left="450" w:hanging="450"/>
              <w:rPr>
                <w:snapToGrid w:val="0"/>
              </w:rPr>
            </w:pPr>
            <w:r w:rsidRPr="00552E5D">
              <w:rPr>
                <w:snapToGrid w:val="0"/>
              </w:rPr>
              <w:t xml:space="preserve">Number of </w:t>
            </w:r>
            <w:hyperlink w:anchor="Endnote6" w:history="1">
              <w:r w:rsidR="00921C5A" w:rsidRPr="001F1E71">
                <w:rPr>
                  <w:rStyle w:val="Hyperlink"/>
                  <w:snapToGrid w:val="0"/>
                </w:rPr>
                <w:t>licensed</w:t>
              </w:r>
            </w:hyperlink>
            <w:r w:rsidR="00921C5A">
              <w:rPr>
                <w:rStyle w:val="EndnoteReference"/>
                <w:snapToGrid w:val="0"/>
              </w:rPr>
              <w:endnoteReference w:id="7"/>
            </w:r>
            <w:r w:rsidR="00921C5A">
              <w:rPr>
                <w:snapToGrid w:val="0"/>
              </w:rPr>
              <w:t xml:space="preserve"> </w:t>
            </w:r>
            <w:r w:rsidRPr="00552E5D">
              <w:rPr>
                <w:snapToGrid w:val="0"/>
              </w:rPr>
              <w:t>medical, surgical, and obstetric beds.</w:t>
            </w:r>
          </w:p>
        </w:tc>
        <w:tc>
          <w:tcPr>
            <w:tcW w:w="2880" w:type="dxa"/>
          </w:tcPr>
          <w:p w14:paraId="33CE2855" w14:textId="77777777" w:rsidR="00950575" w:rsidRPr="00552E5D" w:rsidRDefault="00950575" w:rsidP="00614016">
            <w:pPr>
              <w:rPr>
                <w:snapToGrid w:val="0"/>
              </w:rPr>
            </w:pPr>
          </w:p>
        </w:tc>
      </w:tr>
      <w:tr w:rsidR="00950575" w:rsidRPr="00552E5D" w14:paraId="47268363" w14:textId="77777777" w:rsidTr="00614016">
        <w:tc>
          <w:tcPr>
            <w:tcW w:w="6588" w:type="dxa"/>
          </w:tcPr>
          <w:p w14:paraId="755A2A54"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7" w:history="1">
              <w:r w:rsidRPr="001F1E71">
                <w:rPr>
                  <w:rStyle w:val="Hyperlink"/>
                  <w:snapToGrid w:val="0"/>
                </w:rPr>
                <w:t>staffed</w:t>
              </w:r>
            </w:hyperlink>
            <w:r w:rsidRPr="00552E5D">
              <w:rPr>
                <w:rStyle w:val="EndnoteReference"/>
                <w:snapToGrid w:val="0"/>
              </w:rPr>
              <w:endnoteReference w:id="8"/>
            </w:r>
            <w:r w:rsidRPr="00552E5D">
              <w:rPr>
                <w:snapToGrid w:val="0"/>
              </w:rPr>
              <w:t xml:space="preserve"> medical, surgical, and obstetric beds.</w:t>
            </w:r>
          </w:p>
        </w:tc>
        <w:tc>
          <w:tcPr>
            <w:tcW w:w="2880" w:type="dxa"/>
          </w:tcPr>
          <w:p w14:paraId="1F16C23E" w14:textId="77777777" w:rsidR="00950575" w:rsidRPr="00552E5D" w:rsidRDefault="00950575" w:rsidP="00614016">
            <w:pPr>
              <w:rPr>
                <w:snapToGrid w:val="0"/>
              </w:rPr>
            </w:pPr>
          </w:p>
        </w:tc>
      </w:tr>
      <w:tr w:rsidR="00950575" w:rsidRPr="00552E5D" w14:paraId="24FD326C" w14:textId="77777777" w:rsidTr="00614016">
        <w:tc>
          <w:tcPr>
            <w:tcW w:w="6588" w:type="dxa"/>
          </w:tcPr>
          <w:p w14:paraId="2B8B5604" w14:textId="2B72B168"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8" w:history="1">
              <w:r w:rsidRPr="001F1E71">
                <w:rPr>
                  <w:rStyle w:val="Hyperlink"/>
                  <w:snapToGrid w:val="0"/>
                </w:rPr>
                <w:t>total acute-care admissions</w:t>
              </w:r>
            </w:hyperlink>
            <w:r w:rsidRPr="00552E5D">
              <w:rPr>
                <w:rStyle w:val="EndnoteReference"/>
                <w:snapToGrid w:val="0"/>
              </w:rPr>
              <w:endnoteReference w:id="9"/>
            </w:r>
            <w:r w:rsidR="008C7527">
              <w:rPr>
                <w:snapToGrid w:val="0"/>
              </w:rPr>
              <w:t xml:space="preserve"> to your hospital.</w:t>
            </w:r>
          </w:p>
        </w:tc>
        <w:tc>
          <w:tcPr>
            <w:tcW w:w="2880" w:type="dxa"/>
          </w:tcPr>
          <w:p w14:paraId="1B6FA442" w14:textId="77777777" w:rsidR="00950575" w:rsidRPr="00552E5D" w:rsidRDefault="00950575" w:rsidP="00614016">
            <w:pPr>
              <w:rPr>
                <w:snapToGrid w:val="0"/>
              </w:rPr>
            </w:pPr>
          </w:p>
        </w:tc>
      </w:tr>
      <w:tr w:rsidR="00950575" w:rsidRPr="00552E5D" w14:paraId="4C66D7B9" w14:textId="77777777" w:rsidTr="00614016">
        <w:tc>
          <w:tcPr>
            <w:tcW w:w="6588" w:type="dxa"/>
          </w:tcPr>
          <w:p w14:paraId="208426CA"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9" w:history="1">
              <w:r w:rsidRPr="001F1E71">
                <w:rPr>
                  <w:rStyle w:val="Hyperlink"/>
                  <w:snapToGrid w:val="0"/>
                </w:rPr>
                <w:t>licensed ICU</w:t>
              </w:r>
            </w:hyperlink>
            <w:r w:rsidRPr="00552E5D">
              <w:rPr>
                <w:rStyle w:val="EndnoteReference"/>
                <w:snapToGrid w:val="0"/>
              </w:rPr>
              <w:endnoteReference w:id="10"/>
            </w:r>
            <w:r w:rsidRPr="00552E5D">
              <w:rPr>
                <w:snapToGrid w:val="0"/>
              </w:rPr>
              <w:t xml:space="preserve"> beds.</w:t>
            </w:r>
          </w:p>
        </w:tc>
        <w:tc>
          <w:tcPr>
            <w:tcW w:w="2880" w:type="dxa"/>
          </w:tcPr>
          <w:p w14:paraId="08D0C6CA" w14:textId="77777777" w:rsidR="00950575" w:rsidRPr="00552E5D" w:rsidRDefault="00950575" w:rsidP="00614016">
            <w:pPr>
              <w:rPr>
                <w:snapToGrid w:val="0"/>
              </w:rPr>
            </w:pPr>
          </w:p>
        </w:tc>
      </w:tr>
      <w:tr w:rsidR="00950575" w:rsidRPr="00552E5D" w14:paraId="35A854F0" w14:textId="77777777" w:rsidTr="00614016">
        <w:tc>
          <w:tcPr>
            <w:tcW w:w="6588" w:type="dxa"/>
          </w:tcPr>
          <w:p w14:paraId="206EB1B8"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10" w:history="1">
              <w:r w:rsidRPr="001F1E71">
                <w:rPr>
                  <w:rStyle w:val="Hyperlink"/>
                  <w:snapToGrid w:val="0"/>
                </w:rPr>
                <w:t>staffed ICU</w:t>
              </w:r>
            </w:hyperlink>
            <w:r w:rsidRPr="00552E5D">
              <w:rPr>
                <w:rStyle w:val="EndnoteReference"/>
                <w:snapToGrid w:val="0"/>
              </w:rPr>
              <w:endnoteReference w:id="11"/>
            </w:r>
            <w:r w:rsidRPr="00552E5D">
              <w:rPr>
                <w:snapToGrid w:val="0"/>
              </w:rPr>
              <w:t xml:space="preserve"> beds.</w:t>
            </w:r>
          </w:p>
        </w:tc>
        <w:tc>
          <w:tcPr>
            <w:tcW w:w="2880" w:type="dxa"/>
          </w:tcPr>
          <w:p w14:paraId="51A4ADB2" w14:textId="77777777" w:rsidR="00950575" w:rsidRPr="00552E5D" w:rsidRDefault="00950575" w:rsidP="00614016">
            <w:pPr>
              <w:rPr>
                <w:snapToGrid w:val="0"/>
              </w:rPr>
            </w:pPr>
          </w:p>
        </w:tc>
      </w:tr>
      <w:tr w:rsidR="00950575" w:rsidRPr="00552E5D" w14:paraId="5F5EB487" w14:textId="77777777" w:rsidTr="00614016">
        <w:tc>
          <w:tcPr>
            <w:tcW w:w="6588" w:type="dxa"/>
          </w:tcPr>
          <w:p w14:paraId="15CF5BC6" w14:textId="02BBD352"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11" w:history="1">
              <w:r w:rsidRPr="001F1E71">
                <w:rPr>
                  <w:rStyle w:val="Hyperlink"/>
                  <w:snapToGrid w:val="0"/>
                </w:rPr>
                <w:t>admissions to adult and pediatric general medical/surgical ICU(s)</w:t>
              </w:r>
            </w:hyperlink>
            <w:r w:rsidRPr="00552E5D">
              <w:rPr>
                <w:rStyle w:val="EndnoteReference"/>
                <w:snapToGrid w:val="0"/>
              </w:rPr>
              <w:endnoteReference w:id="12"/>
            </w:r>
            <w:r w:rsidRPr="00552E5D">
              <w:rPr>
                <w:snapToGrid w:val="0"/>
              </w:rPr>
              <w:t>.</w:t>
            </w:r>
          </w:p>
        </w:tc>
        <w:tc>
          <w:tcPr>
            <w:tcW w:w="2880" w:type="dxa"/>
          </w:tcPr>
          <w:p w14:paraId="4F007393" w14:textId="77777777" w:rsidR="00950575" w:rsidRPr="00552E5D" w:rsidRDefault="00950575" w:rsidP="00614016">
            <w:pPr>
              <w:rPr>
                <w:snapToGrid w:val="0"/>
              </w:rPr>
            </w:pPr>
          </w:p>
        </w:tc>
      </w:tr>
      <w:tr w:rsidR="00950575" w:rsidRPr="00552E5D" w14:paraId="481693D5" w14:textId="77777777" w:rsidTr="00614016">
        <w:trPr>
          <w:trHeight w:val="458"/>
        </w:trPr>
        <w:tc>
          <w:tcPr>
            <w:tcW w:w="6588" w:type="dxa"/>
          </w:tcPr>
          <w:p w14:paraId="4F408EFC"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Is your hospital a member </w:t>
            </w:r>
            <w:r w:rsidRPr="00552E5D">
              <w:rPr>
                <w:rFonts w:cs="Arial"/>
                <w:color w:val="000000"/>
                <w:shd w:val="clear" w:color="auto" w:fill="FFFFFF"/>
              </w:rPr>
              <w:t xml:space="preserve">of the Council of Teaching Hospitals and Health Systems </w:t>
            </w:r>
            <w:hyperlink w:anchor="Endnote12" w:history="1">
              <w:r w:rsidRPr="001F1E71">
                <w:rPr>
                  <w:rStyle w:val="Hyperlink"/>
                  <w:rFonts w:cs="Arial"/>
                  <w:shd w:val="clear" w:color="auto" w:fill="FFFFFF"/>
                </w:rPr>
                <w:t>(COTH)</w:t>
              </w:r>
            </w:hyperlink>
            <w:r w:rsidRPr="00552E5D">
              <w:rPr>
                <w:rFonts w:cs="Arial"/>
                <w:color w:val="000000"/>
                <w:shd w:val="clear" w:color="auto" w:fill="FFFFFF"/>
              </w:rPr>
              <w:t>?</w:t>
            </w:r>
            <w:r w:rsidRPr="00552E5D">
              <w:rPr>
                <w:rStyle w:val="EndnoteReference"/>
                <w:color w:val="000000"/>
                <w:shd w:val="clear" w:color="auto" w:fill="FFFFFF"/>
              </w:rPr>
              <w:endnoteReference w:id="13"/>
            </w:r>
          </w:p>
        </w:tc>
        <w:tc>
          <w:tcPr>
            <w:tcW w:w="2880" w:type="dxa"/>
          </w:tcPr>
          <w:p w14:paraId="7ABA419E" w14:textId="77777777" w:rsidR="00950575" w:rsidRPr="00552E5D" w:rsidRDefault="00950575" w:rsidP="00614016">
            <w:pPr>
              <w:jc w:val="center"/>
              <w:rPr>
                <w:i/>
                <w:snapToGrid w:val="0"/>
              </w:rPr>
            </w:pPr>
            <w:r w:rsidRPr="00552E5D">
              <w:rPr>
                <w:i/>
                <w:snapToGrid w:val="0"/>
              </w:rPr>
              <w:t>Yes</w:t>
            </w:r>
          </w:p>
          <w:p w14:paraId="56745610" w14:textId="77777777" w:rsidR="00950575" w:rsidRPr="00552E5D" w:rsidRDefault="00950575" w:rsidP="00614016">
            <w:pPr>
              <w:jc w:val="center"/>
              <w:rPr>
                <w:i/>
                <w:snapToGrid w:val="0"/>
              </w:rPr>
            </w:pPr>
            <w:r w:rsidRPr="00552E5D">
              <w:rPr>
                <w:i/>
                <w:snapToGrid w:val="0"/>
              </w:rPr>
              <w:t>No</w:t>
            </w:r>
          </w:p>
        </w:tc>
      </w:tr>
      <w:tr w:rsidR="00950575" w14:paraId="61981A42" w14:textId="77777777" w:rsidTr="00614016">
        <w:tc>
          <w:tcPr>
            <w:tcW w:w="6588" w:type="dxa"/>
          </w:tcPr>
          <w:p w14:paraId="25321B10" w14:textId="77777777" w:rsidR="00950575" w:rsidRPr="00552E5D" w:rsidRDefault="00950575" w:rsidP="00614016">
            <w:pPr>
              <w:pStyle w:val="ListParagraph"/>
              <w:numPr>
                <w:ilvl w:val="0"/>
                <w:numId w:val="1"/>
              </w:numPr>
              <w:ind w:left="360"/>
              <w:rPr>
                <w:snapToGrid w:val="0"/>
              </w:rPr>
            </w:pPr>
            <w:r w:rsidRPr="00552E5D">
              <w:rPr>
                <w:snapToGrid w:val="0"/>
              </w:rPr>
              <w:t xml:space="preserve"> If no, </w:t>
            </w:r>
            <w:r w:rsidRPr="00552E5D">
              <w:rPr>
                <w:rStyle w:val="apple-converted-space"/>
                <w:rFonts w:cs="Arial"/>
                <w:shd w:val="clear" w:color="auto" w:fill="FFFFFF"/>
              </w:rPr>
              <w:t xml:space="preserve">is your hospital considered a </w:t>
            </w:r>
            <w:hyperlink w:anchor="Endnote13" w:history="1">
              <w:r w:rsidRPr="001F1E71">
                <w:rPr>
                  <w:rStyle w:val="Hyperlink"/>
                  <w:rFonts w:cs="Arial"/>
                  <w:shd w:val="clear" w:color="auto" w:fill="FFFFFF"/>
                </w:rPr>
                <w:t>teaching hospital</w:t>
              </w:r>
            </w:hyperlink>
            <w:r w:rsidRPr="00552E5D">
              <w:rPr>
                <w:rStyle w:val="apple-converted-space"/>
                <w:rFonts w:cs="Arial"/>
                <w:shd w:val="clear" w:color="auto" w:fill="FFFFFF"/>
              </w:rPr>
              <w:t>?</w:t>
            </w:r>
            <w:r w:rsidRPr="00552E5D">
              <w:rPr>
                <w:rStyle w:val="EndnoteReference"/>
                <w:shd w:val="clear" w:color="auto" w:fill="FFFFFF"/>
              </w:rPr>
              <w:endnoteReference w:id="14"/>
            </w:r>
            <w:r w:rsidRPr="00552E5D">
              <w:rPr>
                <w:rStyle w:val="apple-converted-space"/>
                <w:rFonts w:cs="Arial"/>
                <w:shd w:val="clear" w:color="auto" w:fill="FFFFFF"/>
              </w:rPr>
              <w:t xml:space="preserve"> </w:t>
            </w:r>
          </w:p>
        </w:tc>
        <w:tc>
          <w:tcPr>
            <w:tcW w:w="2880" w:type="dxa"/>
          </w:tcPr>
          <w:p w14:paraId="0E44EFA2" w14:textId="77777777" w:rsidR="00950575" w:rsidRPr="00552E5D" w:rsidRDefault="00950575" w:rsidP="00614016">
            <w:pPr>
              <w:jc w:val="center"/>
              <w:rPr>
                <w:i/>
                <w:snapToGrid w:val="0"/>
              </w:rPr>
            </w:pPr>
            <w:r w:rsidRPr="00552E5D">
              <w:rPr>
                <w:i/>
                <w:snapToGrid w:val="0"/>
              </w:rPr>
              <w:t>Yes</w:t>
            </w:r>
          </w:p>
          <w:p w14:paraId="05A9E3E2" w14:textId="77777777" w:rsidR="00950575" w:rsidRDefault="00950575" w:rsidP="00614016">
            <w:pPr>
              <w:jc w:val="center"/>
              <w:rPr>
                <w:snapToGrid w:val="0"/>
              </w:rPr>
            </w:pPr>
            <w:r w:rsidRPr="00552E5D">
              <w:rPr>
                <w:i/>
                <w:snapToGrid w:val="0"/>
              </w:rPr>
              <w:t>No</w:t>
            </w:r>
          </w:p>
        </w:tc>
      </w:tr>
    </w:tbl>
    <w:p w14:paraId="233448EB" w14:textId="77777777" w:rsidR="00950575" w:rsidRDefault="00950575" w:rsidP="00B17795">
      <w:pPr>
        <w:pStyle w:val="SectionHeader"/>
        <w:jc w:val="left"/>
      </w:pPr>
    </w:p>
    <w:p w14:paraId="27DE2B46" w14:textId="77777777" w:rsidR="00B17795" w:rsidRDefault="00B17795" w:rsidP="00B17795">
      <w:pPr>
        <w:rPr>
          <w:b/>
          <w:snapToGrid w:val="0"/>
          <w:color w:val="000000"/>
        </w:rPr>
      </w:pPr>
      <w:r>
        <w:rPr>
          <w:b/>
          <w:snapToGrid w:val="0"/>
          <w:color w:val="000000"/>
        </w:rPr>
        <w:t>Affirmation of Accuracy</w:t>
      </w:r>
    </w:p>
    <w:p w14:paraId="112EF659" w14:textId="77777777" w:rsidR="00B17795" w:rsidRDefault="00B17795" w:rsidP="00B17795">
      <w:pPr>
        <w:rPr>
          <w:snapToGrid w:val="0"/>
          <w:color w:val="000000"/>
        </w:rPr>
      </w:pPr>
    </w:p>
    <w:p w14:paraId="51AD669C" w14:textId="77777777" w:rsidR="00B17795" w:rsidRPr="00362B11" w:rsidRDefault="00B17795" w:rsidP="00B17795">
      <w:pPr>
        <w:rPr>
          <w:rFonts w:cs="Arial"/>
          <w:color w:val="000000"/>
        </w:rPr>
      </w:pPr>
      <w:r w:rsidRPr="00362B11">
        <w:rPr>
          <w:rFonts w:cs="Arial"/>
          <w:color w:val="000000"/>
        </w:rPr>
        <w:t xml:space="preserve">As the hospital CEO or as an employee of the hospital to whom the hospital CEO has delegated responsibility, </w:t>
      </w:r>
      <w:r w:rsidR="00327E8E">
        <w:rPr>
          <w:rFonts w:cs="Arial"/>
          <w:color w:val="000000"/>
        </w:rPr>
        <w:t>I have reviewed this information</w:t>
      </w:r>
      <w:r w:rsidRPr="00362B11">
        <w:rPr>
          <w:rFonts w:cs="Arial"/>
          <w:color w:val="000000"/>
        </w:rPr>
        <w:t xml:space="preserve"> </w:t>
      </w:r>
      <w:r w:rsidR="004423A7">
        <w:rPr>
          <w:rFonts w:cs="Arial"/>
          <w:color w:val="000000"/>
        </w:rPr>
        <w:t>pertaining to the Basic Hospital Information Section</w:t>
      </w:r>
      <w:r w:rsidRPr="00362B11">
        <w:rPr>
          <w:rFonts w:cs="Arial"/>
          <w:color w:val="000000"/>
        </w:rPr>
        <w:t xml:space="preserve"> at our hospital, and I here</w:t>
      </w:r>
      <w:r w:rsidR="00327E8E">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044643F2" w14:textId="77777777" w:rsidR="00B17795" w:rsidRPr="00362B11" w:rsidRDefault="00B17795" w:rsidP="00B17795">
      <w:pPr>
        <w:rPr>
          <w:rFonts w:cs="Arial"/>
          <w:color w:val="000000"/>
        </w:rPr>
      </w:pPr>
    </w:p>
    <w:p w14:paraId="16A94327" w14:textId="77777777" w:rsidR="00327E8E" w:rsidRDefault="00327E8E" w:rsidP="00327E8E">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7681F765" w14:textId="77777777" w:rsidR="00B17795" w:rsidRDefault="00B17795" w:rsidP="00B17795">
      <w:pPr>
        <w:rPr>
          <w:snapToGrid w:val="0"/>
          <w:color w:val="000000"/>
        </w:rPr>
      </w:pPr>
    </w:p>
    <w:p w14:paraId="72FCE1CA" w14:textId="77777777" w:rsidR="00B17795" w:rsidRDefault="00B17795" w:rsidP="00B17795">
      <w:pPr>
        <w:rPr>
          <w:snapToGrid w:val="0"/>
          <w:color w:val="000000"/>
        </w:rPr>
      </w:pPr>
    </w:p>
    <w:p w14:paraId="6A6EE536" w14:textId="77777777" w:rsidR="00B17795" w:rsidRDefault="00B17795" w:rsidP="00B17795">
      <w:pPr>
        <w:spacing w:line="240" w:lineRule="exact"/>
        <w:rPr>
          <w:snapToGrid w:val="0"/>
          <w:color w:val="000000"/>
        </w:rPr>
      </w:pPr>
      <w:r>
        <w:rPr>
          <w:snapToGrid w:val="0"/>
          <w:color w:val="000000"/>
        </w:rPr>
        <w:t>Affirmed by _____________________, the hospital’s ___________________________,</w:t>
      </w:r>
    </w:p>
    <w:p w14:paraId="3B5C38EF" w14:textId="77777777" w:rsidR="00B17795" w:rsidRDefault="00B17795" w:rsidP="00B17795">
      <w:pPr>
        <w:pStyle w:val="BodyText2"/>
        <w:spacing w:line="240" w:lineRule="exact"/>
      </w:pPr>
      <w:r>
        <w:tab/>
      </w:r>
      <w:r>
        <w:tab/>
        <w:t xml:space="preserve">  (name)</w:t>
      </w:r>
      <w:r>
        <w:tab/>
      </w:r>
      <w:r>
        <w:tab/>
      </w:r>
      <w:r>
        <w:tab/>
      </w:r>
      <w:r>
        <w:tab/>
      </w:r>
      <w:r>
        <w:tab/>
      </w:r>
      <w:r>
        <w:tab/>
        <w:t>(title)</w:t>
      </w:r>
    </w:p>
    <w:p w14:paraId="5C010D60" w14:textId="77777777" w:rsidR="00B17795" w:rsidRDefault="00B17795" w:rsidP="00B17795">
      <w:pPr>
        <w:spacing w:line="240" w:lineRule="exact"/>
        <w:rPr>
          <w:snapToGrid w:val="0"/>
        </w:rPr>
      </w:pPr>
      <w:r>
        <w:rPr>
          <w:snapToGrid w:val="0"/>
        </w:rPr>
        <w:t>on __</w:t>
      </w:r>
      <w:r w:rsidRPr="002C3E94">
        <w:rPr>
          <w:snapToGrid w:val="0"/>
        </w:rPr>
        <w:t>_____________________.</w:t>
      </w:r>
    </w:p>
    <w:p w14:paraId="2F6B12F0" w14:textId="77777777" w:rsidR="00B17795" w:rsidRPr="00B17795" w:rsidRDefault="00B17795" w:rsidP="00B17795">
      <w:pPr>
        <w:spacing w:line="240" w:lineRule="exact"/>
        <w:rPr>
          <w:i/>
        </w:rPr>
      </w:pPr>
      <w:r>
        <w:rPr>
          <w:i/>
        </w:rPr>
        <w:t xml:space="preserve">                    (date)</w:t>
      </w:r>
    </w:p>
    <w:p w14:paraId="73522F40" w14:textId="77777777" w:rsidR="00950575" w:rsidRDefault="00950575" w:rsidP="00EB41AD">
      <w:pPr>
        <w:rPr>
          <w:lang w:eastAsia="ja-JP"/>
        </w:rPr>
      </w:pPr>
    </w:p>
    <w:p w14:paraId="0198D8CE" w14:textId="77777777" w:rsidR="00A437A9" w:rsidRDefault="00A437A9" w:rsidP="00EB41AD">
      <w:pPr>
        <w:rPr>
          <w:lang w:eastAsia="ja-JP"/>
        </w:rPr>
      </w:pPr>
    </w:p>
    <w:p w14:paraId="6F9D85D7" w14:textId="77777777" w:rsidR="005D7A3B" w:rsidRDefault="005D7A3B" w:rsidP="00EB41AD">
      <w:pPr>
        <w:rPr>
          <w:lang w:eastAsia="ja-JP"/>
        </w:rPr>
      </w:pPr>
    </w:p>
    <w:p w14:paraId="32EBA429" w14:textId="77777777" w:rsidR="0060690C" w:rsidRDefault="0060690C" w:rsidP="002C3E94">
      <w:pPr>
        <w:pStyle w:val="Title"/>
        <w:rPr>
          <w:lang w:eastAsia="ja-JP"/>
        </w:rPr>
      </w:pPr>
      <w:bookmarkStart w:id="43" w:name="_Toc447194968"/>
      <w:r>
        <w:rPr>
          <w:lang w:eastAsia="ja-JP"/>
        </w:rPr>
        <w:lastRenderedPageBreak/>
        <w:t xml:space="preserve">Section 1: </w:t>
      </w:r>
      <w:r w:rsidR="004F68CC">
        <w:rPr>
          <w:lang w:eastAsia="ja-JP"/>
        </w:rPr>
        <w:t>2016</w:t>
      </w:r>
      <w:r w:rsidR="00A21AD3">
        <w:rPr>
          <w:lang w:eastAsia="ja-JP"/>
        </w:rPr>
        <w:t xml:space="preserve"> </w:t>
      </w:r>
      <w:r w:rsidR="00494E33">
        <w:rPr>
          <w:lang w:eastAsia="ja-JP"/>
        </w:rPr>
        <w:t xml:space="preserve">Basic Hospital </w:t>
      </w:r>
      <w:r>
        <w:rPr>
          <w:lang w:eastAsia="ja-JP"/>
        </w:rPr>
        <w:t>Reference Information</w:t>
      </w:r>
      <w:bookmarkEnd w:id="43"/>
    </w:p>
    <w:p w14:paraId="150580C1" w14:textId="77777777" w:rsidR="0060690C" w:rsidRDefault="0060690C" w:rsidP="00EB41AD">
      <w:pPr>
        <w:rPr>
          <w:lang w:eastAsia="ja-JP"/>
        </w:rPr>
      </w:pPr>
    </w:p>
    <w:p w14:paraId="0F292703" w14:textId="77777777" w:rsidR="00B441E9" w:rsidRPr="00BC2D78" w:rsidRDefault="00B441E9" w:rsidP="007A44CB">
      <w:pPr>
        <w:pStyle w:val="Heading3"/>
      </w:pPr>
      <w:bookmarkStart w:id="44" w:name="_Toc447194969"/>
      <w:r w:rsidRPr="00BC2D78">
        <w:rPr>
          <w:rFonts w:hint="eastAsia"/>
        </w:rPr>
        <w:t>What</w:t>
      </w:r>
      <w:r w:rsidRPr="00BC2D78">
        <w:t>’</w:t>
      </w:r>
      <w:r w:rsidRPr="00BC2D78">
        <w:rPr>
          <w:rFonts w:hint="eastAsia"/>
        </w:rPr>
        <w:t xml:space="preserve">s New in the </w:t>
      </w:r>
      <w:r w:rsidR="00A66172">
        <w:t>2016</w:t>
      </w:r>
      <w:r w:rsidRPr="00BC2D78">
        <w:rPr>
          <w:rFonts w:hint="eastAsia"/>
        </w:rPr>
        <w:t xml:space="preserve"> </w:t>
      </w:r>
      <w:r w:rsidRPr="00BC2D78">
        <w:t>S</w:t>
      </w:r>
      <w:r w:rsidRPr="00BC2D78">
        <w:rPr>
          <w:rFonts w:hint="eastAsia"/>
        </w:rPr>
        <w:t>urvey</w:t>
      </w:r>
      <w:bookmarkEnd w:id="31"/>
      <w:bookmarkEnd w:id="44"/>
    </w:p>
    <w:p w14:paraId="38CA48BA" w14:textId="77777777" w:rsidR="00B441E9" w:rsidRDefault="00B441E9" w:rsidP="00B441E9"/>
    <w:p w14:paraId="4354C89C" w14:textId="77777777" w:rsidR="00B441E9" w:rsidRDefault="00F11978" w:rsidP="00581A6A">
      <w:r>
        <w:t>Section 1 must be affirmed</w:t>
      </w:r>
      <w:r w:rsidR="002B65BE">
        <w:t xml:space="preserve"> and submitted. </w:t>
      </w:r>
    </w:p>
    <w:p w14:paraId="26A0D5A0" w14:textId="77777777" w:rsidR="00AB26F6" w:rsidRPr="00655B2A" w:rsidRDefault="00AB26F6" w:rsidP="001D3396"/>
    <w:p w14:paraId="03302383" w14:textId="77777777" w:rsidR="00655B2A" w:rsidRDefault="00655B2A" w:rsidP="00655B2A">
      <w:pPr>
        <w:pStyle w:val="ListParagraph"/>
      </w:pPr>
    </w:p>
    <w:p w14:paraId="68CEF788" w14:textId="77777777" w:rsidR="001D3396" w:rsidRPr="009A5391" w:rsidRDefault="001D3396" w:rsidP="007A44CB">
      <w:pPr>
        <w:pStyle w:val="Heading3"/>
      </w:pPr>
      <w:bookmarkStart w:id="45" w:name="_Toc447194970"/>
      <w:r w:rsidRPr="009A5391">
        <w:rPr>
          <w:rFonts w:hint="eastAsia"/>
        </w:rPr>
        <w:t>Change Summary since Release</w:t>
      </w:r>
      <w:bookmarkEnd w:id="45"/>
    </w:p>
    <w:p w14:paraId="66FB1D48" w14:textId="77777777" w:rsidR="001D3396" w:rsidRPr="00D761A6" w:rsidRDefault="001D3396" w:rsidP="001D3396">
      <w:pPr>
        <w:rPr>
          <w:lang w:eastAsia="ja-JP"/>
        </w:rPr>
      </w:pPr>
    </w:p>
    <w:p w14:paraId="4A9F542F" w14:textId="77777777" w:rsidR="001D3396" w:rsidRPr="00D761A6" w:rsidRDefault="001D3396" w:rsidP="001D3396">
      <w:pPr>
        <w:pStyle w:val="BodyText3"/>
        <w:rPr>
          <w:lang w:eastAsia="ja-JP"/>
        </w:rPr>
      </w:pPr>
      <w:r>
        <w:rPr>
          <w:lang w:eastAsia="ja-JP"/>
        </w:rPr>
        <w:t xml:space="preserve">None.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5D6D60AB" w14:textId="77777777" w:rsidR="00655B2A" w:rsidRDefault="00655B2A">
      <w:r>
        <w:br w:type="page"/>
      </w:r>
    </w:p>
    <w:p w14:paraId="482278E8" w14:textId="77777777" w:rsidR="00920EF6" w:rsidRDefault="00920EF6" w:rsidP="00FE54C0">
      <w:pPr>
        <w:pStyle w:val="SectionHeader"/>
        <w:sectPr w:rsidR="00920EF6" w:rsidSect="00A437A9">
          <w:headerReference w:type="default" r:id="rId63"/>
          <w:endnotePr>
            <w:numFmt w:val="decimal"/>
          </w:endnotePr>
          <w:pgSz w:w="12240" w:h="15840"/>
          <w:pgMar w:top="1080" w:right="1440" w:bottom="1080" w:left="1440" w:header="720" w:footer="720" w:gutter="0"/>
          <w:cols w:space="720"/>
          <w:docGrid w:linePitch="272"/>
        </w:sectPr>
      </w:pPr>
    </w:p>
    <w:p w14:paraId="6D852EA0" w14:textId="77777777" w:rsidR="0060690C" w:rsidRDefault="0060690C" w:rsidP="00FE54C0">
      <w:pPr>
        <w:pStyle w:val="SectionHeader"/>
      </w:pPr>
    </w:p>
    <w:p w14:paraId="295AA1DE" w14:textId="77777777" w:rsidR="0060690C" w:rsidRDefault="00D34636" w:rsidP="00FE54C0">
      <w:pPr>
        <w:pStyle w:val="SectionHeader"/>
        <w:rPr>
          <w:color w:val="A6A6A6" w:themeColor="background1" w:themeShade="A6"/>
        </w:rPr>
      </w:pPr>
      <w:bookmarkStart w:id="46" w:name="_Toc414267200"/>
      <w:bookmarkStart w:id="47" w:name="_Toc447194971"/>
      <w:r>
        <w:rPr>
          <w:color w:val="A6A6A6" w:themeColor="background1" w:themeShade="A6"/>
        </w:rPr>
        <w:t>Page Intentionally Left Blank</w:t>
      </w:r>
      <w:bookmarkEnd w:id="46"/>
      <w:bookmarkEnd w:id="47"/>
    </w:p>
    <w:p w14:paraId="1500914D" w14:textId="77777777" w:rsidR="00D34636" w:rsidRDefault="00D34636">
      <w:pPr>
        <w:rPr>
          <w:b/>
          <w:snapToGrid w:val="0"/>
          <w:color w:val="A6A6A6" w:themeColor="background1" w:themeShade="A6"/>
          <w:sz w:val="40"/>
          <w:szCs w:val="40"/>
          <w:lang w:eastAsia="ja-JP"/>
        </w:rPr>
      </w:pPr>
      <w:r>
        <w:rPr>
          <w:color w:val="A6A6A6" w:themeColor="background1" w:themeShade="A6"/>
        </w:rPr>
        <w:br w:type="page"/>
      </w:r>
    </w:p>
    <w:p w14:paraId="51D2EDAB" w14:textId="77777777" w:rsidR="00920EF6" w:rsidRDefault="00920EF6" w:rsidP="00FE54C0">
      <w:pPr>
        <w:pStyle w:val="SectionHeader"/>
        <w:rPr>
          <w:color w:val="A6A6A6" w:themeColor="background1" w:themeShade="A6"/>
        </w:rPr>
        <w:sectPr w:rsidR="00920EF6" w:rsidSect="008733FC">
          <w:headerReference w:type="default" r:id="rId64"/>
          <w:endnotePr>
            <w:numFmt w:val="decimal"/>
          </w:endnotePr>
          <w:type w:val="continuous"/>
          <w:pgSz w:w="12240" w:h="15840"/>
          <w:pgMar w:top="1080" w:right="1440" w:bottom="1080" w:left="1440" w:header="720" w:footer="720" w:gutter="0"/>
          <w:cols w:space="720"/>
          <w:docGrid w:linePitch="272"/>
        </w:sectPr>
      </w:pPr>
    </w:p>
    <w:p w14:paraId="23F4A9E4" w14:textId="77777777" w:rsidR="00D34636" w:rsidRPr="00D34636" w:rsidRDefault="00D34636" w:rsidP="00FE54C0">
      <w:pPr>
        <w:pStyle w:val="SectionHeader"/>
        <w:rPr>
          <w:color w:val="A6A6A6" w:themeColor="background1" w:themeShade="A6"/>
        </w:rPr>
      </w:pPr>
    </w:p>
    <w:p w14:paraId="7C265176" w14:textId="77777777" w:rsidR="0060690C" w:rsidRDefault="0060690C" w:rsidP="00FE54C0">
      <w:pPr>
        <w:pStyle w:val="SectionHeader"/>
      </w:pPr>
    </w:p>
    <w:p w14:paraId="65102090" w14:textId="77777777" w:rsidR="0060690C" w:rsidRDefault="0060690C" w:rsidP="00FE54C0">
      <w:pPr>
        <w:pStyle w:val="SectionHeader"/>
      </w:pPr>
    </w:p>
    <w:p w14:paraId="36BE2887" w14:textId="77777777" w:rsidR="0060690C" w:rsidRDefault="0060690C" w:rsidP="00FE54C0">
      <w:pPr>
        <w:pStyle w:val="SectionHeader"/>
      </w:pPr>
    </w:p>
    <w:p w14:paraId="38259251" w14:textId="77777777" w:rsidR="0060690C" w:rsidRDefault="0060690C" w:rsidP="00FE54C0">
      <w:pPr>
        <w:pStyle w:val="SectionHeader"/>
      </w:pPr>
    </w:p>
    <w:p w14:paraId="146B0E03" w14:textId="77777777" w:rsidR="0060690C" w:rsidRDefault="0060690C" w:rsidP="00FE54C0">
      <w:pPr>
        <w:pStyle w:val="SectionHeader"/>
      </w:pPr>
    </w:p>
    <w:p w14:paraId="6A0541BC" w14:textId="77777777" w:rsidR="0060690C" w:rsidRDefault="0060690C" w:rsidP="00FE54C0">
      <w:pPr>
        <w:pStyle w:val="SectionHeader"/>
      </w:pPr>
    </w:p>
    <w:p w14:paraId="66B7AF6C" w14:textId="77777777" w:rsidR="0060690C" w:rsidRDefault="0060690C" w:rsidP="00FE54C0">
      <w:pPr>
        <w:pStyle w:val="SectionHeader"/>
      </w:pPr>
    </w:p>
    <w:p w14:paraId="2FD1B22E" w14:textId="77777777" w:rsidR="0060690C" w:rsidRDefault="0060690C" w:rsidP="00304006">
      <w:pPr>
        <w:pStyle w:val="SectionHeader"/>
        <w:jc w:val="left"/>
      </w:pPr>
    </w:p>
    <w:p w14:paraId="1AAD506D" w14:textId="77777777" w:rsidR="00655B2A" w:rsidRDefault="00154F6C" w:rsidP="00FE54C0">
      <w:pPr>
        <w:pStyle w:val="SectionHeader"/>
      </w:pPr>
      <w:bookmarkStart w:id="48" w:name="Sect2"/>
      <w:bookmarkStart w:id="49" w:name="_Toc447194972"/>
      <w:bookmarkEnd w:id="48"/>
      <w:r>
        <w:t xml:space="preserve">SECTION 2: </w:t>
      </w:r>
      <w:r w:rsidRPr="009700FA">
        <w:t>COMPUTERIZED</w:t>
      </w:r>
      <w:r>
        <w:t xml:space="preserve"> PHYSICIAN ORDER ENTRY</w:t>
      </w:r>
      <w:r w:rsidR="0068304F">
        <w:t xml:space="preserve"> (CPOE)</w:t>
      </w:r>
      <w:bookmarkEnd w:id="49"/>
    </w:p>
    <w:p w14:paraId="05F3248B" w14:textId="77777777" w:rsidR="0068304F" w:rsidRDefault="0068304F" w:rsidP="00FE54C0">
      <w:pPr>
        <w:pStyle w:val="SectionHeader"/>
      </w:pPr>
    </w:p>
    <w:p w14:paraId="5BCD8BC9" w14:textId="77777777" w:rsidR="0068304F" w:rsidRDefault="0068304F" w:rsidP="0068304F">
      <w:r w:rsidRPr="006C65C8">
        <w:t>This section includes questions and reference information for Section 2 C</w:t>
      </w:r>
      <w:r w:rsidR="0053067E" w:rsidRPr="006C65C8">
        <w:t xml:space="preserve">omputerized </w:t>
      </w:r>
      <w:r w:rsidRPr="006C65C8">
        <w:t>P</w:t>
      </w:r>
      <w:r w:rsidR="0053067E" w:rsidRPr="006C65C8">
        <w:t xml:space="preserve">hysician </w:t>
      </w:r>
      <w:r w:rsidRPr="006C65C8">
        <w:t>O</w:t>
      </w:r>
      <w:r w:rsidR="0053067E" w:rsidRPr="006C65C8">
        <w:t xml:space="preserve">rder </w:t>
      </w:r>
      <w:r w:rsidRPr="006C65C8">
        <w:t>E</w:t>
      </w:r>
      <w:r w:rsidR="0053067E" w:rsidRPr="006C65C8">
        <w:t>ntry</w:t>
      </w:r>
      <w:r w:rsidRPr="006C65C8">
        <w:t xml:space="preserve">. Please carefully review the questions, </w:t>
      </w:r>
      <w:r w:rsidR="00B94757" w:rsidRPr="006C65C8">
        <w:t>endnotes</w:t>
      </w:r>
      <w:r w:rsidRPr="006C65C8">
        <w:t>, and reference information (e.g. measure specifications, notes, and frequen</w:t>
      </w:r>
      <w:r w:rsidR="00217D8D" w:rsidRPr="006C65C8">
        <w:t>tl</w:t>
      </w:r>
      <w:r w:rsidRPr="006C65C8">
        <w:t>y asked questions) before you begin. Failure to review the reference information could result in inaccurate responses.</w:t>
      </w:r>
      <w:r>
        <w:t xml:space="preserve"> </w:t>
      </w:r>
    </w:p>
    <w:p w14:paraId="77788D0F" w14:textId="77777777" w:rsidR="0068304F" w:rsidRDefault="0068304F" w:rsidP="00FE54C0">
      <w:pPr>
        <w:pStyle w:val="SectionHeader"/>
      </w:pPr>
    </w:p>
    <w:p w14:paraId="66C87FFE" w14:textId="77777777" w:rsidR="00B441E9" w:rsidRDefault="0060690C" w:rsidP="00B441E9">
      <w:r>
        <w:br w:type="page"/>
      </w:r>
    </w:p>
    <w:p w14:paraId="34E323BE" w14:textId="77777777" w:rsidR="00AB2927" w:rsidRPr="00AB2927" w:rsidRDefault="00164DB1" w:rsidP="002C3E94">
      <w:pPr>
        <w:pStyle w:val="Title"/>
      </w:pPr>
      <w:bookmarkStart w:id="50" w:name="_Toc447194973"/>
      <w:r w:rsidRPr="00E079AF">
        <w:lastRenderedPageBreak/>
        <w:t xml:space="preserve">Section 2: </w:t>
      </w:r>
      <w:r w:rsidR="00A66172" w:rsidRPr="00E079AF">
        <w:t>2016</w:t>
      </w:r>
      <w:r w:rsidRPr="00E079AF">
        <w:t xml:space="preserve"> </w:t>
      </w:r>
      <w:r w:rsidR="008910AA" w:rsidRPr="00E079AF">
        <w:t>Computerized P</w:t>
      </w:r>
      <w:r w:rsidR="00931E3A" w:rsidRPr="00E079AF">
        <w:t>hysician Order Entry (CPOE) Standard</w:t>
      </w:r>
      <w:bookmarkEnd w:id="50"/>
    </w:p>
    <w:p w14:paraId="08DEFC27" w14:textId="77777777" w:rsidR="000C3BE1" w:rsidRDefault="000C3BE1">
      <w:pPr>
        <w:rPr>
          <w:snapToGrid w:val="0"/>
        </w:rPr>
      </w:pPr>
    </w:p>
    <w:p w14:paraId="6D7C2C9F" w14:textId="77777777" w:rsidR="0086770B" w:rsidRPr="00414DB9" w:rsidRDefault="000C3BE1" w:rsidP="00F87A51">
      <w:pPr>
        <w:rPr>
          <w:b/>
        </w:rPr>
      </w:pPr>
      <w:r w:rsidRPr="00341244">
        <w:rPr>
          <w:b/>
          <w:snapToGrid w:val="0"/>
        </w:rPr>
        <w:t xml:space="preserve">Link to CPOE Fact </w:t>
      </w:r>
      <w:r w:rsidRPr="007B3A32">
        <w:rPr>
          <w:b/>
          <w:snapToGrid w:val="0"/>
        </w:rPr>
        <w:t xml:space="preserve">Sheet: </w:t>
      </w:r>
      <w:hyperlink r:id="rId65" w:history="1">
        <w:r w:rsidR="00E03E77" w:rsidRPr="007B3A32">
          <w:rPr>
            <w:rStyle w:val="Hyperlink"/>
          </w:rPr>
          <w:t>http://leapfroggroup.org/ratings-reports/survey-content</w:t>
        </w:r>
      </w:hyperlink>
    </w:p>
    <w:p w14:paraId="4FC8C267" w14:textId="77777777" w:rsidR="00F87A51" w:rsidRPr="00414DB9" w:rsidRDefault="00F87A51" w:rsidP="00F4575B">
      <w:pPr>
        <w:pStyle w:val="BodyText3"/>
        <w:rPr>
          <w:b/>
          <w:color w:val="FF0000"/>
        </w:rPr>
      </w:pPr>
    </w:p>
    <w:p w14:paraId="63D6BFF5" w14:textId="77777777" w:rsidR="00F4575B" w:rsidRPr="00414DB9" w:rsidRDefault="00F4575B" w:rsidP="00F4575B">
      <w:pPr>
        <w:pStyle w:val="BodyText3"/>
        <w:rPr>
          <w:b/>
          <w:color w:val="FF0000"/>
        </w:rPr>
      </w:pPr>
      <w:r w:rsidRPr="00414DB9">
        <w:rPr>
          <w:b/>
          <w:color w:val="FF0000"/>
        </w:rPr>
        <w:t>The Pediatric Inpatient CPOE Evaluation Tool is not available. Pediatric Ho</w:t>
      </w:r>
      <w:r w:rsidR="004D0468" w:rsidRPr="00414DB9">
        <w:rPr>
          <w:b/>
          <w:color w:val="FF0000"/>
        </w:rPr>
        <w:t xml:space="preserve">spitals should complete </w:t>
      </w:r>
      <w:r w:rsidR="002B7D82" w:rsidRPr="00414DB9">
        <w:rPr>
          <w:b/>
          <w:color w:val="FF0000"/>
        </w:rPr>
        <w:t>questions #</w:t>
      </w:r>
      <w:r w:rsidR="004D0468" w:rsidRPr="00414DB9">
        <w:rPr>
          <w:b/>
          <w:color w:val="FF0000"/>
        </w:rPr>
        <w:t>1-</w:t>
      </w:r>
      <w:r w:rsidR="00471389" w:rsidRPr="00414DB9">
        <w:rPr>
          <w:b/>
          <w:color w:val="FF0000"/>
        </w:rPr>
        <w:t>4</w:t>
      </w:r>
      <w:r w:rsidRPr="00414DB9">
        <w:rPr>
          <w:b/>
          <w:color w:val="FF0000"/>
        </w:rPr>
        <w:t xml:space="preserve"> only.</w:t>
      </w:r>
    </w:p>
    <w:p w14:paraId="408F1257" w14:textId="77777777" w:rsidR="00F4575B" w:rsidRPr="00414DB9" w:rsidRDefault="00F4575B">
      <w:pPr>
        <w:pStyle w:val="BodyText3"/>
        <w:rPr>
          <w:b/>
        </w:rPr>
      </w:pPr>
    </w:p>
    <w:p w14:paraId="4BBF6281" w14:textId="77777777" w:rsidR="008910AA" w:rsidRPr="00414DB9" w:rsidRDefault="008910AA" w:rsidP="0060690C">
      <w:pPr>
        <w:rPr>
          <w:b/>
        </w:rPr>
      </w:pPr>
      <w:r w:rsidRPr="00414DB9">
        <w:rPr>
          <w:b/>
        </w:rPr>
        <w:t>Ea</w:t>
      </w:r>
      <w:r w:rsidR="005259DA" w:rsidRPr="00414DB9">
        <w:rPr>
          <w:b/>
        </w:rPr>
        <w:t xml:space="preserve">ch hospital </w:t>
      </w:r>
      <w:r w:rsidR="00D17415" w:rsidRPr="00414DB9">
        <w:rPr>
          <w:b/>
        </w:rPr>
        <w:t>fully meeting</w:t>
      </w:r>
      <w:r w:rsidR="005259DA" w:rsidRPr="00414DB9">
        <w:rPr>
          <w:b/>
        </w:rPr>
        <w:t xml:space="preserve"> this standard</w:t>
      </w:r>
      <w:r w:rsidRPr="00414DB9">
        <w:rPr>
          <w:b/>
        </w:rPr>
        <w:t xml:space="preserve">: </w:t>
      </w:r>
    </w:p>
    <w:p w14:paraId="0832D2F9" w14:textId="77777777" w:rsidR="008910AA" w:rsidRPr="00414DB9" w:rsidRDefault="008910AA" w:rsidP="00ED58C1">
      <w:pPr>
        <w:pStyle w:val="ListParagraph"/>
        <w:numPr>
          <w:ilvl w:val="0"/>
          <w:numId w:val="28"/>
        </w:numPr>
      </w:pPr>
      <w:r w:rsidRPr="00414DB9">
        <w:t>Assures that prescribers* enter at least 75% of inpatient medication orders via a computer system that includes decision support software to reduce prescribing errors; and,</w:t>
      </w:r>
    </w:p>
    <w:p w14:paraId="20D44159" w14:textId="77777777" w:rsidR="00CE4D7F" w:rsidRDefault="00B14FE1" w:rsidP="00ED58C1">
      <w:pPr>
        <w:pStyle w:val="ListParagraph"/>
        <w:numPr>
          <w:ilvl w:val="0"/>
          <w:numId w:val="28"/>
        </w:numPr>
      </w:pPr>
      <w:r w:rsidRPr="00414DB9">
        <w:t xml:space="preserve">For </w:t>
      </w:r>
      <w:r w:rsidRPr="00414DB9">
        <w:rPr>
          <w:u w:val="single"/>
        </w:rPr>
        <w:t>adult and general hospitals</w:t>
      </w:r>
      <w:r w:rsidRPr="00414DB9">
        <w:t>, d</w:t>
      </w:r>
      <w:r w:rsidR="008910AA" w:rsidRPr="00414DB9">
        <w:t xml:space="preserve">emonstrates, via a test**, that its inpatient CPOE system can alert physicians to at least 50% of common serious prescribing errors in a majority of medication checking categories, including the </w:t>
      </w:r>
      <w:r w:rsidR="009106A9" w:rsidRPr="00414DB9">
        <w:t>drug: drug</w:t>
      </w:r>
      <w:r w:rsidR="008910AA" w:rsidRPr="00414DB9">
        <w:t xml:space="preserve"> and </w:t>
      </w:r>
      <w:r w:rsidR="009106A9" w:rsidRPr="00414DB9">
        <w:t>drug: allergy</w:t>
      </w:r>
      <w:r w:rsidR="008910AA" w:rsidRPr="00414DB9">
        <w:t xml:space="preserve"> checking categories.</w:t>
      </w:r>
    </w:p>
    <w:p w14:paraId="09DBB13A" w14:textId="77777777" w:rsidR="008910AA" w:rsidRPr="00414DB9" w:rsidRDefault="008910AA" w:rsidP="0060690C"/>
    <w:p w14:paraId="4C2AB2E5" w14:textId="77777777" w:rsidR="008910AA" w:rsidRPr="007B3A32" w:rsidRDefault="008910AA" w:rsidP="0060690C">
      <w:r w:rsidRPr="007B3A32">
        <w:t xml:space="preserve">* “Prescribers” used throughout this section refers to all </w:t>
      </w:r>
      <w:r w:rsidR="00BD157F" w:rsidRPr="007B3A32">
        <w:t xml:space="preserve">licensed </w:t>
      </w:r>
      <w:r w:rsidRPr="007B3A32">
        <w:t xml:space="preserve">clinicians authorized by the </w:t>
      </w:r>
      <w:r w:rsidR="00BD157F" w:rsidRPr="007B3A32">
        <w:t xml:space="preserve">state in which the </w:t>
      </w:r>
      <w:r w:rsidRPr="007B3A32">
        <w:t>hospital</w:t>
      </w:r>
      <w:r w:rsidR="00BD157F" w:rsidRPr="007B3A32">
        <w:t xml:space="preserve"> is located</w:t>
      </w:r>
      <w:r w:rsidRPr="007B3A32">
        <w:t xml:space="preserve"> to order pharmaceuticals for patients.</w:t>
      </w:r>
    </w:p>
    <w:p w14:paraId="1D1DD735" w14:textId="77777777" w:rsidR="008910AA" w:rsidRPr="007B3A32" w:rsidRDefault="008910AA" w:rsidP="0060690C"/>
    <w:p w14:paraId="1CD5C1D5" w14:textId="77777777" w:rsidR="00963F55" w:rsidRPr="007B3A32" w:rsidRDefault="008910AA" w:rsidP="0060690C">
      <w:r w:rsidRPr="007B3A32">
        <w:t xml:space="preserve">** For the </w:t>
      </w:r>
      <w:r w:rsidR="004F68CC" w:rsidRPr="007B3A32">
        <w:t>2016 Survey</w:t>
      </w:r>
      <w:r w:rsidRPr="007B3A32">
        <w:t xml:space="preserve">, scored results on the </w:t>
      </w:r>
      <w:r w:rsidR="002C1F53" w:rsidRPr="007B3A32">
        <w:t xml:space="preserve">Adult Inpatient </w:t>
      </w:r>
      <w:r w:rsidRPr="007B3A32">
        <w:t>CPOE Evaluation Tool will be used to assess if a</w:t>
      </w:r>
      <w:r w:rsidR="00B14FE1" w:rsidRPr="007B3A32">
        <w:t>n adult</w:t>
      </w:r>
      <w:r w:rsidRPr="007B3A32">
        <w:t xml:space="preserve"> </w:t>
      </w:r>
      <w:r w:rsidR="00B14FE1" w:rsidRPr="007B3A32">
        <w:t xml:space="preserve">or general </w:t>
      </w:r>
      <w:r w:rsidRPr="007B3A32">
        <w:t xml:space="preserve">hospital’s CPOE system is alerting physicians to at least 50% of common serious prescribing errors in a majority of medication checking categories, including the </w:t>
      </w:r>
      <w:r w:rsidR="009106A9" w:rsidRPr="007B3A32">
        <w:t>drug: drug</w:t>
      </w:r>
      <w:r w:rsidRPr="007B3A32">
        <w:t xml:space="preserve"> and </w:t>
      </w:r>
      <w:r w:rsidR="009106A9" w:rsidRPr="007B3A32">
        <w:t>drug: allergy</w:t>
      </w:r>
      <w:r w:rsidRPr="007B3A32">
        <w:t xml:space="preserve"> checking categories. A hospital may access the CPOE Evaluation Tool only after</w:t>
      </w:r>
      <w:r w:rsidR="00963F55" w:rsidRPr="007B3A32">
        <w:t xml:space="preserve"> the following:</w:t>
      </w:r>
    </w:p>
    <w:p w14:paraId="4F79B6FC" w14:textId="77777777" w:rsidR="00963F55" w:rsidRPr="007B3A32" w:rsidRDefault="001E3954" w:rsidP="00ED58C1">
      <w:pPr>
        <w:pStyle w:val="ListParagraph"/>
        <w:numPr>
          <w:ilvl w:val="0"/>
          <w:numId w:val="63"/>
        </w:numPr>
      </w:pPr>
      <w:r w:rsidRPr="007B3A32">
        <w:t>Respond</w:t>
      </w:r>
      <w:r w:rsidR="00847E1D" w:rsidRPr="007B3A32">
        <w:t>ing</w:t>
      </w:r>
      <w:r w:rsidRPr="007B3A32">
        <w:t xml:space="preserve"> ‘yes’ to question #2</w:t>
      </w:r>
      <w:r w:rsidR="00847E1D" w:rsidRPr="007B3A32">
        <w:t>,</w:t>
      </w:r>
      <w:r w:rsidRPr="007B3A32">
        <w:t xml:space="preserve"> i</w:t>
      </w:r>
      <w:r w:rsidR="008910AA" w:rsidRPr="007B3A32">
        <w:t>ndicating that your hospital has a functioning CPOE system in</w:t>
      </w:r>
      <w:r w:rsidRPr="007B3A32">
        <w:t xml:space="preserve"> at least one inpatient unit</w:t>
      </w:r>
    </w:p>
    <w:p w14:paraId="0B6DBAA4" w14:textId="77777777" w:rsidR="00963F55" w:rsidRPr="007B3A32" w:rsidRDefault="00963F55" w:rsidP="00ED58C1">
      <w:pPr>
        <w:pStyle w:val="ListParagraph"/>
        <w:numPr>
          <w:ilvl w:val="0"/>
          <w:numId w:val="63"/>
        </w:numPr>
      </w:pPr>
      <w:r w:rsidRPr="007B3A32">
        <w:t>R</w:t>
      </w:r>
      <w:r w:rsidR="001E3954" w:rsidRPr="007B3A32">
        <w:t>espond</w:t>
      </w:r>
      <w:r w:rsidR="00847E1D" w:rsidRPr="007B3A32">
        <w:t>ing</w:t>
      </w:r>
      <w:r w:rsidR="0060690C" w:rsidRPr="007B3A32">
        <w:t xml:space="preserve"> to questions </w:t>
      </w:r>
      <w:r w:rsidR="002B7D82" w:rsidRPr="007B3A32">
        <w:t>#</w:t>
      </w:r>
      <w:r w:rsidRPr="007B3A32">
        <w:t>3</w:t>
      </w:r>
      <w:r w:rsidR="002B7D82" w:rsidRPr="007B3A32">
        <w:t>-</w:t>
      </w:r>
      <w:r w:rsidRPr="007B3A32">
        <w:t>4</w:t>
      </w:r>
    </w:p>
    <w:p w14:paraId="0B9DD7EF" w14:textId="77777777" w:rsidR="00963F55" w:rsidRPr="007B3A32" w:rsidRDefault="00963F55" w:rsidP="00ED58C1">
      <w:pPr>
        <w:pStyle w:val="ListParagraph"/>
        <w:numPr>
          <w:ilvl w:val="0"/>
          <w:numId w:val="63"/>
        </w:numPr>
      </w:pPr>
      <w:r w:rsidRPr="007B3A32">
        <w:t>A</w:t>
      </w:r>
      <w:r w:rsidR="0060690C" w:rsidRPr="007B3A32">
        <w:t>ffirm</w:t>
      </w:r>
      <w:r w:rsidR="00847E1D" w:rsidRPr="007B3A32">
        <w:t>ing</w:t>
      </w:r>
      <w:r w:rsidR="001E3954" w:rsidRPr="007B3A32">
        <w:t xml:space="preserve"> and submitting </w:t>
      </w:r>
      <w:r w:rsidR="00847E1D" w:rsidRPr="007B3A32">
        <w:t xml:space="preserve"> Section 2</w:t>
      </w:r>
      <w:r w:rsidR="001E3954" w:rsidRPr="007B3A32">
        <w:t xml:space="preserve"> from the survey dashboard</w:t>
      </w:r>
    </w:p>
    <w:p w14:paraId="4171A1B3" w14:textId="77777777" w:rsidR="009D4EAF" w:rsidRDefault="009D4EAF" w:rsidP="009D4EAF">
      <w:pPr>
        <w:rPr>
          <w:b/>
        </w:rPr>
      </w:pPr>
    </w:p>
    <w:p w14:paraId="3F551A82" w14:textId="77777777" w:rsidR="009D4EAF" w:rsidRPr="009D4EAF" w:rsidRDefault="009D4EAF" w:rsidP="009D4EAF">
      <w:pPr>
        <w:rPr>
          <w:b/>
        </w:rPr>
      </w:pPr>
      <w:r w:rsidRPr="009D4EAF">
        <w:rPr>
          <w:b/>
        </w:rPr>
        <w:t xml:space="preserve">More information about the 2016 Leapfrog Hospital Survey </w:t>
      </w:r>
      <w:r w:rsidR="00D05DFD">
        <w:rPr>
          <w:b/>
        </w:rPr>
        <w:t xml:space="preserve">Scoring Algorithms </w:t>
      </w:r>
      <w:r w:rsidRPr="009D4EAF">
        <w:rPr>
          <w:b/>
        </w:rPr>
        <w:t>and CPOE Evaluation Tool Scoring</w:t>
      </w:r>
      <w:r w:rsidR="00D05DFD">
        <w:rPr>
          <w:b/>
        </w:rPr>
        <w:t xml:space="preserve"> Criteria</w:t>
      </w:r>
      <w:r w:rsidRPr="009D4EAF">
        <w:rPr>
          <w:b/>
        </w:rPr>
        <w:t xml:space="preserve"> is available at: </w:t>
      </w:r>
      <w:hyperlink r:id="rId66" w:history="1">
        <w:r w:rsidR="008916DA" w:rsidRPr="000421AE">
          <w:rPr>
            <w:rStyle w:val="Hyperlink"/>
          </w:rPr>
          <w:t>http://leapfroggroup.org/survey-materials/scoring-and-results</w:t>
        </w:r>
      </w:hyperlink>
      <w:r w:rsidR="008916DA">
        <w:rPr>
          <w:b/>
        </w:rPr>
        <w:t xml:space="preserve">. </w:t>
      </w:r>
    </w:p>
    <w:p w14:paraId="3EE6B5D5" w14:textId="77777777" w:rsidR="0060690C" w:rsidRPr="00414DB9" w:rsidRDefault="0060690C" w:rsidP="0060690C"/>
    <w:p w14:paraId="33DA8698" w14:textId="77777777" w:rsidR="00725220" w:rsidRPr="00414DB9" w:rsidRDefault="006C3A34" w:rsidP="0060690C">
      <w:r w:rsidRPr="006C3A34">
        <w:rPr>
          <w:b/>
          <w:color w:val="FF0000"/>
        </w:rPr>
        <w:t>Important</w:t>
      </w:r>
      <w:r w:rsidR="00E044E7" w:rsidRPr="006C3A34">
        <w:rPr>
          <w:b/>
          <w:color w:val="FF0000"/>
        </w:rPr>
        <w:t xml:space="preserve"> Note:</w:t>
      </w:r>
      <w:r w:rsidR="00E044E7" w:rsidRPr="006C3A34">
        <w:rPr>
          <w:color w:val="FF0000"/>
        </w:rPr>
        <w:t xml:space="preserve"> </w:t>
      </w:r>
      <w:r w:rsidR="00E044E7" w:rsidRPr="00414DB9">
        <w:t xml:space="preserve">The CPOE Evaluation Tool </w:t>
      </w:r>
      <w:r w:rsidR="00302A7A" w:rsidRPr="00414DB9">
        <w:t xml:space="preserve">must be taken at least once per survey cycle to be included in your </w:t>
      </w:r>
      <w:r w:rsidR="0060690C" w:rsidRPr="00414DB9">
        <w:t xml:space="preserve">overall </w:t>
      </w:r>
      <w:r w:rsidR="00302A7A" w:rsidRPr="00414DB9">
        <w:t xml:space="preserve">CPOE </w:t>
      </w:r>
      <w:r w:rsidR="0060690C" w:rsidRPr="00414DB9">
        <w:t>score (see</w:t>
      </w:r>
      <w:r w:rsidR="007903D1" w:rsidRPr="00414DB9">
        <w:t xml:space="preserve"> Scoring Algorithms in the ‘</w:t>
      </w:r>
      <w:r w:rsidR="00E5723C">
        <w:t>Scoring and Results’</w:t>
      </w:r>
      <w:r w:rsidR="007903D1" w:rsidRPr="00414DB9">
        <w:t xml:space="preserve"> section of the website)</w:t>
      </w:r>
      <w:r w:rsidR="00DD5352" w:rsidRPr="00414DB9">
        <w:t xml:space="preserve">. </w:t>
      </w:r>
      <w:r w:rsidR="0060690C" w:rsidRPr="00414DB9">
        <w:t>H</w:t>
      </w:r>
      <w:r w:rsidR="00302A7A" w:rsidRPr="00414DB9">
        <w:t>ospitals are only able to re-</w:t>
      </w:r>
      <w:r w:rsidR="0060690C" w:rsidRPr="00414DB9">
        <w:t xml:space="preserve">take a CPOE Evaluation Tool after </w:t>
      </w:r>
      <w:r w:rsidR="00302A7A" w:rsidRPr="00414DB9">
        <w:t>6 months have passed since they last completed the CPOE Evaluation Tool.</w:t>
      </w:r>
    </w:p>
    <w:p w14:paraId="616A435E" w14:textId="77777777" w:rsidR="006C3A34" w:rsidRDefault="006C3A34" w:rsidP="00C57CCE"/>
    <w:p w14:paraId="44A7584C" w14:textId="77777777" w:rsidR="006C3A34" w:rsidRDefault="006C3A34" w:rsidP="00C57CCE"/>
    <w:p w14:paraId="62F32BB5" w14:textId="77777777" w:rsidR="006C3A34" w:rsidRDefault="006C3A34" w:rsidP="00C57CCE"/>
    <w:p w14:paraId="25E09F43" w14:textId="77777777" w:rsidR="006C3A34" w:rsidRDefault="006C3A34" w:rsidP="00C57CCE"/>
    <w:p w14:paraId="354AA562" w14:textId="77777777" w:rsidR="006C3A34" w:rsidRDefault="006C3A34" w:rsidP="00C57CCE"/>
    <w:p w14:paraId="0BB7647D" w14:textId="77777777" w:rsidR="006C3A34" w:rsidRDefault="006C3A34" w:rsidP="00C57CCE"/>
    <w:p w14:paraId="1596D89E" w14:textId="77777777" w:rsidR="006C3A34" w:rsidRDefault="006C3A34" w:rsidP="00C57CCE"/>
    <w:p w14:paraId="5700EAA2" w14:textId="77777777" w:rsidR="006C3A34" w:rsidRDefault="006C3A34" w:rsidP="00C57CCE"/>
    <w:p w14:paraId="59361C65" w14:textId="77777777" w:rsidR="006C3A34" w:rsidRDefault="006C3A34" w:rsidP="00C57CCE"/>
    <w:p w14:paraId="0BEC3CD7" w14:textId="77777777" w:rsidR="006C3A34" w:rsidRDefault="006C3A34" w:rsidP="00C57CCE"/>
    <w:p w14:paraId="00E6B809" w14:textId="77777777" w:rsidR="006C3A34" w:rsidRDefault="006C3A34" w:rsidP="00C57CCE"/>
    <w:p w14:paraId="2E2EE007" w14:textId="77777777" w:rsidR="006C3A34" w:rsidRDefault="006C3A34" w:rsidP="00C57CCE"/>
    <w:p w14:paraId="57552D35" w14:textId="77777777" w:rsidR="006C3A34" w:rsidRDefault="006C3A34" w:rsidP="00C57CCE"/>
    <w:p w14:paraId="79B4263A" w14:textId="77777777" w:rsidR="006C3A34" w:rsidRDefault="006C3A34" w:rsidP="00C57CCE"/>
    <w:p w14:paraId="0F2B6AAC" w14:textId="77777777" w:rsidR="006C3A34" w:rsidRDefault="006C3A34" w:rsidP="00C57CCE"/>
    <w:p w14:paraId="0FA7F5AB" w14:textId="77777777" w:rsidR="00B31B8C" w:rsidRDefault="006C3A34" w:rsidP="00B31B8C">
      <w:r>
        <w:rPr>
          <w:b/>
          <w:snapToGrid w:val="0"/>
        </w:rPr>
        <w:br w:type="page"/>
      </w:r>
      <w:r w:rsidR="00B31B8C">
        <w:rPr>
          <w:b/>
        </w:rPr>
        <w:lastRenderedPageBreak/>
        <w:t xml:space="preserve">Specifications: </w:t>
      </w:r>
      <w:r w:rsidR="00B31B8C" w:rsidRPr="0029519D">
        <w:rPr>
          <w:snapToGrid w:val="0"/>
        </w:rPr>
        <w:t xml:space="preserve">Hospitals that share a Medicare Provider Number are required to report by facility. Please carefully review </w:t>
      </w:r>
      <w:hyperlink r:id="rId67" w:history="1">
        <w:r w:rsidR="00B31B8C" w:rsidRPr="00DF794C">
          <w:rPr>
            <w:rStyle w:val="Hyperlink"/>
            <w:snapToGrid w:val="0"/>
          </w:rPr>
          <w:t>Leapfrog’s Multi-Campus Reporting Policy</w:t>
        </w:r>
      </w:hyperlink>
      <w:r w:rsidR="00B31B8C" w:rsidRPr="00DF794C">
        <w:rPr>
          <w:snapToGrid w:val="0"/>
        </w:rPr>
        <w:t>.</w:t>
      </w:r>
    </w:p>
    <w:p w14:paraId="398868E7" w14:textId="77777777" w:rsidR="006C3A34" w:rsidRDefault="006C3A34">
      <w:pPr>
        <w:rPr>
          <w:b/>
          <w:snapToGrid w:val="0"/>
        </w:rPr>
      </w:pPr>
    </w:p>
    <w:tbl>
      <w:tblPr>
        <w:tblStyle w:val="TableGrid"/>
        <w:tblW w:w="953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30"/>
      </w:tblGrid>
      <w:tr w:rsidR="006C3A34" w14:paraId="5BD25189" w14:textId="77777777" w:rsidTr="008916DA">
        <w:trPr>
          <w:jc w:val="center"/>
        </w:trPr>
        <w:tc>
          <w:tcPr>
            <w:tcW w:w="9530" w:type="dxa"/>
          </w:tcPr>
          <w:p w14:paraId="412D4035" w14:textId="77777777" w:rsidR="006C3A34" w:rsidRDefault="006C3A34" w:rsidP="0086231B">
            <w:pPr>
              <w:spacing w:before="120"/>
              <w:rPr>
                <w:b/>
                <w:snapToGrid w:val="0"/>
              </w:rPr>
            </w:pPr>
            <w:r w:rsidRPr="00E61F97">
              <w:rPr>
                <w:b/>
                <w:snapToGrid w:val="0"/>
              </w:rPr>
              <w:t xml:space="preserve">Reporting Time Period: </w:t>
            </w:r>
            <w:r>
              <w:rPr>
                <w:b/>
                <w:snapToGrid w:val="0"/>
              </w:rPr>
              <w:t>3 months</w:t>
            </w:r>
          </w:p>
          <w:p w14:paraId="00050660" w14:textId="77777777" w:rsidR="006C3A34" w:rsidRPr="006C3A34" w:rsidRDefault="006C3A34" w:rsidP="0086231B">
            <w:pPr>
              <w:spacing w:after="120"/>
              <w:rPr>
                <w:snapToGrid w:val="0"/>
              </w:rPr>
            </w:pPr>
            <w:r w:rsidRPr="00367A93">
              <w:rPr>
                <w:snapToGrid w:val="0"/>
              </w:rPr>
              <w:t xml:space="preserve">Answer questions #1-4 for the latest 3-month period prior to the submission of this section of the survey. </w:t>
            </w:r>
          </w:p>
        </w:tc>
      </w:tr>
    </w:tbl>
    <w:p w14:paraId="2E8EEB9C" w14:textId="77777777" w:rsidR="008910AA" w:rsidRDefault="008910AA">
      <w:pPr>
        <w:rPr>
          <w:snapToGrid w:val="0"/>
          <w:color w:val="000000"/>
        </w:rPr>
      </w:pPr>
    </w:p>
    <w:p w14:paraId="3BF18428" w14:textId="77777777" w:rsidR="006C3A34" w:rsidRDefault="006C3A34">
      <w:pPr>
        <w:rPr>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2070"/>
        <w:gridCol w:w="1890"/>
      </w:tblGrid>
      <w:tr w:rsidR="008910AA" w14:paraId="48F4CAF2" w14:textId="77777777" w:rsidTr="008916DA">
        <w:trPr>
          <w:trHeight w:val="872"/>
          <w:jc w:val="center"/>
        </w:trPr>
        <w:tc>
          <w:tcPr>
            <w:tcW w:w="7668" w:type="dxa"/>
            <w:gridSpan w:val="2"/>
            <w:vAlign w:val="center"/>
          </w:tcPr>
          <w:p w14:paraId="3B67CD1F" w14:textId="77777777" w:rsidR="008910AA" w:rsidRPr="00480B14" w:rsidRDefault="00725220" w:rsidP="00FD3C45">
            <w:pPr>
              <w:numPr>
                <w:ilvl w:val="0"/>
                <w:numId w:val="3"/>
              </w:numPr>
              <w:rPr>
                <w:snapToGrid w:val="0"/>
                <w:color w:val="000000"/>
              </w:rPr>
            </w:pPr>
            <w:r w:rsidRPr="00480B14">
              <w:rPr>
                <w:snapToGrid w:val="0"/>
                <w:color w:val="000000"/>
              </w:rPr>
              <w:t>What is the latest 3-month reporting period for which your hospital is submitti</w:t>
            </w:r>
            <w:r w:rsidR="007D4C98" w:rsidRPr="00480B14">
              <w:rPr>
                <w:snapToGrid w:val="0"/>
                <w:color w:val="000000"/>
              </w:rPr>
              <w:t>ng responses to this section? 3-month reporting time period</w:t>
            </w:r>
            <w:r w:rsidRPr="00480B14">
              <w:rPr>
                <w:snapToGrid w:val="0"/>
                <w:color w:val="000000"/>
              </w:rPr>
              <w:t xml:space="preserve"> ending:</w:t>
            </w:r>
          </w:p>
        </w:tc>
        <w:tc>
          <w:tcPr>
            <w:tcW w:w="1890" w:type="dxa"/>
            <w:vAlign w:val="center"/>
          </w:tcPr>
          <w:p w14:paraId="1834E8E5" w14:textId="77777777" w:rsidR="00725220" w:rsidRPr="00480B14" w:rsidRDefault="00725220" w:rsidP="00DE5DD5">
            <w:pPr>
              <w:jc w:val="center"/>
              <w:rPr>
                <w:i/>
                <w:snapToGrid w:val="0"/>
              </w:rPr>
            </w:pPr>
            <w:r w:rsidRPr="00480B14">
              <w:rPr>
                <w:i/>
                <w:snapToGrid w:val="0"/>
              </w:rPr>
              <w:t>______</w:t>
            </w:r>
          </w:p>
          <w:p w14:paraId="40D7495F" w14:textId="77777777" w:rsidR="00725220" w:rsidRPr="00414DB9" w:rsidRDefault="00414DB9" w:rsidP="00414DB9">
            <w:pPr>
              <w:jc w:val="center"/>
              <w:rPr>
                <w:i/>
                <w:snapToGrid w:val="0"/>
                <w:sz w:val="16"/>
                <w:szCs w:val="16"/>
              </w:rPr>
            </w:pPr>
            <w:r>
              <w:rPr>
                <w:i/>
                <w:snapToGrid w:val="0"/>
                <w:sz w:val="16"/>
                <w:szCs w:val="16"/>
              </w:rPr>
              <w:t>Format: MM/YYYY</w:t>
            </w:r>
          </w:p>
          <w:p w14:paraId="1E26937C" w14:textId="77777777" w:rsidR="00725220" w:rsidRPr="00480B14" w:rsidRDefault="00725220" w:rsidP="00F44681">
            <w:pPr>
              <w:rPr>
                <w:i/>
                <w:snapToGrid w:val="0"/>
                <w:sz w:val="16"/>
                <w:szCs w:val="16"/>
              </w:rPr>
            </w:pPr>
          </w:p>
        </w:tc>
      </w:tr>
      <w:tr w:rsidR="00725220" w14:paraId="2773DBFB" w14:textId="77777777" w:rsidTr="008916DA">
        <w:trPr>
          <w:trHeight w:val="1340"/>
          <w:jc w:val="center"/>
        </w:trPr>
        <w:tc>
          <w:tcPr>
            <w:tcW w:w="7668" w:type="dxa"/>
            <w:gridSpan w:val="2"/>
            <w:vAlign w:val="center"/>
          </w:tcPr>
          <w:p w14:paraId="721A8A04" w14:textId="77777777" w:rsidR="00217D8D" w:rsidRPr="00480B14" w:rsidRDefault="00725220" w:rsidP="00FD3C45">
            <w:pPr>
              <w:numPr>
                <w:ilvl w:val="0"/>
                <w:numId w:val="3"/>
              </w:numPr>
              <w:rPr>
                <w:snapToGrid w:val="0"/>
                <w:color w:val="000000"/>
              </w:rPr>
            </w:pPr>
            <w:r w:rsidRPr="00480B14">
              <w:rPr>
                <w:snapToGrid w:val="0"/>
                <w:color w:val="000000"/>
              </w:rPr>
              <w:t xml:space="preserve">Does your hospital have a functioning CPOE system in one or more </w:t>
            </w:r>
            <w:r w:rsidRPr="00480B14">
              <w:rPr>
                <w:snapToGrid w:val="0"/>
                <w:color w:val="000000"/>
                <w:u w:val="single"/>
              </w:rPr>
              <w:t>inpatient</w:t>
            </w:r>
            <w:r w:rsidRPr="00480B14">
              <w:rPr>
                <w:snapToGrid w:val="0"/>
                <w:color w:val="000000"/>
              </w:rPr>
              <w:t xml:space="preserve"> units of the hospital</w:t>
            </w:r>
            <w:r w:rsidR="00217D8D" w:rsidRPr="00480B14">
              <w:rPr>
                <w:snapToGrid w:val="0"/>
                <w:color w:val="000000"/>
              </w:rPr>
              <w:t xml:space="preserve"> that:</w:t>
            </w:r>
          </w:p>
          <w:p w14:paraId="7F2DAF10" w14:textId="77777777" w:rsidR="00735853" w:rsidRPr="00480B14" w:rsidRDefault="00735853" w:rsidP="00ED58C1">
            <w:pPr>
              <w:pStyle w:val="ListParagraph"/>
              <w:numPr>
                <w:ilvl w:val="0"/>
                <w:numId w:val="61"/>
              </w:numPr>
              <w:rPr>
                <w:snapToGrid w:val="0"/>
              </w:rPr>
            </w:pPr>
            <w:r w:rsidRPr="00480B14">
              <w:rPr>
                <w:snapToGrid w:val="0"/>
              </w:rPr>
              <w:t xml:space="preserve">includes decision support </w:t>
            </w:r>
            <w:r w:rsidRPr="00480B14">
              <w:t>software to reduce prescribing errors</w:t>
            </w:r>
            <w:r w:rsidRPr="00480B14">
              <w:rPr>
                <w:snapToGrid w:val="0"/>
              </w:rPr>
              <w:t>; and,</w:t>
            </w:r>
          </w:p>
          <w:p w14:paraId="16A20382" w14:textId="77777777" w:rsidR="00725220" w:rsidRPr="00480B14" w:rsidRDefault="00735853" w:rsidP="00ED58C1">
            <w:pPr>
              <w:pStyle w:val="ListParagraph"/>
              <w:numPr>
                <w:ilvl w:val="0"/>
                <w:numId w:val="61"/>
              </w:numPr>
              <w:rPr>
                <w:snapToGrid w:val="0"/>
              </w:rPr>
            </w:pPr>
            <w:r w:rsidRPr="00480B14">
              <w:rPr>
                <w:snapToGrid w:val="0"/>
              </w:rPr>
              <w:t xml:space="preserve">is </w:t>
            </w:r>
            <w:hyperlink w:anchor="Endnote14" w:history="1">
              <w:r w:rsidRPr="001F1E71">
                <w:rPr>
                  <w:rStyle w:val="Hyperlink"/>
                  <w:snapToGrid w:val="0"/>
                </w:rPr>
                <w:t>linked</w:t>
              </w:r>
            </w:hyperlink>
            <w:r w:rsidRPr="00A75EF4">
              <w:rPr>
                <w:rStyle w:val="EndnoteReference"/>
                <w:snapToGrid w:val="0"/>
              </w:rPr>
              <w:endnoteReference w:id="15"/>
            </w:r>
            <w:r w:rsidRPr="00480B14">
              <w:rPr>
                <w:snapToGrid w:val="0"/>
              </w:rPr>
              <w:t xml:space="preserve"> to pharmacy, laboratory, and admitting-discharge-transfer (ADT) information in your hospital</w:t>
            </w:r>
          </w:p>
        </w:tc>
        <w:tc>
          <w:tcPr>
            <w:tcW w:w="1890" w:type="dxa"/>
            <w:vAlign w:val="center"/>
          </w:tcPr>
          <w:p w14:paraId="606D4E18" w14:textId="77777777" w:rsidR="00725220" w:rsidRDefault="00725220" w:rsidP="00DE5DD5">
            <w:pPr>
              <w:jc w:val="center"/>
              <w:rPr>
                <w:i/>
                <w:snapToGrid w:val="0"/>
              </w:rPr>
            </w:pPr>
            <w:r w:rsidRPr="00480B14">
              <w:rPr>
                <w:i/>
                <w:snapToGrid w:val="0"/>
              </w:rPr>
              <w:t>Yes</w:t>
            </w:r>
          </w:p>
          <w:p w14:paraId="5C59CD94" w14:textId="77777777" w:rsidR="00414DB9" w:rsidRPr="00480B14" w:rsidRDefault="00414DB9" w:rsidP="00DE5DD5">
            <w:pPr>
              <w:jc w:val="center"/>
              <w:rPr>
                <w:i/>
                <w:snapToGrid w:val="0"/>
              </w:rPr>
            </w:pPr>
          </w:p>
          <w:p w14:paraId="7C307EF4" w14:textId="77777777" w:rsidR="00725220" w:rsidRDefault="00725220" w:rsidP="00DE5DD5">
            <w:pPr>
              <w:jc w:val="center"/>
              <w:rPr>
                <w:i/>
                <w:snapToGrid w:val="0"/>
              </w:rPr>
            </w:pPr>
            <w:r w:rsidRPr="00480B14">
              <w:rPr>
                <w:i/>
                <w:snapToGrid w:val="0"/>
              </w:rPr>
              <w:t>No</w:t>
            </w:r>
          </w:p>
          <w:p w14:paraId="6B834ED3" w14:textId="77777777" w:rsidR="00414DB9" w:rsidRPr="00480B14" w:rsidRDefault="00414DB9" w:rsidP="004D6EB3">
            <w:pPr>
              <w:rPr>
                <w:i/>
                <w:snapToGrid w:val="0"/>
              </w:rPr>
            </w:pPr>
          </w:p>
        </w:tc>
      </w:tr>
      <w:tr w:rsidR="00725220" w14:paraId="7918542F" w14:textId="77777777" w:rsidTr="008916DA">
        <w:tblPrEx>
          <w:tblBorders>
            <w:top w:val="single" w:sz="24" w:space="0" w:color="auto"/>
            <w:left w:val="none" w:sz="0" w:space="0" w:color="auto"/>
            <w:bottom w:val="none" w:sz="0" w:space="0" w:color="auto"/>
            <w:right w:val="none" w:sz="0" w:space="0" w:color="auto"/>
          </w:tblBorders>
        </w:tblPrEx>
        <w:trPr>
          <w:cantSplit/>
          <w:jc w:val="center"/>
        </w:trPr>
        <w:tc>
          <w:tcPr>
            <w:tcW w:w="9558" w:type="dxa"/>
            <w:gridSpan w:val="3"/>
          </w:tcPr>
          <w:p w14:paraId="22CAF23E" w14:textId="77777777" w:rsidR="00725220" w:rsidRPr="00480B14" w:rsidRDefault="00725220">
            <w:pPr>
              <w:rPr>
                <w:i/>
              </w:rPr>
            </w:pPr>
          </w:p>
          <w:p w14:paraId="5EBC07FE" w14:textId="77777777" w:rsidR="00725220" w:rsidRDefault="00725220" w:rsidP="00071531">
            <w:pPr>
              <w:rPr>
                <w:i/>
              </w:rPr>
            </w:pPr>
            <w:r w:rsidRPr="00480B14">
              <w:rPr>
                <w:i/>
              </w:rPr>
              <w:t xml:space="preserve">If </w:t>
            </w:r>
            <w:r w:rsidR="007477C6">
              <w:rPr>
                <w:i/>
              </w:rPr>
              <w:t>“yes” to question #2,</w:t>
            </w:r>
            <w:r w:rsidRPr="00480B14">
              <w:rPr>
                <w:i/>
              </w:rPr>
              <w:t xml:space="preserve"> continue with questions </w:t>
            </w:r>
            <w:r w:rsidR="002B7D82" w:rsidRPr="00480B14">
              <w:rPr>
                <w:i/>
              </w:rPr>
              <w:t>#</w:t>
            </w:r>
            <w:r w:rsidR="00071531" w:rsidRPr="00480B14">
              <w:rPr>
                <w:i/>
              </w:rPr>
              <w:t>3</w:t>
            </w:r>
            <w:r w:rsidR="002E4439">
              <w:rPr>
                <w:i/>
              </w:rPr>
              <w:t xml:space="preserve"> and </w:t>
            </w:r>
            <w:r w:rsidR="00480B14" w:rsidRPr="00480B14">
              <w:rPr>
                <w:i/>
              </w:rPr>
              <w:t>#</w:t>
            </w:r>
            <w:r w:rsidR="00071531" w:rsidRPr="00480B14">
              <w:rPr>
                <w:i/>
              </w:rPr>
              <w:t>4</w:t>
            </w:r>
            <w:r w:rsidR="00735853" w:rsidRPr="00480B14">
              <w:rPr>
                <w:i/>
              </w:rPr>
              <w:t xml:space="preserve">; </w:t>
            </w:r>
            <w:r w:rsidRPr="00480B14">
              <w:rPr>
                <w:i/>
              </w:rPr>
              <w:t>otherwise, skip to Affirmation of Accuracy</w:t>
            </w:r>
          </w:p>
          <w:p w14:paraId="6E8B8272" w14:textId="77777777" w:rsidR="007477C6" w:rsidRPr="007477C6" w:rsidRDefault="007477C6" w:rsidP="00071531">
            <w:pPr>
              <w:rPr>
                <w:i/>
              </w:rPr>
            </w:pPr>
          </w:p>
        </w:tc>
      </w:tr>
      <w:tr w:rsidR="00725220" w14:paraId="5F8BE678" w14:textId="77777777" w:rsidTr="008916DA">
        <w:trPr>
          <w:jc w:val="center"/>
        </w:trPr>
        <w:tc>
          <w:tcPr>
            <w:tcW w:w="7668" w:type="dxa"/>
            <w:gridSpan w:val="2"/>
            <w:vAlign w:val="center"/>
          </w:tcPr>
          <w:p w14:paraId="205BF156" w14:textId="698A03FF" w:rsidR="00B90182" w:rsidRPr="00CC5A3C" w:rsidRDefault="00725220" w:rsidP="00CC5A3C">
            <w:pPr>
              <w:numPr>
                <w:ilvl w:val="0"/>
                <w:numId w:val="3"/>
              </w:numPr>
              <w:rPr>
                <w:snapToGrid w:val="0"/>
              </w:rPr>
            </w:pPr>
            <w:r w:rsidRPr="00480B14">
              <w:rPr>
                <w:snapToGrid w:val="0"/>
              </w:rPr>
              <w:t xml:space="preserve">Total number of </w:t>
            </w:r>
            <w:r w:rsidRPr="00480B14">
              <w:rPr>
                <w:b/>
                <w:snapToGrid w:val="0"/>
              </w:rPr>
              <w:t>inpatient medication orders</w:t>
            </w:r>
            <w:r w:rsidRPr="00480B14">
              <w:rPr>
                <w:snapToGrid w:val="0"/>
              </w:rPr>
              <w:t>, including orders made in units which do NOT have a functioning CPOE system.</w:t>
            </w:r>
          </w:p>
        </w:tc>
        <w:tc>
          <w:tcPr>
            <w:tcW w:w="1890" w:type="dxa"/>
            <w:vAlign w:val="center"/>
          </w:tcPr>
          <w:p w14:paraId="024635EE" w14:textId="77777777" w:rsidR="00725220" w:rsidRPr="004D6EB3" w:rsidRDefault="00725220" w:rsidP="00DE5DD5">
            <w:pPr>
              <w:jc w:val="center"/>
              <w:rPr>
                <w:i/>
                <w:snapToGrid w:val="0"/>
              </w:rPr>
            </w:pPr>
          </w:p>
          <w:p w14:paraId="5A8F9C17" w14:textId="77777777" w:rsidR="00725220" w:rsidRPr="004D6EB3" w:rsidRDefault="00725220" w:rsidP="00DE5DD5">
            <w:pPr>
              <w:jc w:val="center"/>
              <w:rPr>
                <w:i/>
                <w:snapToGrid w:val="0"/>
              </w:rPr>
            </w:pPr>
            <w:r w:rsidRPr="004D6EB3">
              <w:rPr>
                <w:i/>
                <w:snapToGrid w:val="0"/>
              </w:rPr>
              <w:t>_____</w:t>
            </w:r>
          </w:p>
          <w:p w14:paraId="5263F3C6" w14:textId="77777777" w:rsidR="00725220" w:rsidRPr="004D6EB3" w:rsidRDefault="00E77C7B" w:rsidP="00DE5DD5">
            <w:pPr>
              <w:jc w:val="center"/>
              <w:rPr>
                <w:i/>
                <w:snapToGrid w:val="0"/>
                <w:sz w:val="16"/>
                <w:szCs w:val="16"/>
              </w:rPr>
            </w:pPr>
            <w:r w:rsidRPr="004D6EB3">
              <w:rPr>
                <w:i/>
                <w:snapToGrid w:val="0"/>
                <w:sz w:val="16"/>
                <w:szCs w:val="16"/>
              </w:rPr>
              <w:t>Format: Whole numbers only</w:t>
            </w:r>
          </w:p>
        </w:tc>
      </w:tr>
      <w:tr w:rsidR="00725220" w14:paraId="3015B82A" w14:textId="77777777" w:rsidTr="008916DA">
        <w:trPr>
          <w:trHeight w:val="710"/>
          <w:jc w:val="center"/>
        </w:trPr>
        <w:tc>
          <w:tcPr>
            <w:tcW w:w="7668" w:type="dxa"/>
            <w:gridSpan w:val="2"/>
            <w:vAlign w:val="center"/>
          </w:tcPr>
          <w:p w14:paraId="7118A50B" w14:textId="25CE3B75" w:rsidR="00B90182" w:rsidRPr="00CC5A3C" w:rsidRDefault="00725220" w:rsidP="00CC5A3C">
            <w:pPr>
              <w:numPr>
                <w:ilvl w:val="0"/>
                <w:numId w:val="3"/>
              </w:numPr>
              <w:rPr>
                <w:snapToGrid w:val="0"/>
              </w:rPr>
            </w:pPr>
            <w:r w:rsidRPr="00480B14">
              <w:rPr>
                <w:snapToGrid w:val="0"/>
              </w:rPr>
              <w:t>The number of</w:t>
            </w:r>
            <w:r w:rsidRPr="00480B14">
              <w:rPr>
                <w:b/>
                <w:snapToGrid w:val="0"/>
              </w:rPr>
              <w:t xml:space="preserve"> orders</w:t>
            </w:r>
            <w:r w:rsidR="004D0468" w:rsidRPr="00480B14">
              <w:rPr>
                <w:snapToGrid w:val="0"/>
              </w:rPr>
              <w:t xml:space="preserve"> in question </w:t>
            </w:r>
            <w:r w:rsidR="002B7D82" w:rsidRPr="00480B14">
              <w:rPr>
                <w:snapToGrid w:val="0"/>
              </w:rPr>
              <w:t>#</w:t>
            </w:r>
            <w:r w:rsidR="007903D1" w:rsidRPr="00480B14">
              <w:rPr>
                <w:snapToGrid w:val="0"/>
              </w:rPr>
              <w:t>3</w:t>
            </w:r>
            <w:r w:rsidRPr="00480B14">
              <w:rPr>
                <w:snapToGrid w:val="0"/>
              </w:rPr>
              <w:t xml:space="preserve"> that licensed prescribers entered via a CPOE system that</w:t>
            </w:r>
            <w:r w:rsidR="00735853" w:rsidRPr="00480B14">
              <w:rPr>
                <w:snapToGrid w:val="0"/>
              </w:rPr>
              <w:t xml:space="preserve"> meets the </w:t>
            </w:r>
            <w:r w:rsidR="007903D1" w:rsidRPr="00480B14">
              <w:rPr>
                <w:snapToGrid w:val="0"/>
              </w:rPr>
              <w:t xml:space="preserve">criteria </w:t>
            </w:r>
            <w:r w:rsidR="00DE5DD5" w:rsidRPr="00480B14">
              <w:rPr>
                <w:snapToGrid w:val="0"/>
              </w:rPr>
              <w:t xml:space="preserve">outlined in question </w:t>
            </w:r>
            <w:r w:rsidR="002B7D82" w:rsidRPr="00480B14">
              <w:rPr>
                <w:snapToGrid w:val="0"/>
              </w:rPr>
              <w:t>#</w:t>
            </w:r>
            <w:r w:rsidR="00DE5DD5" w:rsidRPr="00480B14">
              <w:rPr>
                <w:snapToGrid w:val="0"/>
              </w:rPr>
              <w:t>2</w:t>
            </w:r>
            <w:r w:rsidR="00735853" w:rsidRPr="00480B14">
              <w:rPr>
                <w:snapToGrid w:val="0"/>
              </w:rPr>
              <w:t>.</w:t>
            </w:r>
          </w:p>
        </w:tc>
        <w:tc>
          <w:tcPr>
            <w:tcW w:w="1890" w:type="dxa"/>
            <w:vAlign w:val="center"/>
          </w:tcPr>
          <w:p w14:paraId="5C36D659" w14:textId="77777777" w:rsidR="00CC5A3C" w:rsidRDefault="00CC5A3C" w:rsidP="00CC5A3C">
            <w:pPr>
              <w:jc w:val="center"/>
              <w:rPr>
                <w:i/>
                <w:snapToGrid w:val="0"/>
              </w:rPr>
            </w:pPr>
          </w:p>
          <w:p w14:paraId="598098FF" w14:textId="7D706746" w:rsidR="00725220" w:rsidRPr="004D6EB3" w:rsidRDefault="00725220" w:rsidP="00CC5A3C">
            <w:pPr>
              <w:jc w:val="center"/>
              <w:rPr>
                <w:i/>
                <w:snapToGrid w:val="0"/>
              </w:rPr>
            </w:pPr>
            <w:r w:rsidRPr="004D6EB3">
              <w:rPr>
                <w:i/>
                <w:snapToGrid w:val="0"/>
              </w:rPr>
              <w:t>_____</w:t>
            </w:r>
          </w:p>
          <w:p w14:paraId="357A4E2C" w14:textId="77777777" w:rsidR="00E77C7B" w:rsidRPr="004D6EB3" w:rsidRDefault="00E77C7B" w:rsidP="00DE5DD5">
            <w:pPr>
              <w:jc w:val="center"/>
              <w:rPr>
                <w:i/>
                <w:snapToGrid w:val="0"/>
                <w:sz w:val="16"/>
                <w:szCs w:val="16"/>
              </w:rPr>
            </w:pPr>
            <w:r w:rsidRPr="004D6EB3">
              <w:rPr>
                <w:i/>
                <w:snapToGrid w:val="0"/>
                <w:sz w:val="16"/>
                <w:szCs w:val="16"/>
              </w:rPr>
              <w:t>Format: Whole numbers only</w:t>
            </w:r>
          </w:p>
        </w:tc>
      </w:tr>
      <w:tr w:rsidR="00725220" w14:paraId="08FD1B93" w14:textId="77777777" w:rsidTr="008916DA">
        <w:tblPrEx>
          <w:tblBorders>
            <w:top w:val="single" w:sz="24" w:space="0" w:color="auto"/>
            <w:left w:val="none" w:sz="0" w:space="0" w:color="auto"/>
            <w:bottom w:val="none" w:sz="0" w:space="0" w:color="auto"/>
            <w:right w:val="none" w:sz="0" w:space="0" w:color="auto"/>
          </w:tblBorders>
        </w:tblPrEx>
        <w:trPr>
          <w:cantSplit/>
          <w:jc w:val="center"/>
        </w:trPr>
        <w:tc>
          <w:tcPr>
            <w:tcW w:w="9558" w:type="dxa"/>
            <w:gridSpan w:val="3"/>
          </w:tcPr>
          <w:p w14:paraId="4C46F65A" w14:textId="77777777" w:rsidR="00725220" w:rsidRPr="004D6EB3" w:rsidRDefault="00725220">
            <w:pPr>
              <w:rPr>
                <w:i/>
              </w:rPr>
            </w:pPr>
          </w:p>
          <w:p w14:paraId="5965C564" w14:textId="77777777" w:rsidR="00725220" w:rsidRPr="004D6EB3" w:rsidRDefault="004C4B8D" w:rsidP="00CB1F18">
            <w:pPr>
              <w:rPr>
                <w:i/>
              </w:rPr>
            </w:pPr>
            <w:r w:rsidRPr="004D6EB3">
              <w:rPr>
                <w:i/>
              </w:rPr>
              <w:t>If “yes”</w:t>
            </w:r>
            <w:r w:rsidR="00725220" w:rsidRPr="004D6EB3">
              <w:rPr>
                <w:i/>
              </w:rPr>
              <w:t xml:space="preserve"> to question </w:t>
            </w:r>
            <w:r w:rsidR="002B7D82" w:rsidRPr="004D6EB3">
              <w:rPr>
                <w:i/>
              </w:rPr>
              <w:t>#</w:t>
            </w:r>
            <w:r w:rsidR="00DE5DD5" w:rsidRPr="004D6EB3">
              <w:rPr>
                <w:i/>
              </w:rPr>
              <w:t>2</w:t>
            </w:r>
            <w:r w:rsidR="00725220" w:rsidRPr="004D6EB3">
              <w:rPr>
                <w:i/>
              </w:rPr>
              <w:t xml:space="preserve"> and you are an </w:t>
            </w:r>
            <w:r w:rsidR="00725220" w:rsidRPr="004D6EB3">
              <w:rPr>
                <w:b/>
                <w:i/>
              </w:rPr>
              <w:t>adult or general hospital</w:t>
            </w:r>
            <w:r w:rsidR="00725220" w:rsidRPr="004D6EB3">
              <w:rPr>
                <w:i/>
              </w:rPr>
              <w:t xml:space="preserve">, you will be able to </w:t>
            </w:r>
            <w:r w:rsidRPr="004D6EB3">
              <w:rPr>
                <w:i/>
              </w:rPr>
              <w:t xml:space="preserve">access the </w:t>
            </w:r>
            <w:r w:rsidR="00725220" w:rsidRPr="004D6EB3">
              <w:rPr>
                <w:b/>
                <w:i/>
              </w:rPr>
              <w:t>CPOE Evaluation Tool</w:t>
            </w:r>
            <w:r w:rsidR="00725220" w:rsidRPr="004D6EB3">
              <w:rPr>
                <w:i/>
              </w:rPr>
              <w:t xml:space="preserve"> from the </w:t>
            </w:r>
            <w:r w:rsidR="00DE5DD5" w:rsidRPr="004D6EB3">
              <w:rPr>
                <w:i/>
              </w:rPr>
              <w:t>S</w:t>
            </w:r>
            <w:r w:rsidR="00725220" w:rsidRPr="004D6EB3">
              <w:rPr>
                <w:i/>
              </w:rPr>
              <w:t xml:space="preserve">urvey </w:t>
            </w:r>
            <w:r w:rsidR="00DE5DD5" w:rsidRPr="004D6EB3">
              <w:rPr>
                <w:i/>
              </w:rPr>
              <w:t>D</w:t>
            </w:r>
            <w:r w:rsidR="00725220" w:rsidRPr="004D6EB3">
              <w:rPr>
                <w:i/>
              </w:rPr>
              <w:t>ashboard</w:t>
            </w:r>
            <w:r w:rsidR="00DE5DD5" w:rsidRPr="004D6EB3">
              <w:rPr>
                <w:i/>
              </w:rPr>
              <w:t xml:space="preserve"> after submitting Section 2</w:t>
            </w:r>
            <w:r w:rsidR="00725220" w:rsidRPr="004D6EB3">
              <w:rPr>
                <w:i/>
              </w:rPr>
              <w:t>.</w:t>
            </w:r>
          </w:p>
          <w:p w14:paraId="30528058" w14:textId="77777777" w:rsidR="00F55291" w:rsidRPr="004D6EB3" w:rsidRDefault="00F55291" w:rsidP="00CB1F18">
            <w:pPr>
              <w:rPr>
                <w:i/>
              </w:rPr>
            </w:pPr>
          </w:p>
          <w:p w14:paraId="681282D6" w14:textId="77777777" w:rsidR="00F55291" w:rsidRPr="004D6EB3" w:rsidRDefault="00F55291" w:rsidP="00CB1F18">
            <w:pPr>
              <w:rPr>
                <w:i/>
              </w:rPr>
            </w:pPr>
            <w:r w:rsidRPr="004D6EB3">
              <w:rPr>
                <w:i/>
              </w:rPr>
              <w:t>Question #5 does not apply to pediatric hospitals.</w:t>
            </w:r>
          </w:p>
          <w:p w14:paraId="293247E6" w14:textId="77777777" w:rsidR="004C4B8D" w:rsidRPr="004D6EB3" w:rsidRDefault="004C4B8D" w:rsidP="00CB1F18">
            <w:pPr>
              <w:rPr>
                <w:i/>
                <w:snapToGrid w:val="0"/>
              </w:rPr>
            </w:pPr>
          </w:p>
        </w:tc>
      </w:tr>
      <w:tr w:rsidR="00725220" w14:paraId="42575E52" w14:textId="77777777" w:rsidTr="008916DA">
        <w:trPr>
          <w:trHeight w:val="1043"/>
          <w:jc w:val="center"/>
        </w:trPr>
        <w:tc>
          <w:tcPr>
            <w:tcW w:w="5598" w:type="dxa"/>
            <w:vAlign w:val="center"/>
          </w:tcPr>
          <w:p w14:paraId="711781C8" w14:textId="77777777" w:rsidR="00DE5DD5" w:rsidRPr="00480B14" w:rsidRDefault="00725220" w:rsidP="00FD3C45">
            <w:pPr>
              <w:numPr>
                <w:ilvl w:val="0"/>
                <w:numId w:val="3"/>
              </w:numPr>
              <w:rPr>
                <w:snapToGrid w:val="0"/>
                <w:color w:val="000000"/>
              </w:rPr>
            </w:pPr>
            <w:r w:rsidRPr="00480B14">
              <w:rPr>
                <w:snapToGrid w:val="0"/>
                <w:color w:val="000000"/>
              </w:rPr>
              <w:t>What was your hospital’s score when it tested its CPOE system using the Leapfrog CPOE Evaluation Tool?</w:t>
            </w:r>
          </w:p>
          <w:p w14:paraId="2DDADC61" w14:textId="77777777" w:rsidR="00725220" w:rsidRPr="00480B14" w:rsidRDefault="00725220" w:rsidP="00173818">
            <w:pPr>
              <w:ind w:left="360"/>
              <w:rPr>
                <w:snapToGrid w:val="0"/>
                <w:color w:val="000000"/>
              </w:rPr>
            </w:pPr>
            <w:r w:rsidRPr="00480B14">
              <w:rPr>
                <w:snapToGrid w:val="0"/>
                <w:color w:val="000000"/>
              </w:rPr>
              <w:br/>
            </w:r>
            <w:r w:rsidRPr="00480B14">
              <w:rPr>
                <w:b/>
                <w:i/>
                <w:snapToGrid w:val="0"/>
                <w:color w:val="FF0000"/>
              </w:rPr>
              <w:t>Test must be completed on or after April 1</w:t>
            </w:r>
            <w:r w:rsidR="00A43E25">
              <w:rPr>
                <w:b/>
                <w:i/>
                <w:snapToGrid w:val="0"/>
                <w:color w:val="FF0000"/>
              </w:rPr>
              <w:t>5</w:t>
            </w:r>
            <w:r w:rsidRPr="00480B14">
              <w:rPr>
                <w:b/>
                <w:i/>
                <w:snapToGrid w:val="0"/>
                <w:color w:val="FF0000"/>
              </w:rPr>
              <w:t>,</w:t>
            </w:r>
            <w:r w:rsidR="008C47D7" w:rsidRPr="00480B14">
              <w:rPr>
                <w:b/>
                <w:i/>
                <w:snapToGrid w:val="0"/>
                <w:color w:val="FF0000"/>
              </w:rPr>
              <w:t xml:space="preserve"> </w:t>
            </w:r>
            <w:r w:rsidRPr="00480B14">
              <w:rPr>
                <w:b/>
                <w:i/>
                <w:snapToGrid w:val="0"/>
                <w:color w:val="FF0000"/>
              </w:rPr>
              <w:t>201</w:t>
            </w:r>
            <w:r w:rsidR="00FF4A32">
              <w:rPr>
                <w:b/>
                <w:i/>
                <w:snapToGrid w:val="0"/>
                <w:color w:val="FF0000"/>
              </w:rPr>
              <w:t>6</w:t>
            </w:r>
          </w:p>
        </w:tc>
        <w:tc>
          <w:tcPr>
            <w:tcW w:w="3960" w:type="dxa"/>
            <w:gridSpan w:val="2"/>
            <w:vAlign w:val="center"/>
          </w:tcPr>
          <w:p w14:paraId="40453F7E" w14:textId="77777777" w:rsidR="00725220" w:rsidRPr="00480B14" w:rsidRDefault="00120B33" w:rsidP="00173818">
            <w:pPr>
              <w:shd w:val="clear" w:color="auto" w:fill="C0C0C0"/>
              <w:jc w:val="center"/>
              <w:rPr>
                <w:i/>
                <w:snapToGrid w:val="0"/>
              </w:rPr>
            </w:pPr>
            <w:r>
              <w:rPr>
                <w:i/>
                <w:snapToGrid w:val="0"/>
              </w:rPr>
              <w:t>No response</w:t>
            </w:r>
            <w:r w:rsidR="00725220" w:rsidRPr="00480B14">
              <w:rPr>
                <w:i/>
                <w:snapToGrid w:val="0"/>
              </w:rPr>
              <w:t xml:space="preserve"> required</w:t>
            </w:r>
            <w:r>
              <w:rPr>
                <w:i/>
                <w:snapToGrid w:val="0"/>
              </w:rPr>
              <w:t xml:space="preserve"> here.</w:t>
            </w:r>
            <w:r w:rsidR="00725220" w:rsidRPr="00480B14">
              <w:rPr>
                <w:i/>
                <w:snapToGrid w:val="0"/>
              </w:rPr>
              <w:br/>
              <w:t>Determined automatically based on</w:t>
            </w:r>
            <w:r w:rsidR="00725220" w:rsidRPr="00480B14">
              <w:rPr>
                <w:i/>
                <w:snapToGrid w:val="0"/>
              </w:rPr>
              <w:br/>
            </w:r>
            <w:r w:rsidR="00725220" w:rsidRPr="00480B14">
              <w:rPr>
                <w:b/>
                <w:i/>
                <w:snapToGrid w:val="0"/>
              </w:rPr>
              <w:t>separately completing</w:t>
            </w:r>
            <w:r w:rsidR="00725220" w:rsidRPr="00480B14">
              <w:rPr>
                <w:i/>
                <w:snapToGrid w:val="0"/>
              </w:rPr>
              <w:t xml:space="preserve"> a test using the</w:t>
            </w:r>
          </w:p>
          <w:p w14:paraId="3BA19ED6" w14:textId="77777777" w:rsidR="00F55291" w:rsidRPr="00480B14" w:rsidRDefault="00725220" w:rsidP="00F55291">
            <w:pPr>
              <w:shd w:val="clear" w:color="auto" w:fill="C0C0C0"/>
              <w:jc w:val="center"/>
              <w:rPr>
                <w:i/>
                <w:snapToGrid w:val="0"/>
              </w:rPr>
            </w:pPr>
            <w:r w:rsidRPr="00480B14">
              <w:rPr>
                <w:i/>
                <w:snapToGrid w:val="0"/>
              </w:rPr>
              <w:t>Leapfrog CPOE Evaluation Tool</w:t>
            </w:r>
          </w:p>
        </w:tc>
      </w:tr>
    </w:tbl>
    <w:p w14:paraId="2CCA3CD1" w14:textId="77777777" w:rsidR="004C405D" w:rsidRDefault="004C405D">
      <w:pPr>
        <w:rPr>
          <w:b/>
          <w:snapToGrid w:val="0"/>
          <w:color w:val="000000"/>
        </w:rPr>
      </w:pPr>
    </w:p>
    <w:p w14:paraId="658BED46" w14:textId="77777777" w:rsidR="00FB0C73" w:rsidRDefault="00FB0C73">
      <w:pPr>
        <w:rPr>
          <w:b/>
          <w:snapToGrid w:val="0"/>
          <w:color w:val="000000"/>
        </w:rPr>
      </w:pPr>
    </w:p>
    <w:p w14:paraId="441A7DFB" w14:textId="77777777" w:rsidR="00F17FB5" w:rsidRDefault="00F17FB5">
      <w:pPr>
        <w:rPr>
          <w:b/>
          <w:snapToGrid w:val="0"/>
          <w:color w:val="000000"/>
        </w:rPr>
      </w:pPr>
      <w:r>
        <w:rPr>
          <w:b/>
          <w:snapToGrid w:val="0"/>
          <w:color w:val="000000"/>
        </w:rPr>
        <w:br w:type="page"/>
      </w:r>
    </w:p>
    <w:p w14:paraId="475FE112" w14:textId="77777777" w:rsidR="008910AA" w:rsidRDefault="008910AA">
      <w:pPr>
        <w:rPr>
          <w:b/>
          <w:snapToGrid w:val="0"/>
          <w:color w:val="000000"/>
        </w:rPr>
      </w:pPr>
      <w:r>
        <w:rPr>
          <w:b/>
          <w:snapToGrid w:val="0"/>
          <w:color w:val="000000"/>
        </w:rPr>
        <w:lastRenderedPageBreak/>
        <w:t>Affirmation of Accuracy</w:t>
      </w:r>
    </w:p>
    <w:p w14:paraId="444A560B" w14:textId="77777777" w:rsidR="008910AA" w:rsidRDefault="008910AA">
      <w:pPr>
        <w:rPr>
          <w:snapToGrid w:val="0"/>
          <w:color w:val="000000"/>
        </w:rPr>
      </w:pPr>
    </w:p>
    <w:p w14:paraId="72D3AA0D"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Computerized Physician Order Entry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D2FAE8E" w14:textId="77777777" w:rsidR="00456023" w:rsidRPr="00362B11" w:rsidRDefault="00456023" w:rsidP="00456023">
      <w:pPr>
        <w:rPr>
          <w:rFonts w:cs="Arial"/>
          <w:color w:val="000000"/>
        </w:rPr>
      </w:pPr>
    </w:p>
    <w:p w14:paraId="694864E9"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19542AFE" w14:textId="77777777" w:rsidR="008910AA" w:rsidRDefault="008910AA" w:rsidP="000B33B2">
      <w:pPr>
        <w:rPr>
          <w:snapToGrid w:val="0"/>
          <w:color w:val="000000"/>
        </w:rPr>
      </w:pPr>
    </w:p>
    <w:p w14:paraId="4D021EC6" w14:textId="77777777" w:rsidR="00BA1620" w:rsidRDefault="00BA1620" w:rsidP="000B33B2">
      <w:pPr>
        <w:rPr>
          <w:snapToGrid w:val="0"/>
          <w:color w:val="000000"/>
        </w:rPr>
      </w:pPr>
    </w:p>
    <w:p w14:paraId="65637D3A" w14:textId="77777777" w:rsidR="008910AA" w:rsidRDefault="008910AA">
      <w:pPr>
        <w:spacing w:line="240" w:lineRule="exact"/>
        <w:rPr>
          <w:snapToGrid w:val="0"/>
          <w:color w:val="000000"/>
        </w:rPr>
      </w:pPr>
      <w:r>
        <w:rPr>
          <w:snapToGrid w:val="0"/>
          <w:color w:val="000000"/>
        </w:rPr>
        <w:t>Affirmed by _____________________, the hospital’s ___________________________,</w:t>
      </w:r>
    </w:p>
    <w:p w14:paraId="34C7F81B" w14:textId="77777777" w:rsidR="008910AA" w:rsidRDefault="008910AA">
      <w:pPr>
        <w:pStyle w:val="BodyText2"/>
        <w:spacing w:line="240" w:lineRule="exact"/>
      </w:pPr>
      <w:r>
        <w:tab/>
      </w:r>
      <w:r>
        <w:tab/>
        <w:t xml:space="preserve">  (name)</w:t>
      </w:r>
      <w:r>
        <w:tab/>
      </w:r>
      <w:r>
        <w:tab/>
      </w:r>
      <w:r>
        <w:tab/>
      </w:r>
      <w:r>
        <w:tab/>
      </w:r>
      <w:r>
        <w:tab/>
      </w:r>
      <w:r>
        <w:tab/>
        <w:t>(title)</w:t>
      </w:r>
    </w:p>
    <w:p w14:paraId="7685FC12" w14:textId="77777777" w:rsidR="008910AA" w:rsidRDefault="008910AA">
      <w:pPr>
        <w:spacing w:line="240" w:lineRule="exact"/>
        <w:rPr>
          <w:snapToGrid w:val="0"/>
        </w:rPr>
      </w:pPr>
      <w:r>
        <w:rPr>
          <w:snapToGrid w:val="0"/>
        </w:rPr>
        <w:t>on _______________________.</w:t>
      </w:r>
    </w:p>
    <w:p w14:paraId="0D243DB2" w14:textId="77777777" w:rsidR="008910AA" w:rsidRDefault="008910AA">
      <w:pPr>
        <w:spacing w:line="240" w:lineRule="exact"/>
        <w:rPr>
          <w:i/>
        </w:rPr>
      </w:pPr>
      <w:r>
        <w:rPr>
          <w:i/>
        </w:rPr>
        <w:t xml:space="preserve">                    (date)</w:t>
      </w:r>
    </w:p>
    <w:p w14:paraId="425F9295" w14:textId="77777777" w:rsidR="00F87A51" w:rsidRDefault="00F87A51">
      <w:pPr>
        <w:spacing w:line="240" w:lineRule="exact"/>
        <w:rPr>
          <w:i/>
        </w:rPr>
      </w:pPr>
    </w:p>
    <w:p w14:paraId="67872B74" w14:textId="77777777" w:rsidR="00F17FB5" w:rsidRDefault="00F17FB5" w:rsidP="00F17FB5">
      <w:pPr>
        <w:rPr>
          <w:i/>
        </w:rPr>
      </w:pPr>
      <w:r>
        <w:rPr>
          <w:i/>
        </w:rPr>
        <w:br w:type="page"/>
      </w:r>
    </w:p>
    <w:p w14:paraId="479AEC5D" w14:textId="77777777" w:rsidR="00C35C80" w:rsidRPr="00BC2D78" w:rsidRDefault="00C35C80" w:rsidP="002C3E94">
      <w:pPr>
        <w:pStyle w:val="Title"/>
      </w:pPr>
      <w:bookmarkStart w:id="52" w:name="_Toc383774986"/>
      <w:bookmarkStart w:id="53" w:name="_Toc447194974"/>
      <w:r w:rsidRPr="00BC2D78">
        <w:lastRenderedPageBreak/>
        <w:t>Section 2</w:t>
      </w:r>
      <w:bookmarkEnd w:id="52"/>
      <w:r>
        <w:t xml:space="preserve">: </w:t>
      </w:r>
      <w:r w:rsidR="000479D5">
        <w:t>Computerized P</w:t>
      </w:r>
      <w:r w:rsidR="00E867C5">
        <w:t>hysician</w:t>
      </w:r>
      <w:r w:rsidR="000479D5">
        <w:t xml:space="preserve"> Order Entry (CPOE) </w:t>
      </w:r>
      <w:r>
        <w:t>Reference Information</w:t>
      </w:r>
      <w:bookmarkEnd w:id="53"/>
    </w:p>
    <w:p w14:paraId="1D6A82DB" w14:textId="77777777" w:rsidR="00C35C80" w:rsidRDefault="00C35C80" w:rsidP="00C35C80">
      <w:pPr>
        <w:rPr>
          <w:lang w:eastAsia="ja-JP"/>
        </w:rPr>
      </w:pPr>
    </w:p>
    <w:p w14:paraId="1A2AC196" w14:textId="77777777" w:rsidR="00C35C80" w:rsidRPr="002E6B94" w:rsidRDefault="00C35C80" w:rsidP="00C35C80">
      <w:pPr>
        <w:rPr>
          <w:b/>
          <w:color w:val="FF0000"/>
          <w:lang w:eastAsia="ja-JP"/>
        </w:rPr>
      </w:pPr>
      <w:r w:rsidRPr="002E6B94">
        <w:rPr>
          <w:b/>
          <w:color w:val="FF0000"/>
          <w:lang w:eastAsia="ja-JP"/>
        </w:rPr>
        <w:t>The Pediatric Inpatient CPOE Evaluation Tool is not available. Pediatric Hos</w:t>
      </w:r>
      <w:r w:rsidR="003F1084">
        <w:rPr>
          <w:b/>
          <w:color w:val="FF0000"/>
          <w:lang w:eastAsia="ja-JP"/>
        </w:rPr>
        <w:t xml:space="preserve">pitals should complete </w:t>
      </w:r>
      <w:r w:rsidR="002B7D82">
        <w:rPr>
          <w:b/>
          <w:color w:val="FF0000"/>
          <w:lang w:eastAsia="ja-JP"/>
        </w:rPr>
        <w:t>questions</w:t>
      </w:r>
      <w:r w:rsidR="00E85AB0">
        <w:rPr>
          <w:b/>
          <w:color w:val="FF0000"/>
          <w:lang w:eastAsia="ja-JP"/>
        </w:rPr>
        <w:t xml:space="preserve"> </w:t>
      </w:r>
      <w:r w:rsidR="00E867C5">
        <w:rPr>
          <w:b/>
          <w:color w:val="FF0000"/>
          <w:lang w:eastAsia="ja-JP"/>
        </w:rPr>
        <w:t>#</w:t>
      </w:r>
      <w:r w:rsidR="003F1084">
        <w:rPr>
          <w:b/>
          <w:color w:val="FF0000"/>
          <w:lang w:eastAsia="ja-JP"/>
        </w:rPr>
        <w:t>1-4</w:t>
      </w:r>
      <w:r w:rsidRPr="002E6B94">
        <w:rPr>
          <w:b/>
          <w:color w:val="FF0000"/>
          <w:lang w:eastAsia="ja-JP"/>
        </w:rPr>
        <w:t xml:space="preserve"> only. </w:t>
      </w:r>
    </w:p>
    <w:p w14:paraId="7551498B" w14:textId="77777777" w:rsidR="00C35C80" w:rsidRPr="00BC2D78" w:rsidRDefault="00C35C80" w:rsidP="00C35C80">
      <w:pPr>
        <w:jc w:val="center"/>
        <w:rPr>
          <w:lang w:eastAsia="ja-JP"/>
        </w:rPr>
      </w:pPr>
    </w:p>
    <w:p w14:paraId="4A7F4039" w14:textId="77777777" w:rsidR="00C35C80" w:rsidRPr="009700FA" w:rsidRDefault="00C35C80" w:rsidP="007A44CB">
      <w:pPr>
        <w:pStyle w:val="Heading3"/>
      </w:pPr>
      <w:bookmarkStart w:id="54" w:name="_Toc236459172"/>
      <w:bookmarkStart w:id="55" w:name="_Toc383774987"/>
      <w:bookmarkStart w:id="56" w:name="_Toc447194975"/>
      <w:r w:rsidRPr="009700FA">
        <w:rPr>
          <w:rFonts w:hint="eastAsia"/>
        </w:rPr>
        <w:t>What</w:t>
      </w:r>
      <w:r w:rsidRPr="009700FA">
        <w:t>’</w:t>
      </w:r>
      <w:r w:rsidRPr="009700FA">
        <w:rPr>
          <w:rFonts w:hint="eastAsia"/>
        </w:rPr>
        <w:t>s New</w:t>
      </w:r>
      <w:bookmarkEnd w:id="54"/>
      <w:r w:rsidRPr="009700FA">
        <w:rPr>
          <w:rFonts w:hint="eastAsia"/>
        </w:rPr>
        <w:t xml:space="preserve"> in the </w:t>
      </w:r>
      <w:bookmarkEnd w:id="55"/>
      <w:r w:rsidR="004F68CC">
        <w:t>2016 Survey</w:t>
      </w:r>
      <w:bookmarkEnd w:id="56"/>
    </w:p>
    <w:p w14:paraId="0ECFA5C0" w14:textId="77777777" w:rsidR="00C35C80" w:rsidRDefault="00C35C80" w:rsidP="00C35C80"/>
    <w:p w14:paraId="4F165E76" w14:textId="77777777" w:rsidR="00C35C80" w:rsidRPr="00D761A6" w:rsidRDefault="00C35C80" w:rsidP="00C35C80">
      <w:r w:rsidRPr="00D761A6">
        <w:t xml:space="preserve">No </w:t>
      </w:r>
      <w:r w:rsidR="00F152B1">
        <w:t>substantive changes to this section.</w:t>
      </w:r>
    </w:p>
    <w:p w14:paraId="2832B90C" w14:textId="77777777" w:rsidR="00C35C80" w:rsidRPr="00D761A6" w:rsidRDefault="00C35C80" w:rsidP="00C35C80">
      <w:pPr>
        <w:rPr>
          <w:lang w:eastAsia="ja-JP"/>
        </w:rPr>
      </w:pPr>
    </w:p>
    <w:p w14:paraId="3CF1D594" w14:textId="77777777" w:rsidR="00B54730" w:rsidRDefault="00B54730" w:rsidP="007A44CB">
      <w:pPr>
        <w:pStyle w:val="Heading3"/>
      </w:pPr>
      <w:bookmarkStart w:id="57" w:name="_Toc236459173"/>
      <w:bookmarkStart w:id="58" w:name="_Toc383774988"/>
    </w:p>
    <w:p w14:paraId="249B6EE7" w14:textId="77777777" w:rsidR="00C35C80" w:rsidRPr="009A5391" w:rsidRDefault="00C35C80" w:rsidP="007A44CB">
      <w:pPr>
        <w:pStyle w:val="Heading3"/>
      </w:pPr>
      <w:bookmarkStart w:id="59" w:name="_Toc447194976"/>
      <w:r w:rsidRPr="009A5391">
        <w:rPr>
          <w:rFonts w:hint="eastAsia"/>
        </w:rPr>
        <w:t>Change Summary</w:t>
      </w:r>
      <w:bookmarkEnd w:id="57"/>
      <w:r w:rsidRPr="009A5391">
        <w:rPr>
          <w:rFonts w:hint="eastAsia"/>
        </w:rPr>
        <w:t xml:space="preserve"> since Release</w:t>
      </w:r>
      <w:bookmarkEnd w:id="58"/>
      <w:bookmarkEnd w:id="59"/>
    </w:p>
    <w:p w14:paraId="79FA491D" w14:textId="77777777" w:rsidR="00C35C80" w:rsidRPr="00D761A6" w:rsidRDefault="00C35C80" w:rsidP="00C35C80">
      <w:pPr>
        <w:rPr>
          <w:lang w:eastAsia="ja-JP"/>
        </w:rPr>
      </w:pPr>
    </w:p>
    <w:p w14:paraId="11D3DC64" w14:textId="77777777" w:rsidR="00C35C80" w:rsidRDefault="00C35C80" w:rsidP="00C35C80">
      <w:pPr>
        <w:pStyle w:val="BodyText3"/>
        <w:rPr>
          <w:lang w:eastAsia="ja-JP"/>
        </w:rPr>
      </w:pPr>
      <w:r>
        <w:rPr>
          <w:lang w:eastAsia="ja-JP"/>
        </w:rPr>
        <w:t xml:space="preserve">None.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07BAAFBD" w14:textId="77777777" w:rsidR="00C906B4" w:rsidRDefault="00C906B4" w:rsidP="00C35C80">
      <w:pPr>
        <w:pStyle w:val="BodyText3"/>
        <w:rPr>
          <w:lang w:eastAsia="ja-JP"/>
        </w:rPr>
      </w:pPr>
    </w:p>
    <w:p w14:paraId="1FF49D1C" w14:textId="77777777" w:rsidR="00C35C80" w:rsidRPr="0033316A" w:rsidRDefault="0033316A" w:rsidP="0033316A">
      <w:pPr>
        <w:rPr>
          <w:b/>
          <w:sz w:val="28"/>
          <w:szCs w:val="28"/>
          <w:u w:val="single"/>
          <w:lang w:eastAsia="ja-JP"/>
        </w:rPr>
      </w:pPr>
      <w:r>
        <w:br w:type="page"/>
      </w:r>
    </w:p>
    <w:p w14:paraId="063BFE89" w14:textId="77777777" w:rsidR="00C35C80" w:rsidRPr="00BC2D78" w:rsidRDefault="00C35C80" w:rsidP="00954B73">
      <w:pPr>
        <w:pStyle w:val="Heading2"/>
        <w:rPr>
          <w:bCs/>
        </w:rPr>
      </w:pPr>
      <w:bookmarkStart w:id="60" w:name="_Toc383774989"/>
      <w:bookmarkStart w:id="61" w:name="_Toc447194977"/>
      <w:r w:rsidRPr="00BC2D78">
        <w:rPr>
          <w:rFonts w:hint="eastAsia"/>
        </w:rPr>
        <w:lastRenderedPageBreak/>
        <w:t>CPOE Frequently Asked Questions (FAQs)</w:t>
      </w:r>
      <w:bookmarkEnd w:id="60"/>
      <w:bookmarkEnd w:id="61"/>
      <w:r w:rsidRPr="00BC2D78">
        <w:rPr>
          <w:rFonts w:hint="eastAsia"/>
        </w:rPr>
        <w:t xml:space="preserve"> </w:t>
      </w:r>
    </w:p>
    <w:p w14:paraId="46A08C8F" w14:textId="77777777" w:rsidR="00C35C80" w:rsidRPr="00BC2D78" w:rsidRDefault="00C35C80" w:rsidP="00C35C80">
      <w:pPr>
        <w:autoSpaceDE w:val="0"/>
        <w:autoSpaceDN w:val="0"/>
        <w:adjustRightInd w:val="0"/>
        <w:ind w:left="360"/>
        <w:rPr>
          <w:i/>
        </w:rPr>
      </w:pPr>
    </w:p>
    <w:p w14:paraId="183D2C08" w14:textId="77777777" w:rsidR="00DA7C62" w:rsidRPr="00B31B8C" w:rsidRDefault="00DA7C62" w:rsidP="00ED58C1">
      <w:pPr>
        <w:pStyle w:val="ListParagraph"/>
        <w:numPr>
          <w:ilvl w:val="0"/>
          <w:numId w:val="31"/>
        </w:numPr>
        <w:rPr>
          <w:b/>
          <w:lang w:eastAsia="ja-JP"/>
        </w:rPr>
      </w:pPr>
      <w:r w:rsidRPr="00B31B8C">
        <w:rPr>
          <w:b/>
          <w:lang w:eastAsia="ja-JP"/>
        </w:rPr>
        <w:t>What 3-month reporting period should be used when reporting on this section?</w:t>
      </w:r>
    </w:p>
    <w:p w14:paraId="7DCEFFD3" w14:textId="77777777" w:rsidR="00A00030" w:rsidRPr="00A00030" w:rsidRDefault="00A00030" w:rsidP="00A00030">
      <w:pPr>
        <w:pStyle w:val="CommentText"/>
        <w:ind w:left="720"/>
      </w:pPr>
      <w:r w:rsidRPr="00B31B8C">
        <w:t>Hospitals should use the most recent three month reporting period available prior to submission. For example, if your hospital is sub</w:t>
      </w:r>
      <w:r w:rsidR="00532D41" w:rsidRPr="00B31B8C">
        <w:t>mitting a survey in June, you would</w:t>
      </w:r>
      <w:r w:rsidRPr="00B31B8C">
        <w:t xml:space="preserve"> us</w:t>
      </w:r>
      <w:r w:rsidR="00532D41" w:rsidRPr="00B31B8C">
        <w:t>e March 1, 2016 to May 30, 2016.</w:t>
      </w:r>
      <w:r w:rsidR="00532D41">
        <w:t xml:space="preserve"> </w:t>
      </w:r>
    </w:p>
    <w:p w14:paraId="09394874" w14:textId="77777777" w:rsidR="00DA7C62" w:rsidRDefault="00DA7C62" w:rsidP="00DA7C62">
      <w:pPr>
        <w:pStyle w:val="ListParagraph"/>
        <w:rPr>
          <w:b/>
          <w:lang w:eastAsia="ja-JP"/>
        </w:rPr>
      </w:pPr>
    </w:p>
    <w:p w14:paraId="759D34EC" w14:textId="77777777" w:rsidR="00C57CCE" w:rsidRPr="004A2DED" w:rsidRDefault="00C57CCE" w:rsidP="00ED58C1">
      <w:pPr>
        <w:pStyle w:val="ListParagraph"/>
        <w:numPr>
          <w:ilvl w:val="0"/>
          <w:numId w:val="31"/>
        </w:numPr>
        <w:rPr>
          <w:b/>
          <w:lang w:eastAsia="ja-JP"/>
        </w:rPr>
      </w:pPr>
      <w:r w:rsidRPr="004A2DED">
        <w:rPr>
          <w:b/>
          <w:lang w:eastAsia="ja-JP"/>
        </w:rPr>
        <w:t>What orders should we count for the CPOE denominator? The numerator?</w:t>
      </w:r>
    </w:p>
    <w:p w14:paraId="2B043713" w14:textId="77777777" w:rsidR="00C57CCE" w:rsidRDefault="00C57CCE" w:rsidP="00C57CCE">
      <w:pPr>
        <w:ind w:left="720"/>
        <w:rPr>
          <w:lang w:eastAsia="ja-JP"/>
        </w:rPr>
      </w:pPr>
      <w:r>
        <w:rPr>
          <w:lang w:eastAsia="ja-JP"/>
        </w:rPr>
        <w:t>For the denominator, h</w:t>
      </w:r>
      <w:r w:rsidRPr="004A2DED">
        <w:rPr>
          <w:lang w:eastAsia="ja-JP"/>
        </w:rPr>
        <w:t>ospitals should only include initial inpatient medication orders.</w:t>
      </w:r>
      <w:r>
        <w:rPr>
          <w:lang w:eastAsia="ja-JP"/>
        </w:rPr>
        <w:t xml:space="preserve"> </w:t>
      </w:r>
      <w:r w:rsidRPr="004A2DED">
        <w:rPr>
          <w:lang w:eastAsia="ja-JP"/>
        </w:rPr>
        <w:t xml:space="preserve">For example, </w:t>
      </w:r>
      <w:r>
        <w:rPr>
          <w:lang w:eastAsia="ja-JP"/>
        </w:rPr>
        <w:t xml:space="preserve">orders that are </w:t>
      </w:r>
      <w:r w:rsidR="00C906B4">
        <w:rPr>
          <w:lang w:eastAsia="ja-JP"/>
        </w:rPr>
        <w:t>modified</w:t>
      </w:r>
      <w:r w:rsidRPr="004A2DED">
        <w:rPr>
          <w:lang w:eastAsia="ja-JP"/>
        </w:rPr>
        <w:t xml:space="preserve"> from an initial order that maintain the original intent </w:t>
      </w:r>
      <w:r>
        <w:rPr>
          <w:lang w:eastAsia="ja-JP"/>
        </w:rPr>
        <w:t xml:space="preserve">of the original order </w:t>
      </w:r>
      <w:r w:rsidRPr="004A2DED">
        <w:rPr>
          <w:lang w:eastAsia="ja-JP"/>
        </w:rPr>
        <w:t xml:space="preserve">would not be counted. </w:t>
      </w:r>
    </w:p>
    <w:p w14:paraId="5BC198C3" w14:textId="77777777" w:rsidR="00C57CCE" w:rsidRDefault="00C57CCE" w:rsidP="00C57CCE">
      <w:pPr>
        <w:ind w:left="720"/>
        <w:rPr>
          <w:lang w:eastAsia="ja-JP"/>
        </w:rPr>
      </w:pPr>
    </w:p>
    <w:p w14:paraId="2D0E47E8" w14:textId="77777777" w:rsidR="00C57CCE" w:rsidRPr="007F4CDE" w:rsidRDefault="00C57CCE" w:rsidP="009D12E7">
      <w:pPr>
        <w:ind w:left="720"/>
        <w:rPr>
          <w:lang w:eastAsia="ja-JP"/>
        </w:rPr>
      </w:pPr>
      <w:r w:rsidRPr="004A2DED">
        <w:rPr>
          <w:lang w:eastAsia="ja-JP"/>
        </w:rPr>
        <w:t>For the numerator, hospitals should count those orders in the denominator that were entered through a CPOE sy</w:t>
      </w:r>
      <w:r w:rsidR="00C906B4">
        <w:rPr>
          <w:lang w:eastAsia="ja-JP"/>
        </w:rPr>
        <w:t xml:space="preserve">stem by a licensed prescriber. </w:t>
      </w:r>
      <w:r w:rsidRPr="004A2DED">
        <w:rPr>
          <w:lang w:eastAsia="ja-JP"/>
        </w:rPr>
        <w:t xml:space="preserve">Per protocol orders </w:t>
      </w:r>
      <w:r w:rsidR="00E277E4">
        <w:rPr>
          <w:lang w:eastAsia="ja-JP"/>
        </w:rPr>
        <w:t xml:space="preserve">and standard order sets approved by a medical committee can also </w:t>
      </w:r>
      <w:r>
        <w:rPr>
          <w:lang w:eastAsia="ja-JP"/>
        </w:rPr>
        <w:t>be included in the numerator</w:t>
      </w:r>
      <w:r w:rsidR="00E277E4">
        <w:rPr>
          <w:lang w:eastAsia="ja-JP"/>
        </w:rPr>
        <w:t xml:space="preserve"> if they are initiated by a nurse or licensed prescriber. </w:t>
      </w:r>
    </w:p>
    <w:p w14:paraId="17E96BAC" w14:textId="77777777" w:rsidR="00C57CCE" w:rsidRDefault="00C57CCE" w:rsidP="00C57CCE">
      <w:pPr>
        <w:ind w:left="720"/>
        <w:rPr>
          <w:b/>
        </w:rPr>
      </w:pPr>
    </w:p>
    <w:p w14:paraId="70D45789" w14:textId="77777777" w:rsidR="00C57CCE" w:rsidRDefault="00C57CCE" w:rsidP="00E27D82">
      <w:pPr>
        <w:numPr>
          <w:ilvl w:val="0"/>
          <w:numId w:val="30"/>
        </w:numPr>
        <w:rPr>
          <w:b/>
        </w:rPr>
      </w:pPr>
      <w:r>
        <w:rPr>
          <w:b/>
        </w:rPr>
        <w:t>Could we count an order that a prescriber calls in via telephone, but is entered by a nurse (or ward secretary) into the CPOE system in our numerator?</w:t>
      </w:r>
    </w:p>
    <w:p w14:paraId="1D2F0980" w14:textId="77777777" w:rsidR="00F53D43" w:rsidRDefault="00C57CCE" w:rsidP="00F53D43">
      <w:pPr>
        <w:ind w:left="720"/>
      </w:pPr>
      <w:r>
        <w:t xml:space="preserve">No, </w:t>
      </w:r>
      <w:r w:rsidR="009D12E7">
        <w:rPr>
          <w:lang w:eastAsia="ja-JP"/>
        </w:rPr>
        <w:t xml:space="preserve">orders that are </w:t>
      </w:r>
      <w:r w:rsidR="009D12E7" w:rsidRPr="004A2DED">
        <w:rPr>
          <w:lang w:eastAsia="ja-JP"/>
        </w:rPr>
        <w:t xml:space="preserve">verbally given to a non-licensed prescriber </w:t>
      </w:r>
      <w:r w:rsidR="009D12E7">
        <w:rPr>
          <w:lang w:eastAsia="ja-JP"/>
        </w:rPr>
        <w:t xml:space="preserve">(i.e. nurse) to enter into the CPOE system </w:t>
      </w:r>
      <w:r w:rsidR="009D12E7" w:rsidRPr="004A2DED">
        <w:rPr>
          <w:lang w:eastAsia="ja-JP"/>
        </w:rPr>
        <w:t>would not be included in the numerato</w:t>
      </w:r>
      <w:r w:rsidR="009D12E7">
        <w:rPr>
          <w:lang w:eastAsia="ja-JP"/>
        </w:rPr>
        <w:t xml:space="preserve">r. </w:t>
      </w:r>
      <w:r w:rsidR="009D12E7">
        <w:t>This ensures that the prescr</w:t>
      </w:r>
      <w:r w:rsidR="00597B63">
        <w:t>iber sees all decision support.</w:t>
      </w:r>
    </w:p>
    <w:p w14:paraId="308C282D" w14:textId="77777777" w:rsidR="00F53D43" w:rsidRDefault="00F53D43" w:rsidP="00F53D43">
      <w:pPr>
        <w:ind w:left="720"/>
      </w:pPr>
    </w:p>
    <w:p w14:paraId="0BEE146D" w14:textId="77777777" w:rsidR="00F53D43" w:rsidRPr="00597B63" w:rsidRDefault="00F53D43" w:rsidP="00ED58C1">
      <w:pPr>
        <w:pStyle w:val="ListParagraph"/>
        <w:numPr>
          <w:ilvl w:val="0"/>
          <w:numId w:val="30"/>
        </w:numPr>
      </w:pPr>
      <w:r>
        <w:rPr>
          <w:b/>
          <w:lang w:eastAsia="ja-JP"/>
        </w:rPr>
        <w:t>Could we count an order that a resident</w:t>
      </w:r>
      <w:r w:rsidR="00C906B4">
        <w:rPr>
          <w:b/>
          <w:lang w:eastAsia="ja-JP"/>
        </w:rPr>
        <w:t xml:space="preserve"> or intern</w:t>
      </w:r>
      <w:r w:rsidR="00597B63">
        <w:rPr>
          <w:b/>
          <w:lang w:eastAsia="ja-JP"/>
        </w:rPr>
        <w:t xml:space="preserve"> enters into the CPOE system in our numerator</w:t>
      </w:r>
      <w:r>
        <w:rPr>
          <w:b/>
          <w:lang w:eastAsia="ja-JP"/>
        </w:rPr>
        <w:t>?</w:t>
      </w:r>
      <w:r w:rsidRPr="00F53D43">
        <w:rPr>
          <w:b/>
          <w:lang w:eastAsia="ja-JP"/>
        </w:rPr>
        <w:t xml:space="preserve"> </w:t>
      </w:r>
    </w:p>
    <w:p w14:paraId="4792576A" w14:textId="77777777" w:rsidR="00597B63" w:rsidRDefault="00597B63" w:rsidP="00597B63">
      <w:pPr>
        <w:pStyle w:val="ListParagraph"/>
        <w:rPr>
          <w:lang w:eastAsia="ja-JP"/>
        </w:rPr>
      </w:pPr>
      <w:r>
        <w:rPr>
          <w:lang w:eastAsia="ja-JP"/>
        </w:rPr>
        <w:t>Yes, r</w:t>
      </w:r>
      <w:r w:rsidRPr="00EE0D9B">
        <w:rPr>
          <w:lang w:eastAsia="ja-JP"/>
        </w:rPr>
        <w:t>esidents</w:t>
      </w:r>
      <w:r>
        <w:rPr>
          <w:lang w:eastAsia="ja-JP"/>
        </w:rPr>
        <w:t xml:space="preserve"> and interns</w:t>
      </w:r>
      <w:r w:rsidRPr="00EE0D9B">
        <w:rPr>
          <w:lang w:eastAsia="ja-JP"/>
        </w:rPr>
        <w:t xml:space="preserve"> can prescribe medications under their own authority.</w:t>
      </w:r>
      <w:r>
        <w:rPr>
          <w:lang w:eastAsia="ja-JP"/>
        </w:rPr>
        <w:t xml:space="preserve"> </w:t>
      </w:r>
      <w:r w:rsidRPr="00EE0D9B">
        <w:rPr>
          <w:lang w:eastAsia="ja-JP"/>
        </w:rPr>
        <w:t>Hospitals should in</w:t>
      </w:r>
      <w:r>
        <w:rPr>
          <w:lang w:eastAsia="ja-JP"/>
        </w:rPr>
        <w:t>clude all resident/intern-ordered medications when responding to questions #3 and #4.</w:t>
      </w:r>
    </w:p>
    <w:p w14:paraId="543051BA" w14:textId="77777777" w:rsidR="00597B63" w:rsidRPr="00597B63" w:rsidRDefault="00597B63" w:rsidP="00597B63">
      <w:pPr>
        <w:pStyle w:val="ListParagraph"/>
      </w:pPr>
    </w:p>
    <w:p w14:paraId="5CBC2CB4" w14:textId="77777777" w:rsidR="00597B63" w:rsidRDefault="00597B63" w:rsidP="00ED58C1">
      <w:pPr>
        <w:pStyle w:val="ListParagraph"/>
        <w:numPr>
          <w:ilvl w:val="0"/>
          <w:numId w:val="30"/>
        </w:numPr>
      </w:pPr>
      <w:r>
        <w:rPr>
          <w:b/>
          <w:lang w:eastAsia="ja-JP"/>
        </w:rPr>
        <w:t xml:space="preserve">Can we report the numerator and denominator from our Stage 2 Meaningful Use Reports? </w:t>
      </w:r>
    </w:p>
    <w:p w14:paraId="3A0BD0F4" w14:textId="77777777" w:rsidR="00597B63" w:rsidRDefault="00597B63" w:rsidP="00597B63">
      <w:pPr>
        <w:ind w:left="720"/>
        <w:rPr>
          <w:lang w:eastAsia="ja-JP"/>
        </w:rPr>
      </w:pPr>
      <w:r>
        <w:rPr>
          <w:lang w:eastAsia="ja-JP"/>
        </w:rPr>
        <w:t>Yes. Hospitals may report on Measure 1: Medication for POS 21 (inpatient) only. If hospitals are not able to separate out orders from POS 23 (emergency department), the report cannot be used. More information about Measure</w:t>
      </w:r>
      <w:r w:rsidR="006C1FB8">
        <w:rPr>
          <w:lang w:eastAsia="ja-JP"/>
        </w:rPr>
        <w:t xml:space="preserve"> 1: Medication can be found</w:t>
      </w:r>
      <w:r w:rsidR="00B31B8C">
        <w:rPr>
          <w:lang w:eastAsia="ja-JP"/>
        </w:rPr>
        <w:t xml:space="preserve">: </w:t>
      </w:r>
      <w:hyperlink r:id="rId68" w:history="1">
        <w:r w:rsidR="00B31B8C" w:rsidRPr="000421AE">
          <w:rPr>
            <w:rStyle w:val="Hyperlink"/>
            <w:lang w:eastAsia="ja-JP"/>
          </w:rPr>
          <w:t>https://www.cms.gov/Regulations-and-Guidance/Legislation/EHRIncentivePrograms/downloads/Stage2_HospitalCore_1_CPOE_MedicationOrders.pdf</w:t>
        </w:r>
      </w:hyperlink>
      <w:r w:rsidR="00B31B8C">
        <w:rPr>
          <w:lang w:eastAsia="ja-JP"/>
        </w:rPr>
        <w:t xml:space="preserve">. </w:t>
      </w:r>
    </w:p>
    <w:p w14:paraId="725BF921" w14:textId="77777777" w:rsidR="00C35C80" w:rsidRPr="00BC2D78" w:rsidRDefault="00C35C80" w:rsidP="008A41A3"/>
    <w:p w14:paraId="4D7154AF" w14:textId="77777777" w:rsidR="00C35C80" w:rsidRPr="00BC2D78" w:rsidRDefault="00C35C80" w:rsidP="00ED58C1">
      <w:pPr>
        <w:numPr>
          <w:ilvl w:val="0"/>
          <w:numId w:val="30"/>
        </w:numPr>
        <w:rPr>
          <w:b/>
        </w:rPr>
      </w:pPr>
      <w:r w:rsidRPr="00BC2D78">
        <w:rPr>
          <w:b/>
        </w:rPr>
        <w:t xml:space="preserve">Does a pharmacy system that catches prescribing errors like potential interactions, dosing errors, etc. qualify as CPOE? </w:t>
      </w:r>
    </w:p>
    <w:p w14:paraId="0FCA946B" w14:textId="77777777" w:rsidR="00C35C80" w:rsidRDefault="00C35C80" w:rsidP="00D37CA9">
      <w:pPr>
        <w:ind w:left="720"/>
      </w:pPr>
      <w:r w:rsidRPr="00BC2D78">
        <w:t>No. This does not qualify as CPOE. In fact, the very large favorable impact documented at the Brigham and Women’s hospital was achieved when CPOE replaced a prior electronic prescribing system identical to the pharmacy order entry systems which the inquirer is describing. While it is very important to eliminate hand-written prescriptions, it is also important to have in place decision-support.</w:t>
      </w:r>
    </w:p>
    <w:p w14:paraId="69AC945A" w14:textId="77777777" w:rsidR="00960D76" w:rsidRDefault="00960D76" w:rsidP="00D37CA9">
      <w:pPr>
        <w:ind w:left="720"/>
      </w:pPr>
    </w:p>
    <w:p w14:paraId="1CC4257A" w14:textId="77777777" w:rsidR="004A2DED" w:rsidRPr="00B75E76" w:rsidRDefault="004A2DED" w:rsidP="00ED58C1">
      <w:pPr>
        <w:numPr>
          <w:ilvl w:val="0"/>
          <w:numId w:val="30"/>
        </w:numPr>
        <w:rPr>
          <w:b/>
        </w:rPr>
      </w:pPr>
      <w:r>
        <w:rPr>
          <w:b/>
        </w:rPr>
        <w:t>How often should a hospital take a CPOE Evaluation Tool?</w:t>
      </w:r>
    </w:p>
    <w:p w14:paraId="2BDE7890" w14:textId="77777777" w:rsidR="004A2DED" w:rsidRDefault="004A2DED" w:rsidP="004A2DED">
      <w:pPr>
        <w:ind w:left="720"/>
        <w:rPr>
          <w:b/>
        </w:rPr>
      </w:pPr>
      <w:r w:rsidRPr="00B75E76">
        <w:t xml:space="preserve">In order to be included in a hospital’s scoring for </w:t>
      </w:r>
      <w:r>
        <w:t xml:space="preserve">the </w:t>
      </w:r>
      <w:r w:rsidRPr="00B75E76">
        <w:t>CPOE</w:t>
      </w:r>
      <w:r>
        <w:t xml:space="preserve"> standard</w:t>
      </w:r>
      <w:r w:rsidRPr="00B75E76">
        <w:t>, the CPOE Evaluation Tool needs to be taken at least once per survey cycle</w:t>
      </w:r>
      <w:r>
        <w:t xml:space="preserve"> (April 1 – December 31)</w:t>
      </w:r>
      <w:r w:rsidRPr="00B75E76">
        <w:t xml:space="preserve">. Within a survey cycle, a hospital cannot retake a CPOE Evaluation </w:t>
      </w:r>
      <w:r>
        <w:t xml:space="preserve">Tool </w:t>
      </w:r>
      <w:r w:rsidRPr="00B75E76">
        <w:t>until at least 6 months have passed since their last test was taken.</w:t>
      </w:r>
      <w:r>
        <w:t xml:space="preserve"> </w:t>
      </w:r>
    </w:p>
    <w:p w14:paraId="10C3EB7B" w14:textId="77777777" w:rsidR="004A2DED" w:rsidRDefault="004A2DED" w:rsidP="004A2DED">
      <w:pPr>
        <w:rPr>
          <w:b/>
        </w:rPr>
      </w:pPr>
    </w:p>
    <w:p w14:paraId="472D85E1" w14:textId="77777777" w:rsidR="00920EF6" w:rsidRPr="00AF30CB" w:rsidRDefault="00960D76" w:rsidP="00ED58C1">
      <w:pPr>
        <w:pStyle w:val="ListParagraph"/>
        <w:numPr>
          <w:ilvl w:val="0"/>
          <w:numId w:val="30"/>
        </w:numPr>
        <w:rPr>
          <w:b/>
        </w:rPr>
        <w:sectPr w:rsidR="00920EF6" w:rsidRPr="00AF30CB" w:rsidSect="007A1594">
          <w:headerReference w:type="default" r:id="rId69"/>
          <w:endnotePr>
            <w:numFmt w:val="decimal"/>
          </w:endnotePr>
          <w:type w:val="continuous"/>
          <w:pgSz w:w="12240" w:h="15840"/>
          <w:pgMar w:top="1440" w:right="1440" w:bottom="1440" w:left="1440" w:header="720" w:footer="720" w:gutter="0"/>
          <w:cols w:space="720"/>
          <w:docGrid w:linePitch="272"/>
        </w:sectPr>
      </w:pPr>
      <w:r w:rsidRPr="004A2DED">
        <w:rPr>
          <w:b/>
        </w:rPr>
        <w:t>How</w:t>
      </w:r>
      <w:r w:rsidRPr="004A2DED">
        <w:rPr>
          <w:b/>
          <w:snapToGrid w:val="0"/>
        </w:rPr>
        <w:t xml:space="preserve"> do hospitals access the CPOE Evaluation Tool? </w:t>
      </w:r>
      <w:r w:rsidRPr="004A2DED">
        <w:rPr>
          <w:b/>
          <w:i/>
          <w:snapToGrid w:val="0"/>
        </w:rPr>
        <w:br/>
      </w:r>
      <w:r w:rsidR="00AF30CB" w:rsidRPr="00AF30CB">
        <w:t xml:space="preserve">Log into the online survey tool with your 16-digit security code. Complete, affirm, and submit Section 2. The CPOE </w:t>
      </w:r>
      <w:r w:rsidR="00AF30CB">
        <w:t>Tool button will appear on the Survey D</w:t>
      </w:r>
      <w:r w:rsidR="00AF30CB" w:rsidRPr="00AF30CB">
        <w:t xml:space="preserve">ashboard. </w:t>
      </w:r>
      <w:r w:rsidRPr="00AF30CB">
        <w:t>Once the evaluation is complete, hospitals will need to come b</w:t>
      </w:r>
      <w:r w:rsidR="00AF30CB">
        <w:t>ack into the survey and submit</w:t>
      </w:r>
      <w:r w:rsidRPr="00AF30CB">
        <w:t xml:space="preserve"> any uncompleted sections</w:t>
      </w:r>
      <w:r w:rsidRPr="00BC2D78">
        <w:t xml:space="preserve"> of the survey, or they will receive a score of “Declined</w:t>
      </w:r>
      <w:r w:rsidR="00AF30CB">
        <w:t xml:space="preserve"> to Respond” for those sections</w:t>
      </w:r>
      <w:r w:rsidR="007C45AD">
        <w:t>.</w:t>
      </w:r>
    </w:p>
    <w:p w14:paraId="3875EB6B" w14:textId="77777777" w:rsidR="00597B63" w:rsidRDefault="00597B63" w:rsidP="00AF30CB">
      <w:pPr>
        <w:rPr>
          <w:b/>
          <w:color w:val="A6A6A6" w:themeColor="background1" w:themeShade="A6"/>
          <w:sz w:val="40"/>
          <w:szCs w:val="40"/>
          <w:lang w:eastAsia="ja-JP"/>
        </w:rPr>
      </w:pPr>
    </w:p>
    <w:p w14:paraId="1ED54A2E" w14:textId="77777777" w:rsidR="008A41A3" w:rsidRDefault="008A41A3" w:rsidP="007F6A53">
      <w:pPr>
        <w:jc w:val="center"/>
        <w:rPr>
          <w:b/>
          <w:color w:val="A6A6A6" w:themeColor="background1" w:themeShade="A6"/>
          <w:sz w:val="40"/>
          <w:szCs w:val="40"/>
          <w:lang w:eastAsia="ja-JP"/>
        </w:rPr>
      </w:pPr>
    </w:p>
    <w:p w14:paraId="778B862C" w14:textId="77777777" w:rsidR="00C35C80" w:rsidRDefault="00D42A72" w:rsidP="007F6A53">
      <w:pPr>
        <w:jc w:val="center"/>
        <w:rPr>
          <w:b/>
          <w:color w:val="A6A6A6" w:themeColor="background1" w:themeShade="A6"/>
          <w:sz w:val="40"/>
          <w:szCs w:val="40"/>
          <w:lang w:eastAsia="ja-JP"/>
        </w:rPr>
      </w:pPr>
      <w:r w:rsidRPr="00D42A72">
        <w:rPr>
          <w:b/>
          <w:color w:val="A6A6A6" w:themeColor="background1" w:themeShade="A6"/>
          <w:sz w:val="40"/>
          <w:szCs w:val="40"/>
          <w:lang w:eastAsia="ja-JP"/>
        </w:rPr>
        <w:t>Page Intentionally Left Blank</w:t>
      </w:r>
    </w:p>
    <w:p w14:paraId="3EA7406B" w14:textId="77777777" w:rsidR="00D42A72" w:rsidRDefault="00D42A72">
      <w:pPr>
        <w:rPr>
          <w:b/>
          <w:color w:val="A6A6A6" w:themeColor="background1" w:themeShade="A6"/>
          <w:sz w:val="40"/>
          <w:szCs w:val="40"/>
          <w:lang w:eastAsia="ja-JP"/>
        </w:rPr>
      </w:pPr>
      <w:r>
        <w:rPr>
          <w:b/>
          <w:color w:val="A6A6A6" w:themeColor="background1" w:themeShade="A6"/>
          <w:sz w:val="40"/>
          <w:szCs w:val="40"/>
          <w:lang w:eastAsia="ja-JP"/>
        </w:rPr>
        <w:br w:type="page"/>
      </w:r>
    </w:p>
    <w:p w14:paraId="315F1B38" w14:textId="77777777" w:rsidR="00920EF6" w:rsidRDefault="00920EF6" w:rsidP="00D42A72">
      <w:pPr>
        <w:rPr>
          <w:b/>
          <w:color w:val="A6A6A6" w:themeColor="background1" w:themeShade="A6"/>
          <w:sz w:val="40"/>
          <w:szCs w:val="40"/>
          <w:lang w:eastAsia="ja-JP"/>
        </w:rPr>
        <w:sectPr w:rsidR="00920EF6" w:rsidSect="008733FC">
          <w:headerReference w:type="default" r:id="rId70"/>
          <w:endnotePr>
            <w:numFmt w:val="decimal"/>
          </w:endnotePr>
          <w:type w:val="continuous"/>
          <w:pgSz w:w="12240" w:h="15840"/>
          <w:pgMar w:top="1080" w:right="1440" w:bottom="1080" w:left="1440" w:header="720" w:footer="720" w:gutter="0"/>
          <w:cols w:space="720"/>
          <w:docGrid w:linePitch="272"/>
        </w:sectPr>
      </w:pPr>
    </w:p>
    <w:p w14:paraId="28A3FEB9" w14:textId="77777777" w:rsidR="00D42A72" w:rsidRPr="00D42A72" w:rsidRDefault="00D42A72" w:rsidP="00D42A72">
      <w:pPr>
        <w:rPr>
          <w:b/>
          <w:color w:val="A6A6A6" w:themeColor="background1" w:themeShade="A6"/>
          <w:sz w:val="40"/>
          <w:szCs w:val="40"/>
          <w:lang w:eastAsia="ja-JP"/>
        </w:rPr>
      </w:pPr>
    </w:p>
    <w:p w14:paraId="366FCEB5" w14:textId="77777777" w:rsidR="00AB2927" w:rsidRDefault="00AB2927" w:rsidP="00FE54C0">
      <w:pPr>
        <w:pStyle w:val="SectionHeader"/>
      </w:pPr>
    </w:p>
    <w:p w14:paraId="7A59C4E0" w14:textId="77777777" w:rsidR="00AB2927" w:rsidRDefault="00AB2927" w:rsidP="00FE54C0">
      <w:pPr>
        <w:pStyle w:val="SectionHeader"/>
      </w:pPr>
    </w:p>
    <w:p w14:paraId="60E2BE62" w14:textId="77777777" w:rsidR="00AB2927" w:rsidRDefault="00AB2927" w:rsidP="00FE54C0">
      <w:pPr>
        <w:pStyle w:val="SectionHeader"/>
      </w:pPr>
    </w:p>
    <w:p w14:paraId="75AE9CED" w14:textId="77777777" w:rsidR="00AB2927" w:rsidRDefault="00AB2927" w:rsidP="00FE54C0">
      <w:pPr>
        <w:pStyle w:val="SectionHeader"/>
      </w:pPr>
    </w:p>
    <w:p w14:paraId="46C71C72" w14:textId="77777777" w:rsidR="00AB2927" w:rsidRDefault="00AB2927" w:rsidP="00FE54C0">
      <w:pPr>
        <w:pStyle w:val="SectionHeader"/>
      </w:pPr>
    </w:p>
    <w:p w14:paraId="5F9B0E10" w14:textId="77777777" w:rsidR="00AB2927" w:rsidRDefault="00AB2927" w:rsidP="00FE54C0">
      <w:pPr>
        <w:pStyle w:val="SectionHeader"/>
      </w:pPr>
    </w:p>
    <w:p w14:paraId="5A77750C" w14:textId="77777777" w:rsidR="00AB2927" w:rsidRDefault="00AB2927" w:rsidP="00FE54C0">
      <w:pPr>
        <w:pStyle w:val="SectionHeader"/>
      </w:pPr>
    </w:p>
    <w:p w14:paraId="33D22327" w14:textId="77777777" w:rsidR="00AB2927" w:rsidRDefault="00AB2927" w:rsidP="00FE54C0">
      <w:pPr>
        <w:pStyle w:val="SectionHeader"/>
      </w:pPr>
    </w:p>
    <w:p w14:paraId="1F9B682F" w14:textId="77777777" w:rsidR="00AB2927" w:rsidRDefault="00AB2927" w:rsidP="00FE54C0">
      <w:pPr>
        <w:pStyle w:val="SectionHeader"/>
      </w:pPr>
    </w:p>
    <w:p w14:paraId="27F8A4D3" w14:textId="77777777" w:rsidR="00AB2927" w:rsidRDefault="00AB2927" w:rsidP="00FE54C0">
      <w:pPr>
        <w:pStyle w:val="SectionHeader"/>
      </w:pPr>
    </w:p>
    <w:p w14:paraId="08D7ECA7" w14:textId="77777777" w:rsidR="00AB2927" w:rsidRDefault="00AB2927" w:rsidP="00FE54C0">
      <w:pPr>
        <w:pStyle w:val="SectionHeader"/>
      </w:pPr>
    </w:p>
    <w:p w14:paraId="5E9E6668" w14:textId="77777777" w:rsidR="00AB2927" w:rsidRPr="00B64F9C" w:rsidRDefault="00AB2927" w:rsidP="00FE54C0">
      <w:pPr>
        <w:pStyle w:val="SectionHeader"/>
      </w:pPr>
      <w:bookmarkStart w:id="62" w:name="_Toc447194978"/>
      <w:r w:rsidRPr="00B64F9C">
        <w:t xml:space="preserve">SECTION 3: </w:t>
      </w:r>
      <w:r w:rsidR="00432267" w:rsidRPr="00B64F9C">
        <w:t>EVIDENCE-BASED HOSPITAL REFERRAL (EBHR)</w:t>
      </w:r>
      <w:bookmarkEnd w:id="62"/>
    </w:p>
    <w:p w14:paraId="7DCB9645" w14:textId="77777777" w:rsidR="0068304F" w:rsidRPr="00B64F9C" w:rsidRDefault="0068304F" w:rsidP="00FE54C0">
      <w:pPr>
        <w:pStyle w:val="SectionHeader"/>
      </w:pPr>
    </w:p>
    <w:p w14:paraId="0650C3E4" w14:textId="77777777" w:rsidR="0068304F" w:rsidRDefault="0068304F" w:rsidP="0068304F">
      <w:r w:rsidRPr="00B64F9C">
        <w:t>This section includes questions and refer</w:t>
      </w:r>
      <w:r w:rsidR="00432267" w:rsidRPr="00B64F9C">
        <w:t>ence information for Section 3 Evidence-Based Hospital Referral</w:t>
      </w:r>
      <w:r w:rsidRPr="00B64F9C">
        <w:t xml:space="preserve">. Please carefully review the questions, </w:t>
      </w:r>
      <w:r w:rsidR="00B94757" w:rsidRPr="00B64F9C">
        <w:t>endnotes</w:t>
      </w:r>
      <w:r w:rsidRPr="00B64F9C">
        <w:t>, and reference information (e.g.</w:t>
      </w:r>
      <w:r w:rsidR="00E77CB0" w:rsidRPr="00B64F9C">
        <w:t>,</w:t>
      </w:r>
      <w:r w:rsidRPr="00B64F9C">
        <w:t xml:space="preserve"> measure specifications, notes, and frequen</w:t>
      </w:r>
      <w:r w:rsidR="00E77CB0" w:rsidRPr="00B64F9C">
        <w:t>tl</w:t>
      </w:r>
      <w:r w:rsidRPr="00B64F9C">
        <w:t>y asked questions) before you begin. Failure to review the reference information could result in inaccurate responses.</w:t>
      </w:r>
      <w:r w:rsidR="00BC57FF">
        <w:t xml:space="preserve"> </w:t>
      </w:r>
      <w:r>
        <w:t xml:space="preserve"> </w:t>
      </w:r>
    </w:p>
    <w:p w14:paraId="6377A7D1" w14:textId="77777777" w:rsidR="0068304F" w:rsidRDefault="0068304F" w:rsidP="00FE54C0">
      <w:pPr>
        <w:pStyle w:val="SectionHeader"/>
      </w:pPr>
    </w:p>
    <w:p w14:paraId="006DDA4A" w14:textId="77777777" w:rsidR="00AB2927" w:rsidRDefault="00AB2927" w:rsidP="00FE54C0">
      <w:pPr>
        <w:pStyle w:val="SectionHeader"/>
      </w:pPr>
    </w:p>
    <w:p w14:paraId="115C08CD" w14:textId="77777777" w:rsidR="00C35C80" w:rsidRPr="004C4864" w:rsidRDefault="00AB2927" w:rsidP="00C35C80">
      <w:pPr>
        <w:rPr>
          <w:b/>
          <w:snapToGrid w:val="0"/>
          <w:sz w:val="40"/>
          <w:szCs w:val="40"/>
        </w:rPr>
      </w:pPr>
      <w:r>
        <w:br w:type="page"/>
      </w:r>
    </w:p>
    <w:p w14:paraId="12CA51A1" w14:textId="77777777" w:rsidR="000C3BE1" w:rsidRPr="004C4864" w:rsidRDefault="00164DB1" w:rsidP="002C3E94">
      <w:pPr>
        <w:pStyle w:val="Title"/>
      </w:pPr>
      <w:bookmarkStart w:id="63" w:name="_Toc447194979"/>
      <w:r w:rsidRPr="004C4864">
        <w:lastRenderedPageBreak/>
        <w:t xml:space="preserve">Section 3: </w:t>
      </w:r>
      <w:r w:rsidR="004F68CC">
        <w:t>201</w:t>
      </w:r>
      <w:r w:rsidR="00913F55">
        <w:t>6 Evidence-Based Hospital Referral</w:t>
      </w:r>
      <w:bookmarkEnd w:id="63"/>
    </w:p>
    <w:p w14:paraId="76AA5275" w14:textId="77777777" w:rsidR="00244710" w:rsidRDefault="00244710" w:rsidP="00E51615">
      <w:pPr>
        <w:rPr>
          <w:b/>
          <w:snapToGrid w:val="0"/>
        </w:rPr>
      </w:pPr>
    </w:p>
    <w:p w14:paraId="7F2A4734" w14:textId="77777777" w:rsidR="000C3BE1" w:rsidRDefault="00913F55" w:rsidP="00E51615">
      <w:pPr>
        <w:rPr>
          <w:b/>
          <w:color w:val="FF0000"/>
        </w:rPr>
      </w:pPr>
      <w:r w:rsidRPr="001F4BF2">
        <w:rPr>
          <w:b/>
          <w:snapToGrid w:val="0"/>
        </w:rPr>
        <w:t>Link to EBHR</w:t>
      </w:r>
      <w:r w:rsidR="000C3BE1" w:rsidRPr="001F4BF2">
        <w:rPr>
          <w:b/>
          <w:snapToGrid w:val="0"/>
        </w:rPr>
        <w:t xml:space="preserve"> Fact Sheet:</w:t>
      </w:r>
      <w:r w:rsidR="00E03E77">
        <w:rPr>
          <w:b/>
          <w:snapToGrid w:val="0"/>
        </w:rPr>
        <w:t xml:space="preserve"> </w:t>
      </w:r>
      <w:hyperlink r:id="rId71" w:history="1">
        <w:r w:rsidR="00E03E77" w:rsidRPr="00EE24D9">
          <w:rPr>
            <w:rStyle w:val="Hyperlink"/>
          </w:rPr>
          <w:t>http://leapfroggroup.org/ratings-reports/survey-content</w:t>
        </w:r>
      </w:hyperlink>
      <w:r w:rsidR="001F4BF2">
        <w:rPr>
          <w:b/>
          <w:snapToGrid w:val="0"/>
        </w:rPr>
        <w:t xml:space="preserve"> </w:t>
      </w:r>
    </w:p>
    <w:p w14:paraId="13FA7F51" w14:textId="77777777" w:rsidR="0086770B" w:rsidRPr="00BB6764" w:rsidRDefault="0086770B">
      <w:pPr>
        <w:pStyle w:val="BodyText3"/>
        <w:rPr>
          <w:b/>
          <w:color w:val="FF0000"/>
        </w:rPr>
      </w:pPr>
    </w:p>
    <w:p w14:paraId="0BF30FC9" w14:textId="77777777" w:rsidR="00913F55" w:rsidRPr="00BB6764" w:rsidRDefault="00913F55" w:rsidP="00913F55">
      <w:pPr>
        <w:pStyle w:val="BodyText3"/>
        <w:rPr>
          <w:b/>
          <w:color w:val="FF0000"/>
        </w:rPr>
      </w:pPr>
      <w:r w:rsidRPr="00480B14">
        <w:rPr>
          <w:b/>
          <w:color w:val="FF0000"/>
        </w:rPr>
        <w:t xml:space="preserve">This section is not applicable to Pediatric hospitals. </w:t>
      </w:r>
    </w:p>
    <w:p w14:paraId="06B13ED5" w14:textId="77777777" w:rsidR="00913F55" w:rsidRDefault="00913F55" w:rsidP="00913F55">
      <w:pPr>
        <w:pStyle w:val="BodyText3"/>
        <w:rPr>
          <w:b/>
        </w:rPr>
      </w:pPr>
    </w:p>
    <w:p w14:paraId="58C41651" w14:textId="77777777" w:rsidR="00913F55" w:rsidRPr="006C1A8E" w:rsidRDefault="00913F55" w:rsidP="00913F55">
      <w:pPr>
        <w:pStyle w:val="BodyText3"/>
        <w:rPr>
          <w:b/>
        </w:rPr>
      </w:pPr>
      <w:r w:rsidRPr="006C1A8E">
        <w:rPr>
          <w:b/>
        </w:rPr>
        <w:t xml:space="preserve">Each hospital </w:t>
      </w:r>
      <w:r>
        <w:rPr>
          <w:b/>
        </w:rPr>
        <w:t>fully meeting</w:t>
      </w:r>
      <w:r w:rsidRPr="006C1A8E">
        <w:rPr>
          <w:b/>
        </w:rPr>
        <w:t xml:space="preserve"> one or more of the high-risk surgical standards:</w:t>
      </w:r>
    </w:p>
    <w:p w14:paraId="75991051" w14:textId="77777777" w:rsidR="00913F55" w:rsidRPr="006C1A8E" w:rsidRDefault="00913F55" w:rsidP="00913F55">
      <w:pPr>
        <w:pStyle w:val="BodyText3"/>
        <w:rPr>
          <w:b/>
        </w:rPr>
      </w:pPr>
    </w:p>
    <w:p w14:paraId="0C13ED0A" w14:textId="77777777" w:rsidR="00913F55" w:rsidRPr="006C1A8E" w:rsidRDefault="00913F55" w:rsidP="00ED58C1">
      <w:pPr>
        <w:pStyle w:val="BodyText3"/>
        <w:numPr>
          <w:ilvl w:val="0"/>
          <w:numId w:val="20"/>
        </w:numPr>
      </w:pPr>
      <w:r w:rsidRPr="006C1A8E">
        <w:t>For aortic valve replacement (AVR), participates in and scores better than the group average for participating hospitals in its ratio of observed-to-expected mortality in a national performance measurement system</w:t>
      </w:r>
      <w:r w:rsidR="00725152">
        <w:t xml:space="preserve"> (Society of Thoracic Surgeons)</w:t>
      </w:r>
      <w:r w:rsidRPr="00211C7A">
        <w:t>, or in a regional performance measurement system</w:t>
      </w:r>
      <w:r w:rsidR="00725152">
        <w:t xml:space="preserve"> (Northern New England Cardiovascular Disease Study Group)</w:t>
      </w:r>
      <w:r w:rsidRPr="00211C7A">
        <w:t>,</w:t>
      </w:r>
      <w:r w:rsidRPr="006C1A8E">
        <w:t xml:space="preserve"> and achieves the favorable volume characteristic: 120 or more </w:t>
      </w:r>
      <w:r>
        <w:t xml:space="preserve">AVR </w:t>
      </w:r>
      <w:r w:rsidRPr="006C1A8E">
        <w:t xml:space="preserve">patients/year for the hospital. </w:t>
      </w:r>
    </w:p>
    <w:p w14:paraId="7379449D" w14:textId="77777777" w:rsidR="00913F55" w:rsidRDefault="00913F55" w:rsidP="00913F55">
      <w:pPr>
        <w:pStyle w:val="BodyText3"/>
      </w:pPr>
    </w:p>
    <w:p w14:paraId="0E4A2CC8" w14:textId="77777777" w:rsidR="00913F55" w:rsidRPr="00922CF8" w:rsidRDefault="00913F55" w:rsidP="00913F55">
      <w:pPr>
        <w:pStyle w:val="BodyText3"/>
        <w:ind w:left="720"/>
        <w:rPr>
          <w:b/>
        </w:rPr>
      </w:pPr>
      <w:r w:rsidRPr="00922CF8">
        <w:rPr>
          <w:b/>
        </w:rPr>
        <w:t>or</w:t>
      </w:r>
    </w:p>
    <w:p w14:paraId="4EA49DF1" w14:textId="77777777" w:rsidR="00913F55" w:rsidRDefault="00913F55" w:rsidP="00913F55">
      <w:pPr>
        <w:pStyle w:val="BodyText3"/>
        <w:ind w:left="360"/>
      </w:pPr>
    </w:p>
    <w:p w14:paraId="1C4C039D" w14:textId="77777777" w:rsidR="00913F55" w:rsidRDefault="00913F55" w:rsidP="00ED58C1">
      <w:pPr>
        <w:pStyle w:val="BodyText3"/>
        <w:numPr>
          <w:ilvl w:val="0"/>
          <w:numId w:val="20"/>
        </w:numPr>
      </w:pPr>
      <w:r>
        <w:t xml:space="preserve">For AVR, abdominal aortic aneurysm repair (AAA), pancreatic resection, and esophagectomy, places in the best quartile for the predicted mortality composite measure for the procedure, as compared to a national sample of hospitals. </w:t>
      </w:r>
    </w:p>
    <w:p w14:paraId="2B336871" w14:textId="77777777" w:rsidR="00913F55" w:rsidRDefault="00913F55" w:rsidP="00913F55">
      <w:pPr>
        <w:pStyle w:val="BodyText3"/>
        <w:ind w:left="360"/>
      </w:pPr>
    </w:p>
    <w:p w14:paraId="6E3A78AF" w14:textId="77777777" w:rsidR="00913F55" w:rsidRDefault="00913F55" w:rsidP="00913F55">
      <w:pPr>
        <w:pStyle w:val="BodyText3"/>
      </w:pPr>
    </w:p>
    <w:p w14:paraId="5434D645" w14:textId="77777777" w:rsidR="00913F55" w:rsidRDefault="00913F55" w:rsidP="00913F55">
      <w:pPr>
        <w:pStyle w:val="BodyText3"/>
      </w:pPr>
      <w:r>
        <w:t xml:space="preserve">For hospitals that do not perform these procedures, or refer/transfer all safe and legally transferable patients for such high-risk procedures or conditions, the standard does not apply for that procedure or condition. If you answer ‘No’ to any of the procedures listed in Subsection 3A, </w:t>
      </w:r>
      <w:r w:rsidR="00900B08">
        <w:t>q</w:t>
      </w:r>
      <w:r>
        <w:t xml:space="preserve">uestions #1-4 below, the notation ‘Does Not Apply’ will be displayed for that procedure on the public reporting website. </w:t>
      </w:r>
    </w:p>
    <w:p w14:paraId="0A0D0949" w14:textId="77777777" w:rsidR="00913F55" w:rsidRDefault="00913F55" w:rsidP="00913F55">
      <w:pPr>
        <w:pStyle w:val="Header"/>
        <w:tabs>
          <w:tab w:val="clear" w:pos="4320"/>
          <w:tab w:val="clear" w:pos="8640"/>
        </w:tabs>
      </w:pPr>
    </w:p>
    <w:p w14:paraId="3129DE6E" w14:textId="77777777" w:rsidR="0090215D" w:rsidRPr="00AD3571" w:rsidRDefault="0090215D" w:rsidP="0090215D">
      <w:pPr>
        <w:rPr>
          <w:b/>
        </w:rPr>
      </w:pPr>
      <w:r w:rsidRPr="00AD3571">
        <w:rPr>
          <w:b/>
        </w:rPr>
        <w:t xml:space="preserve">More information about the 2016 Leapfrog </w:t>
      </w:r>
      <w:r w:rsidR="00381DAB" w:rsidRPr="00AD3571">
        <w:rPr>
          <w:b/>
        </w:rPr>
        <w:t>Hospital Survey</w:t>
      </w:r>
      <w:r w:rsidRPr="00AD3571">
        <w:rPr>
          <w:b/>
        </w:rPr>
        <w:t xml:space="preserve"> Scoring Algorithms is available at: </w:t>
      </w:r>
      <w:hyperlink r:id="rId72" w:history="1">
        <w:r w:rsidR="00B31B8C" w:rsidRPr="000421AE">
          <w:rPr>
            <w:rStyle w:val="Hyperlink"/>
          </w:rPr>
          <w:t>http://leapfroggroup.org/survey-materials/scoring-and-results</w:t>
        </w:r>
      </w:hyperlink>
      <w:r w:rsidR="00B31B8C">
        <w:t xml:space="preserve"> </w:t>
      </w:r>
    </w:p>
    <w:p w14:paraId="2E47028B" w14:textId="77777777" w:rsidR="006E50EF" w:rsidRDefault="006E50EF">
      <w:pPr>
        <w:rPr>
          <w:b/>
          <w:snapToGrid w:val="0"/>
          <w:sz w:val="24"/>
          <w:szCs w:val="24"/>
        </w:rPr>
      </w:pPr>
      <w:r>
        <w:rPr>
          <w:b/>
          <w:snapToGrid w:val="0"/>
          <w:sz w:val="24"/>
          <w:szCs w:val="24"/>
        </w:rPr>
        <w:br w:type="page"/>
      </w:r>
    </w:p>
    <w:p w14:paraId="75396D81" w14:textId="77777777" w:rsidR="006E50EF" w:rsidRDefault="006E50EF" w:rsidP="00C50838">
      <w:pPr>
        <w:pStyle w:val="Header"/>
        <w:tabs>
          <w:tab w:val="clear" w:pos="4320"/>
          <w:tab w:val="clear" w:pos="8640"/>
        </w:tabs>
        <w:rPr>
          <w:b/>
          <w:snapToGrid w:val="0"/>
          <w:sz w:val="24"/>
          <w:szCs w:val="24"/>
        </w:rPr>
      </w:pPr>
    </w:p>
    <w:p w14:paraId="372AD3FE" w14:textId="77777777" w:rsidR="005B2EEB" w:rsidRPr="007352FE" w:rsidRDefault="008C02BE" w:rsidP="00954B73">
      <w:pPr>
        <w:pStyle w:val="Heading2"/>
        <w:rPr>
          <w:snapToGrid w:val="0"/>
        </w:rPr>
      </w:pPr>
      <w:bookmarkStart w:id="64" w:name="_3A_High-Risk_Surgical"/>
      <w:bookmarkStart w:id="65" w:name="_Toc447194980"/>
      <w:bookmarkEnd w:id="64"/>
      <w:r>
        <w:rPr>
          <w:snapToGrid w:val="0"/>
        </w:rPr>
        <w:t xml:space="preserve">3A </w:t>
      </w:r>
      <w:r w:rsidR="005B2EEB" w:rsidRPr="007352FE">
        <w:rPr>
          <w:snapToGrid w:val="0"/>
        </w:rPr>
        <w:t>High-Risk Surgical Procedures Provided</w:t>
      </w:r>
      <w:bookmarkEnd w:id="65"/>
    </w:p>
    <w:p w14:paraId="011380EF" w14:textId="77777777" w:rsidR="005B2EEB" w:rsidRDefault="005B2EEB" w:rsidP="005B2EEB">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160"/>
      </w:tblGrid>
      <w:tr w:rsidR="005B2EEB" w14:paraId="4BCE91BD" w14:textId="77777777" w:rsidTr="00614016">
        <w:trPr>
          <w:cantSplit/>
        </w:trPr>
        <w:tc>
          <w:tcPr>
            <w:tcW w:w="9468" w:type="dxa"/>
            <w:gridSpan w:val="2"/>
            <w:tcBorders>
              <w:top w:val="single" w:sz="24" w:space="0" w:color="auto"/>
              <w:left w:val="nil"/>
              <w:right w:val="nil"/>
            </w:tcBorders>
          </w:tcPr>
          <w:p w14:paraId="6445F324" w14:textId="77777777" w:rsidR="005B2EEB" w:rsidRDefault="005B2EEB" w:rsidP="00614016">
            <w:pPr>
              <w:pStyle w:val="Header"/>
              <w:tabs>
                <w:tab w:val="clear" w:pos="4320"/>
                <w:tab w:val="clear" w:pos="8640"/>
              </w:tabs>
              <w:rPr>
                <w:snapToGrid w:val="0"/>
              </w:rPr>
            </w:pPr>
          </w:p>
          <w:p w14:paraId="6A8D8D42" w14:textId="77777777" w:rsidR="005B2EEB" w:rsidRDefault="005B2EEB" w:rsidP="00614016">
            <w:pPr>
              <w:pStyle w:val="Header"/>
              <w:tabs>
                <w:tab w:val="clear" w:pos="4320"/>
                <w:tab w:val="clear" w:pos="8640"/>
              </w:tabs>
              <w:rPr>
                <w:snapToGrid w:val="0"/>
              </w:rPr>
            </w:pPr>
            <w:r>
              <w:rPr>
                <w:snapToGrid w:val="0"/>
              </w:rPr>
              <w:t xml:space="preserve">Does your hospital perform these procedures </w:t>
            </w:r>
            <w:r>
              <w:rPr>
                <w:b/>
                <w:snapToGrid w:val="0"/>
              </w:rPr>
              <w:t>on an elective basis</w:t>
            </w:r>
            <w:r>
              <w:rPr>
                <w:snapToGrid w:val="0"/>
              </w:rPr>
              <w:t>?</w:t>
            </w:r>
          </w:p>
          <w:p w14:paraId="537118D5" w14:textId="77777777" w:rsidR="005B2EEB" w:rsidRDefault="005B2EEB" w:rsidP="00614016">
            <w:pPr>
              <w:pStyle w:val="Header"/>
              <w:tabs>
                <w:tab w:val="clear" w:pos="4320"/>
                <w:tab w:val="clear" w:pos="8640"/>
              </w:tabs>
              <w:rPr>
                <w:b/>
                <w:i/>
                <w:snapToGrid w:val="0"/>
              </w:rPr>
            </w:pPr>
          </w:p>
          <w:p w14:paraId="34D286E2" w14:textId="58DA6CA2" w:rsidR="005B2EEB" w:rsidRDefault="005B2EEB" w:rsidP="00614016">
            <w:pPr>
              <w:pStyle w:val="Header"/>
              <w:tabs>
                <w:tab w:val="clear" w:pos="4320"/>
                <w:tab w:val="clear" w:pos="8640"/>
              </w:tabs>
              <w:rPr>
                <w:b/>
                <w:i/>
                <w:snapToGrid w:val="0"/>
              </w:rPr>
            </w:pPr>
            <w:r>
              <w:rPr>
                <w:b/>
                <w:i/>
                <w:snapToGrid w:val="0"/>
              </w:rPr>
              <w:t>If your hospital does not perform the procedure or ONLY does so when a patient is too unstable</w:t>
            </w:r>
            <w:r w:rsidR="009E3DD2">
              <w:rPr>
                <w:b/>
                <w:i/>
                <w:snapToGrid w:val="0"/>
              </w:rPr>
              <w:t xml:space="preserve"> for safe transfer, answer ‘No.’</w:t>
            </w:r>
          </w:p>
          <w:p w14:paraId="0B8D6E56" w14:textId="77777777" w:rsidR="005B2EEB" w:rsidRDefault="005B2EEB" w:rsidP="00614016">
            <w:pPr>
              <w:pStyle w:val="Header"/>
              <w:tabs>
                <w:tab w:val="clear" w:pos="4320"/>
                <w:tab w:val="clear" w:pos="8640"/>
              </w:tabs>
              <w:rPr>
                <w:b/>
                <w:i/>
                <w:snapToGrid w:val="0"/>
              </w:rPr>
            </w:pPr>
          </w:p>
        </w:tc>
      </w:tr>
      <w:tr w:rsidR="005B2EEB" w14:paraId="0DAB96A5" w14:textId="77777777" w:rsidTr="00614016">
        <w:trPr>
          <w:cantSplit/>
        </w:trPr>
        <w:tc>
          <w:tcPr>
            <w:tcW w:w="7308" w:type="dxa"/>
            <w:vAlign w:val="center"/>
          </w:tcPr>
          <w:p w14:paraId="4EB9D7DA" w14:textId="77777777" w:rsidR="005B2EEB" w:rsidRDefault="005B2EEB" w:rsidP="00614016">
            <w:pPr>
              <w:numPr>
                <w:ilvl w:val="0"/>
                <w:numId w:val="2"/>
              </w:numPr>
              <w:rPr>
                <w:snapToGrid w:val="0"/>
                <w:color w:val="000000"/>
              </w:rPr>
            </w:pPr>
            <w:r>
              <w:rPr>
                <w:snapToGrid w:val="0"/>
                <w:color w:val="000000"/>
              </w:rPr>
              <w:t>Aortic valve replacement</w:t>
            </w:r>
          </w:p>
        </w:tc>
        <w:tc>
          <w:tcPr>
            <w:tcW w:w="2160" w:type="dxa"/>
            <w:tcBorders>
              <w:bottom w:val="nil"/>
            </w:tcBorders>
          </w:tcPr>
          <w:p w14:paraId="4A9A9804" w14:textId="77777777" w:rsidR="005B2EEB" w:rsidRDefault="005B2EEB" w:rsidP="00614016">
            <w:pPr>
              <w:jc w:val="center"/>
              <w:rPr>
                <w:i/>
                <w:snapToGrid w:val="0"/>
              </w:rPr>
            </w:pPr>
            <w:r>
              <w:rPr>
                <w:i/>
                <w:snapToGrid w:val="0"/>
              </w:rPr>
              <w:t>Yes</w:t>
            </w:r>
          </w:p>
          <w:p w14:paraId="27C6B8C8" w14:textId="77777777" w:rsidR="005B2EEB" w:rsidRDefault="005B2EEB" w:rsidP="00614016">
            <w:pPr>
              <w:jc w:val="center"/>
              <w:rPr>
                <w:i/>
                <w:snapToGrid w:val="0"/>
              </w:rPr>
            </w:pPr>
            <w:r>
              <w:rPr>
                <w:i/>
                <w:snapToGrid w:val="0"/>
              </w:rPr>
              <w:t>No</w:t>
            </w:r>
          </w:p>
        </w:tc>
      </w:tr>
      <w:tr w:rsidR="005B2EEB" w14:paraId="75F4A898" w14:textId="77777777" w:rsidTr="00614016">
        <w:trPr>
          <w:cantSplit/>
        </w:trPr>
        <w:tc>
          <w:tcPr>
            <w:tcW w:w="7308" w:type="dxa"/>
            <w:vAlign w:val="center"/>
          </w:tcPr>
          <w:p w14:paraId="0ABEDE15" w14:textId="77777777" w:rsidR="005B2EEB" w:rsidRDefault="005B2EEB" w:rsidP="00614016">
            <w:pPr>
              <w:numPr>
                <w:ilvl w:val="0"/>
                <w:numId w:val="2"/>
              </w:numPr>
              <w:rPr>
                <w:snapToGrid w:val="0"/>
                <w:color w:val="000000"/>
              </w:rPr>
            </w:pPr>
            <w:r>
              <w:rPr>
                <w:snapToGrid w:val="0"/>
                <w:color w:val="000000"/>
              </w:rPr>
              <w:t xml:space="preserve">Abdominal aortic aneurysm repair </w:t>
            </w:r>
          </w:p>
        </w:tc>
        <w:tc>
          <w:tcPr>
            <w:tcW w:w="2160" w:type="dxa"/>
            <w:tcBorders>
              <w:bottom w:val="nil"/>
            </w:tcBorders>
          </w:tcPr>
          <w:p w14:paraId="575A9090" w14:textId="77777777" w:rsidR="005B2EEB" w:rsidRDefault="005B2EEB" w:rsidP="00614016">
            <w:pPr>
              <w:jc w:val="center"/>
              <w:rPr>
                <w:i/>
                <w:snapToGrid w:val="0"/>
              </w:rPr>
            </w:pPr>
            <w:r>
              <w:rPr>
                <w:i/>
                <w:snapToGrid w:val="0"/>
              </w:rPr>
              <w:t>Yes</w:t>
            </w:r>
          </w:p>
          <w:p w14:paraId="4868C259" w14:textId="77777777" w:rsidR="005B2EEB" w:rsidRDefault="005B2EEB" w:rsidP="00614016">
            <w:pPr>
              <w:jc w:val="center"/>
              <w:rPr>
                <w:i/>
                <w:snapToGrid w:val="0"/>
              </w:rPr>
            </w:pPr>
            <w:r>
              <w:rPr>
                <w:i/>
                <w:snapToGrid w:val="0"/>
              </w:rPr>
              <w:t>No</w:t>
            </w:r>
          </w:p>
        </w:tc>
      </w:tr>
      <w:tr w:rsidR="005B2EEB" w14:paraId="3C1FAFC3" w14:textId="77777777" w:rsidTr="00614016">
        <w:trPr>
          <w:cantSplit/>
        </w:trPr>
        <w:tc>
          <w:tcPr>
            <w:tcW w:w="7308" w:type="dxa"/>
            <w:vAlign w:val="center"/>
          </w:tcPr>
          <w:p w14:paraId="45F4CE5F" w14:textId="77777777" w:rsidR="005B2EEB" w:rsidRDefault="005B2EEB" w:rsidP="00614016">
            <w:pPr>
              <w:numPr>
                <w:ilvl w:val="0"/>
                <w:numId w:val="2"/>
              </w:numPr>
              <w:rPr>
                <w:snapToGrid w:val="0"/>
                <w:color w:val="000000"/>
              </w:rPr>
            </w:pPr>
            <w:r>
              <w:rPr>
                <w:snapToGrid w:val="0"/>
                <w:color w:val="000000"/>
              </w:rPr>
              <w:t xml:space="preserve">Pancreatic resection </w:t>
            </w:r>
          </w:p>
        </w:tc>
        <w:tc>
          <w:tcPr>
            <w:tcW w:w="2160" w:type="dxa"/>
            <w:tcBorders>
              <w:bottom w:val="nil"/>
            </w:tcBorders>
          </w:tcPr>
          <w:p w14:paraId="5B9DF5CA" w14:textId="77777777" w:rsidR="005B2EEB" w:rsidRDefault="005B2EEB" w:rsidP="00614016">
            <w:pPr>
              <w:jc w:val="center"/>
              <w:rPr>
                <w:i/>
                <w:snapToGrid w:val="0"/>
              </w:rPr>
            </w:pPr>
            <w:r>
              <w:rPr>
                <w:i/>
                <w:snapToGrid w:val="0"/>
              </w:rPr>
              <w:t>Yes</w:t>
            </w:r>
          </w:p>
          <w:p w14:paraId="55EB3A12" w14:textId="77777777" w:rsidR="005B2EEB" w:rsidRDefault="005B2EEB" w:rsidP="00614016">
            <w:pPr>
              <w:jc w:val="center"/>
              <w:rPr>
                <w:i/>
                <w:snapToGrid w:val="0"/>
              </w:rPr>
            </w:pPr>
            <w:r>
              <w:rPr>
                <w:i/>
                <w:snapToGrid w:val="0"/>
              </w:rPr>
              <w:t>No</w:t>
            </w:r>
          </w:p>
        </w:tc>
      </w:tr>
      <w:tr w:rsidR="005B2EEB" w14:paraId="0540D080" w14:textId="77777777" w:rsidTr="00614016">
        <w:trPr>
          <w:cantSplit/>
        </w:trPr>
        <w:tc>
          <w:tcPr>
            <w:tcW w:w="7308" w:type="dxa"/>
            <w:vAlign w:val="center"/>
          </w:tcPr>
          <w:p w14:paraId="26A6A2E9" w14:textId="77777777" w:rsidR="005B2EEB" w:rsidRDefault="005B2EEB" w:rsidP="00614016">
            <w:pPr>
              <w:numPr>
                <w:ilvl w:val="0"/>
                <w:numId w:val="2"/>
              </w:numPr>
              <w:rPr>
                <w:snapToGrid w:val="0"/>
                <w:color w:val="000000"/>
              </w:rPr>
            </w:pPr>
            <w:r>
              <w:br w:type="page"/>
            </w:r>
            <w:r>
              <w:rPr>
                <w:snapToGrid w:val="0"/>
                <w:color w:val="000000"/>
              </w:rPr>
              <w:t xml:space="preserve">Esophagectomy </w:t>
            </w:r>
          </w:p>
        </w:tc>
        <w:tc>
          <w:tcPr>
            <w:tcW w:w="2160" w:type="dxa"/>
          </w:tcPr>
          <w:p w14:paraId="61C47AAB" w14:textId="77777777" w:rsidR="005B2EEB" w:rsidRDefault="005B2EEB" w:rsidP="00614016">
            <w:pPr>
              <w:jc w:val="center"/>
              <w:rPr>
                <w:i/>
                <w:snapToGrid w:val="0"/>
              </w:rPr>
            </w:pPr>
            <w:r>
              <w:rPr>
                <w:i/>
                <w:snapToGrid w:val="0"/>
              </w:rPr>
              <w:t>Yes</w:t>
            </w:r>
          </w:p>
          <w:p w14:paraId="49A2CA89" w14:textId="77777777" w:rsidR="005B2EEB" w:rsidRDefault="005B2EEB" w:rsidP="00614016">
            <w:pPr>
              <w:jc w:val="center"/>
              <w:rPr>
                <w:i/>
                <w:snapToGrid w:val="0"/>
              </w:rPr>
            </w:pPr>
            <w:r>
              <w:rPr>
                <w:i/>
                <w:snapToGrid w:val="0"/>
              </w:rPr>
              <w:t>No</w:t>
            </w:r>
          </w:p>
        </w:tc>
      </w:tr>
    </w:tbl>
    <w:p w14:paraId="228B731A" w14:textId="77777777" w:rsidR="005B2EEB" w:rsidRDefault="005B2EEB" w:rsidP="005B2EEB"/>
    <w:p w14:paraId="5ACB738D" w14:textId="77777777" w:rsidR="005B2EEB" w:rsidRPr="00480B14" w:rsidRDefault="005B2EEB" w:rsidP="005B2EEB">
      <w:pPr>
        <w:pStyle w:val="Header"/>
        <w:tabs>
          <w:tab w:val="clear" w:pos="4320"/>
          <w:tab w:val="clear" w:pos="8640"/>
        </w:tabs>
      </w:pPr>
      <w:r w:rsidRPr="0074497F">
        <w:rPr>
          <w:snapToGrid w:val="0"/>
        </w:rPr>
        <w:t xml:space="preserve">See </w:t>
      </w:r>
      <w:r w:rsidRPr="0074497F">
        <w:rPr>
          <w:b/>
          <w:i/>
          <w:snapToGrid w:val="0"/>
        </w:rPr>
        <w:t>Volume Standards</w:t>
      </w:r>
      <w:r w:rsidRPr="0074497F">
        <w:rPr>
          <w:snapToGrid w:val="0"/>
        </w:rPr>
        <w:t xml:space="preserve"> in the EBHR Reference Information on </w:t>
      </w:r>
      <w:r w:rsidRPr="00B82E68">
        <w:rPr>
          <w:snapToGrid w:val="0"/>
        </w:rPr>
        <w:t>pages 4</w:t>
      </w:r>
      <w:r w:rsidR="008434B7" w:rsidRPr="00B82E68">
        <w:rPr>
          <w:snapToGrid w:val="0"/>
        </w:rPr>
        <w:t>5</w:t>
      </w:r>
      <w:r w:rsidRPr="00B82E68">
        <w:rPr>
          <w:snapToGrid w:val="0"/>
        </w:rPr>
        <w:t>-5</w:t>
      </w:r>
      <w:r w:rsidR="008434B7" w:rsidRPr="00B82E68">
        <w:rPr>
          <w:snapToGrid w:val="0"/>
        </w:rPr>
        <w:t>0</w:t>
      </w:r>
      <w:r w:rsidRPr="00B82E68">
        <w:rPr>
          <w:snapToGrid w:val="0"/>
        </w:rPr>
        <w:t xml:space="preserve"> </w:t>
      </w:r>
      <w:r w:rsidRPr="00B82E68">
        <w:t>for ICD</w:t>
      </w:r>
      <w:r w:rsidRPr="0074497F">
        <w:t>-9 coding specifications and other criteria to identify and count patients with these procedures.</w:t>
      </w:r>
    </w:p>
    <w:p w14:paraId="4A1CD086" w14:textId="77777777" w:rsidR="005B2EEB" w:rsidRPr="00480B14" w:rsidRDefault="005B2EEB" w:rsidP="005B2EEB">
      <w:pPr>
        <w:pStyle w:val="Header"/>
        <w:tabs>
          <w:tab w:val="clear" w:pos="4320"/>
          <w:tab w:val="clear" w:pos="8640"/>
        </w:tabs>
      </w:pPr>
    </w:p>
    <w:p w14:paraId="4E787886" w14:textId="77777777" w:rsidR="005B2EEB" w:rsidRDefault="005B2EEB" w:rsidP="005B2EEB"/>
    <w:p w14:paraId="7EB49055" w14:textId="77777777" w:rsidR="005B2EEB" w:rsidDel="00117DA0" w:rsidRDefault="005B2EEB" w:rsidP="005B2EEB">
      <w:pPr>
        <w:pStyle w:val="Header"/>
        <w:pBdr>
          <w:bottom w:val="single" w:sz="12" w:space="1" w:color="auto"/>
        </w:pBdr>
        <w:tabs>
          <w:tab w:val="clear" w:pos="4320"/>
          <w:tab w:val="clear" w:pos="8640"/>
        </w:tabs>
        <w:rPr>
          <w:b/>
          <w:snapToGrid w:val="0"/>
          <w:color w:val="000000"/>
          <w:sz w:val="24"/>
        </w:rPr>
      </w:pPr>
      <w:r>
        <w:rPr>
          <w:b/>
          <w:snapToGrid w:val="0"/>
          <w:color w:val="000000"/>
          <w:sz w:val="24"/>
        </w:rPr>
        <w:br w:type="page"/>
      </w:r>
    </w:p>
    <w:p w14:paraId="7011FD0B" w14:textId="77777777" w:rsidR="005B2EEB" w:rsidRDefault="008C02BE" w:rsidP="00954B73">
      <w:pPr>
        <w:pStyle w:val="Heading2"/>
        <w:rPr>
          <w:snapToGrid w:val="0"/>
        </w:rPr>
      </w:pPr>
      <w:bookmarkStart w:id="66" w:name="_Toc447194981"/>
      <w:r>
        <w:rPr>
          <w:snapToGrid w:val="0"/>
        </w:rPr>
        <w:lastRenderedPageBreak/>
        <w:t>3B</w:t>
      </w:r>
      <w:r w:rsidR="005B2EEB">
        <w:rPr>
          <w:snapToGrid w:val="0"/>
        </w:rPr>
        <w:t>: Aortic Valve Replacement</w:t>
      </w:r>
      <w:bookmarkEnd w:id="66"/>
    </w:p>
    <w:p w14:paraId="7D258C0C" w14:textId="77777777" w:rsidR="005B2EEB" w:rsidRDefault="005B2EEB" w:rsidP="005B2EEB">
      <w:pPr>
        <w:pStyle w:val="Header"/>
        <w:tabs>
          <w:tab w:val="clear" w:pos="4320"/>
          <w:tab w:val="clear" w:pos="8640"/>
        </w:tabs>
        <w:rPr>
          <w:b/>
          <w:i/>
          <w:snapToGrid w:val="0"/>
          <w:color w:val="000000"/>
        </w:rPr>
      </w:pPr>
    </w:p>
    <w:p w14:paraId="247AAEB5" w14:textId="77777777" w:rsidR="005B2EEB" w:rsidRDefault="00265CE7" w:rsidP="005B2EEB">
      <w:pPr>
        <w:pStyle w:val="Header"/>
        <w:tabs>
          <w:tab w:val="clear" w:pos="4320"/>
          <w:tab w:val="clear" w:pos="8640"/>
        </w:tabs>
        <w:rPr>
          <w:i/>
          <w:snapToGrid w:val="0"/>
          <w:color w:val="000000"/>
        </w:rPr>
      </w:pPr>
      <w:r>
        <w:rPr>
          <w:i/>
          <w:snapToGrid w:val="0"/>
          <w:color w:val="000000"/>
        </w:rPr>
        <w:t>If you answered “yes”</w:t>
      </w:r>
      <w:r w:rsidR="005B2EEB">
        <w:rPr>
          <w:i/>
          <w:snapToGrid w:val="0"/>
          <w:color w:val="000000"/>
        </w:rPr>
        <w:t xml:space="preserve"> to question #1 </w:t>
      </w:r>
      <w:r w:rsidR="00E820BA">
        <w:rPr>
          <w:i/>
          <w:snapToGrid w:val="0"/>
          <w:color w:val="000000"/>
        </w:rPr>
        <w:t>in Section 3A</w:t>
      </w:r>
      <w:r w:rsidR="005B2EEB" w:rsidRPr="00C9360B">
        <w:rPr>
          <w:i/>
          <w:snapToGrid w:val="0"/>
          <w:color w:val="000000"/>
        </w:rPr>
        <w:t xml:space="preserve">, </w:t>
      </w:r>
      <w:r w:rsidR="005B2EEB">
        <w:rPr>
          <w:i/>
          <w:snapToGrid w:val="0"/>
          <w:color w:val="000000"/>
        </w:rPr>
        <w:t xml:space="preserve">indicating that you perform AVR, </w:t>
      </w:r>
      <w:r w:rsidR="005B2EEB" w:rsidRPr="00C9360B">
        <w:rPr>
          <w:i/>
          <w:snapToGrid w:val="0"/>
          <w:color w:val="000000"/>
        </w:rPr>
        <w:t>complete these questions pertaining to this high-risk surger</w:t>
      </w:r>
      <w:r w:rsidR="005B2EEB">
        <w:rPr>
          <w:i/>
          <w:snapToGrid w:val="0"/>
          <w:color w:val="000000"/>
        </w:rPr>
        <w:t>y.</w:t>
      </w:r>
    </w:p>
    <w:p w14:paraId="118D2375" w14:textId="77777777" w:rsidR="005B2EEB" w:rsidRDefault="005B2EEB" w:rsidP="005B2EEB">
      <w:pPr>
        <w:pStyle w:val="Header"/>
        <w:tabs>
          <w:tab w:val="clear" w:pos="4320"/>
          <w:tab w:val="clear" w:pos="8640"/>
        </w:tabs>
        <w:rPr>
          <w:b/>
          <w:snapToGrid w:val="0"/>
          <w:color w:val="000000"/>
          <w:sz w:val="24"/>
        </w:rPr>
      </w:pPr>
    </w:p>
    <w:tbl>
      <w:tblPr>
        <w:tblW w:w="9994" w:type="dxa"/>
        <w:jc w:val="center"/>
        <w:tblBorders>
          <w:top w:val="single" w:sz="24" w:space="0" w:color="auto"/>
        </w:tblBorders>
        <w:tblLayout w:type="fixed"/>
        <w:tblLook w:val="0000" w:firstRow="0" w:lastRow="0" w:firstColumn="0" w:lastColumn="0" w:noHBand="0" w:noVBand="0"/>
      </w:tblPr>
      <w:tblGrid>
        <w:gridCol w:w="7105"/>
        <w:gridCol w:w="2889"/>
      </w:tblGrid>
      <w:tr w:rsidR="005B2EEB" w14:paraId="717FB2DF" w14:textId="77777777" w:rsidTr="00CC5A3C">
        <w:trPr>
          <w:cantSplit/>
          <w:jc w:val="center"/>
        </w:trPr>
        <w:tc>
          <w:tcPr>
            <w:tcW w:w="9900" w:type="dxa"/>
            <w:gridSpan w:val="2"/>
            <w:tcBorders>
              <w:top w:val="single" w:sz="24" w:space="0" w:color="auto"/>
            </w:tcBorders>
          </w:tcPr>
          <w:p w14:paraId="6E9600D7" w14:textId="77777777" w:rsidR="005B2EEB" w:rsidRPr="0029519D" w:rsidRDefault="005B2EEB" w:rsidP="00614016">
            <w:pPr>
              <w:rPr>
                <w:b/>
              </w:rPr>
            </w:pPr>
          </w:p>
          <w:p w14:paraId="0BAB20EF" w14:textId="77777777" w:rsidR="005B2EEB" w:rsidRPr="0029519D" w:rsidRDefault="005B2EEB" w:rsidP="007A44CB">
            <w:pPr>
              <w:pStyle w:val="Heading3"/>
              <w:rPr>
                <w:snapToGrid w:val="0"/>
              </w:rPr>
            </w:pPr>
            <w:bookmarkStart w:id="67" w:name="_Toc447194982"/>
            <w:r w:rsidRPr="0029519D">
              <w:rPr>
                <w:snapToGrid w:val="0"/>
              </w:rPr>
              <w:t>Aortic Valve Replacement (AVR) – Volume</w:t>
            </w:r>
            <w:bookmarkEnd w:id="67"/>
            <w:r w:rsidRPr="0029519D">
              <w:rPr>
                <w:snapToGrid w:val="0"/>
              </w:rPr>
              <w:t xml:space="preserve"> </w:t>
            </w:r>
          </w:p>
          <w:p w14:paraId="3F1B28CC" w14:textId="77777777" w:rsidR="005B2EEB" w:rsidRPr="0029519D" w:rsidRDefault="005B2EEB" w:rsidP="00614016">
            <w:pPr>
              <w:rPr>
                <w:snapToGrid w:val="0"/>
              </w:rPr>
            </w:pPr>
          </w:p>
          <w:p w14:paraId="0FF8E7E3" w14:textId="77777777" w:rsidR="005B2EEB" w:rsidRDefault="005B2EEB" w:rsidP="00614016">
            <w:pPr>
              <w:rPr>
                <w:snapToGrid w:val="0"/>
              </w:rPr>
            </w:pPr>
            <w:r w:rsidRPr="0029519D">
              <w:rPr>
                <w:b/>
                <w:snapToGrid w:val="0"/>
              </w:rPr>
              <w:t>Specifications:</w:t>
            </w:r>
            <w:r w:rsidRPr="0029519D">
              <w:rPr>
                <w:snapToGrid w:val="0"/>
              </w:rPr>
              <w:t xml:space="preserve"> See </w:t>
            </w:r>
            <w:hyperlink w:anchor="AVRVol" w:history="1">
              <w:r w:rsidRPr="0029519D">
                <w:rPr>
                  <w:rStyle w:val="Hyperlink"/>
                  <w:b/>
                  <w:i/>
                  <w:snapToGrid w:val="0"/>
                </w:rPr>
                <w:t>AVR Volume Standard</w:t>
              </w:r>
            </w:hyperlink>
            <w:r w:rsidRPr="0029519D">
              <w:rPr>
                <w:snapToGrid w:val="0"/>
              </w:rPr>
              <w:t xml:space="preserve"> in the EBHR Reference Information </w:t>
            </w:r>
            <w:r w:rsidRPr="00B82E68">
              <w:rPr>
                <w:snapToGrid w:val="0"/>
              </w:rPr>
              <w:t>on page 4</w:t>
            </w:r>
            <w:r w:rsidR="008434B7" w:rsidRPr="00B82E68">
              <w:rPr>
                <w:snapToGrid w:val="0"/>
              </w:rPr>
              <w:t>5</w:t>
            </w:r>
            <w:r w:rsidRPr="00B82E68">
              <w:rPr>
                <w:snapToGrid w:val="0"/>
              </w:rPr>
              <w:t>.</w:t>
            </w:r>
          </w:p>
          <w:p w14:paraId="5AE4B7C5" w14:textId="77777777" w:rsidR="00930CE9" w:rsidRDefault="00930CE9" w:rsidP="00614016">
            <w:pPr>
              <w:rPr>
                <w:snapToGrid w:val="0"/>
              </w:rPr>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69"/>
            </w:tblGrid>
            <w:tr w:rsidR="00930CE9" w14:paraId="73D62D08" w14:textId="77777777" w:rsidTr="00930CE9">
              <w:trPr>
                <w:jc w:val="center"/>
              </w:trPr>
              <w:tc>
                <w:tcPr>
                  <w:tcW w:w="9669" w:type="dxa"/>
                </w:tcPr>
                <w:p w14:paraId="136AE546" w14:textId="77777777" w:rsidR="00930CE9" w:rsidRPr="0029519D" w:rsidRDefault="00930CE9" w:rsidP="0086231B">
                  <w:pPr>
                    <w:spacing w:before="120"/>
                    <w:rPr>
                      <w:snapToGrid w:val="0"/>
                    </w:rPr>
                  </w:pPr>
                  <w:r w:rsidRPr="0029519D">
                    <w:rPr>
                      <w:b/>
                      <w:snapToGrid w:val="0"/>
                    </w:rPr>
                    <w:t xml:space="preserve">Reporting Time Period: </w:t>
                  </w:r>
                  <w:r w:rsidRPr="0029519D">
                    <w:rPr>
                      <w:snapToGrid w:val="0"/>
                    </w:rPr>
                    <w:t xml:space="preserve"> </w:t>
                  </w:r>
                  <w:r w:rsidRPr="0029519D">
                    <w:rPr>
                      <w:b/>
                      <w:snapToGrid w:val="0"/>
                    </w:rPr>
                    <w:t xml:space="preserve">12 months or </w:t>
                  </w:r>
                  <w:r w:rsidRPr="0029519D">
                    <w:rPr>
                      <w:b/>
                      <w:i/>
                      <w:snapToGrid w:val="0"/>
                    </w:rPr>
                    <w:t>optionally</w:t>
                  </w:r>
                  <w:r w:rsidRPr="0029519D">
                    <w:rPr>
                      <w:b/>
                      <w:snapToGrid w:val="0"/>
                    </w:rPr>
                    <w:t xml:space="preserve"> the 24 months (annual average)</w:t>
                  </w:r>
                </w:p>
                <w:p w14:paraId="06EA66B4" w14:textId="77777777" w:rsidR="00930CE9" w:rsidRPr="0029519D" w:rsidRDefault="00930CE9" w:rsidP="00ED58C1">
                  <w:pPr>
                    <w:pStyle w:val="ListParagraph"/>
                    <w:numPr>
                      <w:ilvl w:val="0"/>
                      <w:numId w:val="79"/>
                    </w:numPr>
                    <w:rPr>
                      <w:i/>
                      <w:snapToGrid w:val="0"/>
                    </w:rPr>
                  </w:pPr>
                  <w:r w:rsidRPr="0029519D">
                    <w:rPr>
                      <w:snapToGrid w:val="0"/>
                    </w:rPr>
                    <w:t>10/01/2014 – 09/30/2015 (12 months)</w:t>
                  </w:r>
                </w:p>
                <w:p w14:paraId="6972CAAD" w14:textId="77777777" w:rsidR="00930CE9" w:rsidRPr="00930CE9" w:rsidRDefault="00930CE9" w:rsidP="0086231B">
                  <w:pPr>
                    <w:pStyle w:val="ListParagraph"/>
                    <w:numPr>
                      <w:ilvl w:val="0"/>
                      <w:numId w:val="79"/>
                    </w:numPr>
                    <w:spacing w:before="120" w:after="120"/>
                    <w:rPr>
                      <w:i/>
                      <w:snapToGrid w:val="0"/>
                    </w:rPr>
                  </w:pPr>
                  <w:r w:rsidRPr="0029519D">
                    <w:rPr>
                      <w:snapToGrid w:val="0"/>
                    </w:rPr>
                    <w:t>10/01/2013 – 09/30/2015 (24 months annual average)</w:t>
                  </w:r>
                </w:p>
              </w:tc>
            </w:tr>
          </w:tbl>
          <w:p w14:paraId="7A8A721B" w14:textId="77777777" w:rsidR="008B335C" w:rsidRPr="00930CE9" w:rsidRDefault="008B335C" w:rsidP="00930CE9">
            <w:pPr>
              <w:rPr>
                <w:snapToGrid w:val="0"/>
              </w:rPr>
            </w:pPr>
          </w:p>
          <w:p w14:paraId="2C486CB9" w14:textId="77777777" w:rsidR="008B335C" w:rsidRPr="0029519D" w:rsidRDefault="008B335C" w:rsidP="008B335C">
            <w:pPr>
              <w:pStyle w:val="ListParagraph"/>
              <w:rPr>
                <w:i/>
                <w:snapToGrid w:val="0"/>
              </w:rPr>
            </w:pPr>
          </w:p>
        </w:tc>
      </w:tr>
      <w:tr w:rsidR="005B2EEB" w14:paraId="4349CEB3"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7038" w:type="dxa"/>
            <w:vAlign w:val="center"/>
          </w:tcPr>
          <w:p w14:paraId="4AFE01A8" w14:textId="77777777" w:rsidR="005B2EEB" w:rsidRPr="0029519D" w:rsidRDefault="002A27BA" w:rsidP="00ED58C1">
            <w:pPr>
              <w:numPr>
                <w:ilvl w:val="0"/>
                <w:numId w:val="14"/>
              </w:numPr>
              <w:rPr>
                <w:snapToGrid w:val="0"/>
              </w:rPr>
            </w:pPr>
            <w:r w:rsidRPr="0029519D">
              <w:rPr>
                <w:snapToGrid w:val="0"/>
                <w:color w:val="000000"/>
              </w:rPr>
              <w:t xml:space="preserve">Reporting time period </w:t>
            </w:r>
            <w:r w:rsidR="007A4221" w:rsidRPr="0029519D">
              <w:rPr>
                <w:snapToGrid w:val="0"/>
                <w:color w:val="000000"/>
              </w:rPr>
              <w:t xml:space="preserve">used </w:t>
            </w:r>
            <w:r w:rsidR="00551AE8" w:rsidRPr="0029519D">
              <w:rPr>
                <w:snapToGrid w:val="0"/>
                <w:color w:val="000000"/>
              </w:rPr>
              <w:t>was 12- or 24-months</w:t>
            </w:r>
            <w:r w:rsidR="005B2EEB" w:rsidRPr="0029519D">
              <w:rPr>
                <w:snapToGrid w:val="0"/>
                <w:color w:val="000000"/>
              </w:rPr>
              <w:t>:</w:t>
            </w:r>
          </w:p>
        </w:tc>
        <w:tc>
          <w:tcPr>
            <w:tcW w:w="2862" w:type="dxa"/>
            <w:vAlign w:val="center"/>
          </w:tcPr>
          <w:p w14:paraId="0D92728F" w14:textId="77777777" w:rsidR="00F36DD3" w:rsidRPr="0029519D" w:rsidRDefault="00F36DD3" w:rsidP="008C02BE">
            <w:pPr>
              <w:rPr>
                <w:snapToGrid w:val="0"/>
              </w:rPr>
            </w:pPr>
          </w:p>
          <w:p w14:paraId="46419A56" w14:textId="77777777" w:rsidR="00E75BB3" w:rsidRPr="0029519D" w:rsidRDefault="00E75BB3" w:rsidP="00ED58C1">
            <w:pPr>
              <w:pStyle w:val="ListParagraph"/>
              <w:numPr>
                <w:ilvl w:val="0"/>
                <w:numId w:val="78"/>
              </w:numPr>
              <w:rPr>
                <w:i/>
                <w:snapToGrid w:val="0"/>
              </w:rPr>
            </w:pPr>
            <w:r w:rsidRPr="0029519D">
              <w:rPr>
                <w:snapToGrid w:val="0"/>
              </w:rPr>
              <w:t>10/01/2014 – 09/30/2015</w:t>
            </w:r>
          </w:p>
          <w:p w14:paraId="5DCAAC88" w14:textId="77777777" w:rsidR="005B2EEB" w:rsidRPr="0029519D" w:rsidRDefault="00E75BB3" w:rsidP="00ED58C1">
            <w:pPr>
              <w:pStyle w:val="ListParagraph"/>
              <w:numPr>
                <w:ilvl w:val="0"/>
                <w:numId w:val="78"/>
              </w:numPr>
              <w:rPr>
                <w:i/>
                <w:snapToGrid w:val="0"/>
              </w:rPr>
            </w:pPr>
            <w:r w:rsidRPr="0029519D">
              <w:rPr>
                <w:snapToGrid w:val="0"/>
              </w:rPr>
              <w:t>10/01/2013 – 09/30/2015</w:t>
            </w:r>
            <w:r w:rsidR="00F36DD3" w:rsidRPr="0029519D">
              <w:rPr>
                <w:snapToGrid w:val="0"/>
              </w:rPr>
              <w:br/>
            </w:r>
          </w:p>
        </w:tc>
      </w:tr>
      <w:tr w:rsidR="005B2EEB" w14:paraId="4244A017"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jc w:val="center"/>
        </w:trPr>
        <w:tc>
          <w:tcPr>
            <w:tcW w:w="7038" w:type="dxa"/>
            <w:vAlign w:val="center"/>
          </w:tcPr>
          <w:p w14:paraId="018B7515" w14:textId="77777777" w:rsidR="005B2EEB" w:rsidRPr="00271B13" w:rsidRDefault="005B2EEB" w:rsidP="00CC5A3C">
            <w:pPr>
              <w:numPr>
                <w:ilvl w:val="0"/>
                <w:numId w:val="14"/>
              </w:numPr>
              <w:spacing w:before="120"/>
              <w:rPr>
                <w:snapToGrid w:val="0"/>
                <w:color w:val="000000"/>
              </w:rPr>
            </w:pPr>
            <w:r w:rsidRPr="00FF4955">
              <w:rPr>
                <w:snapToGrid w:val="0"/>
                <w:color w:val="000000"/>
              </w:rPr>
              <w:t>Total number of patients (including those that expired) with an AVR procedure at this hospital location.</w:t>
            </w:r>
            <w:r w:rsidRPr="00FF4955">
              <w:rPr>
                <w:snapToGrid w:val="0"/>
                <w:color w:val="000000"/>
              </w:rPr>
              <w:br/>
            </w:r>
            <w:r w:rsidR="00796154">
              <w:rPr>
                <w:i/>
                <w:snapToGrid w:val="0"/>
                <w:color w:val="000000"/>
              </w:rPr>
              <w:br/>
            </w:r>
            <w:r w:rsidRPr="00FF4955">
              <w:rPr>
                <w:i/>
                <w:snapToGrid w:val="0"/>
                <w:color w:val="000000"/>
              </w:rPr>
              <w:t>Annual number of patients for t</w:t>
            </w:r>
            <w:r>
              <w:rPr>
                <w:i/>
                <w:snapToGrid w:val="0"/>
                <w:color w:val="000000"/>
              </w:rPr>
              <w:t xml:space="preserve">he volume Reporting Time Period </w:t>
            </w:r>
          </w:p>
          <w:p w14:paraId="5E17681D" w14:textId="77777777" w:rsidR="005B2EEB" w:rsidRPr="00FF4955" w:rsidRDefault="005B2EEB" w:rsidP="00CC5A3C">
            <w:pPr>
              <w:spacing w:after="120"/>
              <w:ind w:left="360"/>
              <w:rPr>
                <w:snapToGrid w:val="0"/>
                <w:color w:val="000000"/>
              </w:rPr>
            </w:pPr>
            <w:r>
              <w:rPr>
                <w:i/>
                <w:snapToGrid w:val="0"/>
                <w:color w:val="000000"/>
              </w:rPr>
              <w:t xml:space="preserve">(or </w:t>
            </w:r>
            <w:r w:rsidRPr="00FF4955">
              <w:rPr>
                <w:i/>
                <w:snapToGrid w:val="0"/>
                <w:color w:val="000000"/>
              </w:rPr>
              <w:t xml:space="preserve">annual average if reporting </w:t>
            </w:r>
            <w:r>
              <w:rPr>
                <w:i/>
                <w:snapToGrid w:val="0"/>
                <w:color w:val="000000"/>
              </w:rPr>
              <w:t xml:space="preserve">on </w:t>
            </w:r>
            <w:r w:rsidRPr="00FF4955">
              <w:rPr>
                <w:i/>
                <w:snapToGrid w:val="0"/>
                <w:color w:val="000000"/>
              </w:rPr>
              <w:t>24 months of data)</w:t>
            </w:r>
          </w:p>
        </w:tc>
        <w:tc>
          <w:tcPr>
            <w:tcW w:w="2862" w:type="dxa"/>
            <w:vAlign w:val="center"/>
          </w:tcPr>
          <w:p w14:paraId="4302174C" w14:textId="77777777" w:rsidR="005B2EEB" w:rsidRDefault="005B2EEB" w:rsidP="00614016">
            <w:pPr>
              <w:jc w:val="center"/>
            </w:pPr>
            <w:r>
              <w:t>_______</w:t>
            </w:r>
          </w:p>
        </w:tc>
      </w:tr>
      <w:tr w:rsidR="005B2EEB" w14:paraId="07A0D960"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jc w:val="center"/>
        </w:trPr>
        <w:tc>
          <w:tcPr>
            <w:tcW w:w="7038" w:type="dxa"/>
            <w:vAlign w:val="center"/>
          </w:tcPr>
          <w:p w14:paraId="5DBE7842" w14:textId="77777777" w:rsidR="005B2EEB" w:rsidRPr="00271B13" w:rsidRDefault="005B2EEB" w:rsidP="00CC5A3C">
            <w:pPr>
              <w:numPr>
                <w:ilvl w:val="0"/>
                <w:numId w:val="14"/>
              </w:numPr>
              <w:spacing w:before="120"/>
              <w:rPr>
                <w:snapToGrid w:val="0"/>
                <w:color w:val="000000"/>
              </w:rPr>
            </w:pPr>
            <w:r w:rsidRPr="00FF4955">
              <w:rPr>
                <w:snapToGrid w:val="0"/>
                <w:color w:val="000000"/>
              </w:rPr>
              <w:t xml:space="preserve">Total number of patients (including those that expired) with a Transcatheter Aortic Valve Replacement (TAVR) procedure at this hospital location. </w:t>
            </w:r>
            <w:r w:rsidRPr="00FF4955">
              <w:rPr>
                <w:snapToGrid w:val="0"/>
                <w:color w:val="000000"/>
              </w:rPr>
              <w:br/>
            </w:r>
            <w:r w:rsidR="00796154">
              <w:rPr>
                <w:i/>
                <w:snapToGrid w:val="0"/>
                <w:color w:val="000000"/>
              </w:rPr>
              <w:br/>
            </w:r>
            <w:r w:rsidRPr="00FF4955">
              <w:rPr>
                <w:i/>
                <w:snapToGrid w:val="0"/>
                <w:color w:val="000000"/>
              </w:rPr>
              <w:t>Annual number of patients for the vol</w:t>
            </w:r>
            <w:r>
              <w:rPr>
                <w:i/>
                <w:snapToGrid w:val="0"/>
                <w:color w:val="000000"/>
              </w:rPr>
              <w:t xml:space="preserve">ume Reporting Time Period </w:t>
            </w:r>
          </w:p>
          <w:p w14:paraId="6F185703" w14:textId="77777777" w:rsidR="005B2EEB" w:rsidRPr="00FF4955" w:rsidRDefault="005B2EEB" w:rsidP="00CC5A3C">
            <w:pPr>
              <w:spacing w:after="120"/>
              <w:ind w:left="360"/>
              <w:rPr>
                <w:snapToGrid w:val="0"/>
                <w:color w:val="000000"/>
              </w:rPr>
            </w:pPr>
            <w:r>
              <w:rPr>
                <w:i/>
                <w:snapToGrid w:val="0"/>
                <w:color w:val="000000"/>
              </w:rPr>
              <w:t>(or</w:t>
            </w:r>
            <w:r w:rsidRPr="00FF4955">
              <w:rPr>
                <w:i/>
                <w:snapToGrid w:val="0"/>
                <w:color w:val="000000"/>
              </w:rPr>
              <w:t xml:space="preserve"> annual average if reporting </w:t>
            </w:r>
            <w:r>
              <w:rPr>
                <w:i/>
                <w:snapToGrid w:val="0"/>
                <w:color w:val="000000"/>
              </w:rPr>
              <w:t xml:space="preserve">on </w:t>
            </w:r>
            <w:r w:rsidRPr="00FF4955">
              <w:rPr>
                <w:i/>
                <w:snapToGrid w:val="0"/>
                <w:color w:val="000000"/>
              </w:rPr>
              <w:t>24 months of data)</w:t>
            </w:r>
          </w:p>
        </w:tc>
        <w:tc>
          <w:tcPr>
            <w:tcW w:w="2862" w:type="dxa"/>
            <w:vAlign w:val="center"/>
          </w:tcPr>
          <w:p w14:paraId="13CF0288" w14:textId="77777777" w:rsidR="005B2EEB" w:rsidRDefault="005B2EEB" w:rsidP="00614016">
            <w:pPr>
              <w:jc w:val="center"/>
            </w:pPr>
            <w:r>
              <w:t>_______</w:t>
            </w:r>
          </w:p>
        </w:tc>
      </w:tr>
      <w:tr w:rsidR="005B2EEB" w14:paraId="1CB20B23"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jc w:val="center"/>
        </w:trPr>
        <w:tc>
          <w:tcPr>
            <w:tcW w:w="7038" w:type="dxa"/>
            <w:vAlign w:val="center"/>
          </w:tcPr>
          <w:p w14:paraId="40BFF3AB" w14:textId="5E00790A" w:rsidR="005B2EEB" w:rsidRPr="00FF4955" w:rsidRDefault="005B2EEB" w:rsidP="00CC5A3C">
            <w:pPr>
              <w:pStyle w:val="Header"/>
              <w:numPr>
                <w:ilvl w:val="0"/>
                <w:numId w:val="14"/>
              </w:numPr>
              <w:tabs>
                <w:tab w:val="clear" w:pos="4320"/>
                <w:tab w:val="clear" w:pos="8640"/>
              </w:tabs>
              <w:spacing w:before="120" w:after="120"/>
              <w:rPr>
                <w:snapToGrid w:val="0"/>
              </w:rPr>
            </w:pPr>
            <w:r w:rsidRPr="00FF4955">
              <w:rPr>
                <w:snapToGrid w:val="0"/>
              </w:rPr>
              <w:t xml:space="preserve">How many patients included in question </w:t>
            </w:r>
            <w:r>
              <w:rPr>
                <w:snapToGrid w:val="0"/>
              </w:rPr>
              <w:t>#2</w:t>
            </w:r>
            <w:r w:rsidRPr="00FF4955">
              <w:rPr>
                <w:snapToGrid w:val="0"/>
              </w:rPr>
              <w:t xml:space="preserve"> and question </w:t>
            </w:r>
            <w:r>
              <w:rPr>
                <w:snapToGrid w:val="0"/>
              </w:rPr>
              <w:t>#3</w:t>
            </w:r>
            <w:r w:rsidRPr="00FF4955">
              <w:rPr>
                <w:snapToGrid w:val="0"/>
              </w:rPr>
              <w:t xml:space="preserve"> died in the hospital following this procedure? (</w:t>
            </w:r>
            <w:hyperlink w:anchor="Endnote15" w:history="1">
              <w:r w:rsidRPr="00FF4955">
                <w:rPr>
                  <w:rStyle w:val="Hyperlink"/>
                  <w:snapToGrid w:val="0"/>
                </w:rPr>
                <w:t>More information</w:t>
              </w:r>
            </w:hyperlink>
            <w:r w:rsidRPr="00F57830">
              <w:rPr>
                <w:rStyle w:val="EndnoteReference"/>
                <w:snapToGrid w:val="0"/>
              </w:rPr>
              <w:endnoteReference w:id="16"/>
            </w:r>
            <w:r w:rsidRPr="00F57830">
              <w:rPr>
                <w:snapToGrid w:val="0"/>
              </w:rPr>
              <w:t>)</w:t>
            </w:r>
            <w:r w:rsidRPr="00FF4955">
              <w:rPr>
                <w:snapToGrid w:val="0"/>
              </w:rPr>
              <w:br/>
            </w:r>
            <w:r w:rsidR="00796154">
              <w:rPr>
                <w:i/>
                <w:snapToGrid w:val="0"/>
                <w:color w:val="000000"/>
              </w:rPr>
              <w:br/>
            </w:r>
            <w:r w:rsidR="00496D10">
              <w:rPr>
                <w:i/>
                <w:snapToGrid w:val="0"/>
                <w:color w:val="000000"/>
              </w:rPr>
              <w:t>(A</w:t>
            </w:r>
            <w:r w:rsidRPr="00FF4955">
              <w:rPr>
                <w:i/>
                <w:snapToGrid w:val="0"/>
                <w:color w:val="000000"/>
              </w:rPr>
              <w:t>nnual average if</w:t>
            </w:r>
            <w:r>
              <w:rPr>
                <w:i/>
                <w:snapToGrid w:val="0"/>
                <w:color w:val="000000"/>
              </w:rPr>
              <w:t xml:space="preserve"> reporting</w:t>
            </w:r>
            <w:r w:rsidRPr="00FF4955">
              <w:rPr>
                <w:i/>
                <w:snapToGrid w:val="0"/>
                <w:color w:val="000000"/>
              </w:rPr>
              <w:t xml:space="preserve"> </w:t>
            </w:r>
            <w:r>
              <w:rPr>
                <w:i/>
                <w:snapToGrid w:val="0"/>
                <w:color w:val="000000"/>
              </w:rPr>
              <w:t xml:space="preserve">on </w:t>
            </w:r>
            <w:r w:rsidRPr="00FF4955">
              <w:rPr>
                <w:i/>
                <w:snapToGrid w:val="0"/>
                <w:color w:val="000000"/>
              </w:rPr>
              <w:t>24 months of data</w:t>
            </w:r>
            <w:r w:rsidR="00900B08">
              <w:rPr>
                <w:i/>
                <w:snapToGrid w:val="0"/>
                <w:color w:val="000000"/>
              </w:rPr>
              <w:t>)</w:t>
            </w:r>
          </w:p>
        </w:tc>
        <w:tc>
          <w:tcPr>
            <w:tcW w:w="2862" w:type="dxa"/>
          </w:tcPr>
          <w:p w14:paraId="1EF3BF04" w14:textId="77777777" w:rsidR="005B2EEB" w:rsidRDefault="005B2EEB" w:rsidP="00614016">
            <w:pPr>
              <w:jc w:val="right"/>
            </w:pPr>
          </w:p>
          <w:p w14:paraId="07F3B268" w14:textId="77777777" w:rsidR="005B2EEB" w:rsidRDefault="005B2EEB" w:rsidP="00614016">
            <w:pPr>
              <w:jc w:val="center"/>
            </w:pPr>
            <w:r>
              <w:t>_______</w:t>
            </w:r>
          </w:p>
          <w:p w14:paraId="2B0FEADE" w14:textId="77777777" w:rsidR="005B2EEB" w:rsidRDefault="005B2EEB" w:rsidP="00614016"/>
        </w:tc>
      </w:tr>
    </w:tbl>
    <w:p w14:paraId="7561F1F0" w14:textId="77777777" w:rsidR="005B2EEB" w:rsidRDefault="005B2EEB" w:rsidP="005B2EEB"/>
    <w:p w14:paraId="498B752E" w14:textId="77777777" w:rsidR="005B2EEB" w:rsidRDefault="005B2EEB" w:rsidP="005B2EEB"/>
    <w:p w14:paraId="16AE2F09" w14:textId="77777777" w:rsidR="00CC5A3C" w:rsidRDefault="00CC5A3C">
      <w:r>
        <w:br w:type="page"/>
      </w:r>
    </w:p>
    <w:tbl>
      <w:tblPr>
        <w:tblW w:w="9994"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7650"/>
        <w:gridCol w:w="2344"/>
      </w:tblGrid>
      <w:tr w:rsidR="005B2EEB" w14:paraId="0507E667" w14:textId="77777777" w:rsidTr="00CC5A3C">
        <w:trPr>
          <w:cantSplit/>
          <w:jc w:val="center"/>
        </w:trPr>
        <w:tc>
          <w:tcPr>
            <w:tcW w:w="9994" w:type="dxa"/>
            <w:gridSpan w:val="2"/>
            <w:tcBorders>
              <w:top w:val="single" w:sz="24" w:space="0" w:color="auto"/>
            </w:tcBorders>
          </w:tcPr>
          <w:p w14:paraId="061B3C42" w14:textId="0904C2B4" w:rsidR="005B2EEB" w:rsidRDefault="005B2EEB" w:rsidP="00614016">
            <w:pPr>
              <w:pStyle w:val="Header"/>
              <w:tabs>
                <w:tab w:val="clear" w:pos="4320"/>
                <w:tab w:val="clear" w:pos="8640"/>
              </w:tabs>
              <w:rPr>
                <w:b/>
                <w:snapToGrid w:val="0"/>
                <w:color w:val="000000"/>
              </w:rPr>
            </w:pPr>
          </w:p>
          <w:p w14:paraId="5DE35B95" w14:textId="061CFE6B" w:rsidR="005B2EEB" w:rsidRDefault="005B2EEB" w:rsidP="007A44CB">
            <w:pPr>
              <w:pStyle w:val="Heading3"/>
              <w:rPr>
                <w:snapToGrid w:val="0"/>
              </w:rPr>
            </w:pPr>
            <w:bookmarkStart w:id="69" w:name="_Toc447194983"/>
            <w:r>
              <w:rPr>
                <w:snapToGrid w:val="0"/>
              </w:rPr>
              <w:t xml:space="preserve">Aortic Valve Replacement </w:t>
            </w:r>
            <w:r w:rsidR="00CC5A3C">
              <w:rPr>
                <w:snapToGrid w:val="0"/>
              </w:rPr>
              <w:t xml:space="preserve">(AVR) </w:t>
            </w:r>
            <w:r>
              <w:rPr>
                <w:snapToGrid w:val="0"/>
              </w:rPr>
              <w:t>– National Performance Measurement</w:t>
            </w:r>
            <w:bookmarkEnd w:id="69"/>
          </w:p>
          <w:p w14:paraId="763D5864" w14:textId="77777777" w:rsidR="005B2EEB" w:rsidRDefault="005B2EEB" w:rsidP="00614016">
            <w:pPr>
              <w:pStyle w:val="Header"/>
              <w:tabs>
                <w:tab w:val="clear" w:pos="4320"/>
                <w:tab w:val="clear" w:pos="8640"/>
              </w:tabs>
              <w:rPr>
                <w:b/>
                <w:snapToGrid w:val="0"/>
              </w:rPr>
            </w:pPr>
          </w:p>
          <w:p w14:paraId="2A74D86F" w14:textId="77777777" w:rsidR="005B2EEB" w:rsidRDefault="005B2EEB" w:rsidP="00614016">
            <w:pPr>
              <w:pStyle w:val="Header"/>
              <w:tabs>
                <w:tab w:val="clear" w:pos="4320"/>
                <w:tab w:val="clear" w:pos="8640"/>
              </w:tabs>
            </w:pPr>
            <w:r>
              <w:t>Indicate your hospital’s participation in and results from the following national performance measurement system.</w:t>
            </w:r>
          </w:p>
          <w:p w14:paraId="5F9FE793" w14:textId="77777777" w:rsidR="00930CE9" w:rsidRDefault="00930CE9" w:rsidP="00614016">
            <w:pPr>
              <w:pStyle w:val="Header"/>
              <w:tabs>
                <w:tab w:val="clear" w:pos="4320"/>
                <w:tab w:val="clear" w:pos="8640"/>
              </w:tabs>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237"/>
            </w:tblGrid>
            <w:tr w:rsidR="00930CE9" w14:paraId="37972E5B" w14:textId="77777777" w:rsidTr="00930CE9">
              <w:trPr>
                <w:jc w:val="center"/>
              </w:trPr>
              <w:tc>
                <w:tcPr>
                  <w:tcW w:w="9237" w:type="dxa"/>
                </w:tcPr>
                <w:p w14:paraId="20CEC639" w14:textId="1CA379AE" w:rsidR="00930CE9" w:rsidRDefault="00930CE9" w:rsidP="00CC5A3C">
                  <w:pPr>
                    <w:spacing w:before="120" w:after="120"/>
                  </w:pPr>
                  <w:r>
                    <w:rPr>
                      <w:b/>
                    </w:rPr>
                    <w:t>Reporting Time Period:</w:t>
                  </w:r>
                  <w:r>
                    <w:t xml:space="preserve"> Base your responses on the latest 12-month report received from the Society of Thoracic Surgeons (STS).</w:t>
                  </w:r>
                </w:p>
              </w:tc>
            </w:tr>
          </w:tbl>
          <w:p w14:paraId="3DDA34FF" w14:textId="77777777" w:rsidR="005B2EEB" w:rsidRDefault="005B2EEB" w:rsidP="00614016">
            <w:pPr>
              <w:pStyle w:val="Header"/>
              <w:tabs>
                <w:tab w:val="clear" w:pos="4320"/>
                <w:tab w:val="clear" w:pos="8640"/>
              </w:tabs>
              <w:rPr>
                <w:b/>
              </w:rPr>
            </w:pPr>
          </w:p>
          <w:p w14:paraId="772FEF9A" w14:textId="77777777" w:rsidR="005B2EEB" w:rsidRDefault="005B2EEB" w:rsidP="00930CE9"/>
        </w:tc>
      </w:tr>
      <w:tr w:rsidR="005B2EEB" w14:paraId="47E32C7E" w14:textId="77777777" w:rsidTr="00CC5A3C">
        <w:tblPrEx>
          <w:tblBorders>
            <w:top w:val="single" w:sz="4" w:space="0" w:color="auto"/>
            <w:left w:val="single" w:sz="4" w:space="0" w:color="auto"/>
            <w:bottom w:val="single" w:sz="4" w:space="0" w:color="auto"/>
            <w:right w:val="single" w:sz="4" w:space="0" w:color="auto"/>
          </w:tblBorders>
        </w:tblPrEx>
        <w:trPr>
          <w:jc w:val="center"/>
        </w:trPr>
        <w:tc>
          <w:tcPr>
            <w:tcW w:w="7650" w:type="dxa"/>
          </w:tcPr>
          <w:p w14:paraId="1B1EAFD9" w14:textId="77777777" w:rsidR="005B2EEB" w:rsidRDefault="005B2EEB" w:rsidP="00CC5A3C">
            <w:pPr>
              <w:numPr>
                <w:ilvl w:val="0"/>
                <w:numId w:val="14"/>
              </w:numPr>
              <w:spacing w:before="120" w:after="120"/>
              <w:rPr>
                <w:snapToGrid w:val="0"/>
                <w:color w:val="000000"/>
              </w:rPr>
            </w:pPr>
            <w:r>
              <w:rPr>
                <w:snapToGrid w:val="0"/>
                <w:color w:val="000000"/>
              </w:rPr>
              <w:t xml:space="preserve">Has your </w:t>
            </w:r>
            <w:r>
              <w:rPr>
                <w:snapToGrid w:val="0"/>
              </w:rPr>
              <w:t>hospital participated in the Society of Thoracic Surgeons (STS) performance reporting system</w:t>
            </w:r>
            <w:r>
              <w:rPr>
                <w:snapToGrid w:val="0"/>
                <w:color w:val="000000"/>
              </w:rPr>
              <w:t xml:space="preserve"> for aort</w:t>
            </w:r>
            <w:r w:rsidR="004042B6">
              <w:rPr>
                <w:snapToGrid w:val="0"/>
                <w:color w:val="000000"/>
              </w:rPr>
              <w:t xml:space="preserve">ic valve replacement surgery and </w:t>
            </w:r>
            <w:r w:rsidRPr="0029519D">
              <w:rPr>
                <w:snapToGrid w:val="0"/>
                <w:color w:val="000000"/>
              </w:rPr>
              <w:t xml:space="preserve">submitted data for </w:t>
            </w:r>
            <w:r w:rsidRPr="0029519D">
              <w:rPr>
                <w:snapToGrid w:val="0"/>
                <w:color w:val="000000"/>
                <w:u w:val="single"/>
              </w:rPr>
              <w:t>all</w:t>
            </w:r>
            <w:r w:rsidRPr="0029519D">
              <w:rPr>
                <w:snapToGrid w:val="0"/>
                <w:color w:val="000000"/>
              </w:rPr>
              <w:t xml:space="preserve"> such procedures in the most recent 12-month period for which performance reports have been released</w:t>
            </w:r>
            <w:r w:rsidR="00BA6696" w:rsidRPr="0029519D">
              <w:rPr>
                <w:snapToGrid w:val="0"/>
                <w:color w:val="000000"/>
              </w:rPr>
              <w:t>, and would</w:t>
            </w:r>
            <w:r w:rsidR="004042B6" w:rsidRPr="0029519D">
              <w:rPr>
                <w:snapToGrid w:val="0"/>
                <w:color w:val="000000"/>
              </w:rPr>
              <w:t xml:space="preserve"> you</w:t>
            </w:r>
            <w:r w:rsidR="00BA6696" w:rsidRPr="0029519D">
              <w:rPr>
                <w:snapToGrid w:val="0"/>
                <w:color w:val="000000"/>
              </w:rPr>
              <w:t xml:space="preserve"> like to share those results</w:t>
            </w:r>
            <w:r w:rsidRPr="0029519D">
              <w:rPr>
                <w:snapToGrid w:val="0"/>
                <w:color w:val="000000"/>
              </w:rPr>
              <w:t xml:space="preserve">? </w:t>
            </w:r>
            <w:hyperlink w:anchor="Endnote16" w:history="1">
              <w:r w:rsidRPr="001F1E71">
                <w:rPr>
                  <w:rStyle w:val="Hyperlink"/>
                  <w:snapToGrid w:val="0"/>
                </w:rPr>
                <w:t>More Information</w:t>
              </w:r>
            </w:hyperlink>
            <w:r w:rsidRPr="0029519D">
              <w:rPr>
                <w:rStyle w:val="EndnoteReference"/>
                <w:snapToGrid w:val="0"/>
              </w:rPr>
              <w:endnoteReference w:id="17"/>
            </w:r>
            <w:r w:rsidRPr="0029519D">
              <w:rPr>
                <w:snapToGrid w:val="0"/>
                <w:color w:val="0000FF"/>
                <w:u w:val="single"/>
              </w:rPr>
              <w:br/>
            </w:r>
            <w:r w:rsidR="00796154" w:rsidRPr="0029519D">
              <w:rPr>
                <w:i/>
                <w:snapToGrid w:val="0"/>
                <w:color w:val="000000"/>
              </w:rPr>
              <w:br/>
            </w:r>
            <w:r w:rsidR="00265CE7" w:rsidRPr="0029519D">
              <w:rPr>
                <w:i/>
                <w:snapToGrid w:val="0"/>
                <w:color w:val="000000"/>
              </w:rPr>
              <w:t>If “yes,”</w:t>
            </w:r>
            <w:r w:rsidRPr="0029519D">
              <w:rPr>
                <w:i/>
                <w:snapToGrid w:val="0"/>
                <w:color w:val="000000"/>
              </w:rPr>
              <w:t xml:space="preserve"> continue with </w:t>
            </w:r>
            <w:r w:rsidR="00BA6696" w:rsidRPr="0029519D">
              <w:rPr>
                <w:i/>
                <w:snapToGrid w:val="0"/>
                <w:color w:val="000000"/>
              </w:rPr>
              <w:t xml:space="preserve">questions #6-8. </w:t>
            </w:r>
            <w:r w:rsidRPr="0029519D">
              <w:rPr>
                <w:i/>
                <w:snapToGrid w:val="0"/>
                <w:color w:val="000000"/>
              </w:rPr>
              <w:t>Otherwise, skip questions</w:t>
            </w:r>
            <w:r>
              <w:rPr>
                <w:i/>
                <w:snapToGrid w:val="0"/>
                <w:color w:val="000000"/>
              </w:rPr>
              <w:t xml:space="preserve"> #6-8.</w:t>
            </w:r>
          </w:p>
        </w:tc>
        <w:tc>
          <w:tcPr>
            <w:tcW w:w="2344" w:type="dxa"/>
            <w:vAlign w:val="center"/>
          </w:tcPr>
          <w:p w14:paraId="034CD4AE" w14:textId="77777777" w:rsidR="005B2EEB" w:rsidRDefault="005B2EEB" w:rsidP="00614016">
            <w:pPr>
              <w:jc w:val="center"/>
              <w:rPr>
                <w:i/>
                <w:snapToGrid w:val="0"/>
              </w:rPr>
            </w:pPr>
            <w:r>
              <w:rPr>
                <w:i/>
                <w:snapToGrid w:val="0"/>
              </w:rPr>
              <w:t>Yes</w:t>
            </w:r>
          </w:p>
          <w:p w14:paraId="3587B735" w14:textId="77777777" w:rsidR="005B2EEB" w:rsidRDefault="005B2EEB" w:rsidP="00614016">
            <w:pPr>
              <w:jc w:val="center"/>
              <w:rPr>
                <w:i/>
                <w:snapToGrid w:val="0"/>
              </w:rPr>
            </w:pPr>
            <w:r>
              <w:rPr>
                <w:i/>
                <w:snapToGrid w:val="0"/>
              </w:rPr>
              <w:t>No</w:t>
            </w:r>
          </w:p>
          <w:p w14:paraId="328C353D" w14:textId="77777777" w:rsidR="005B2EEB" w:rsidRDefault="005B2EEB" w:rsidP="00BA6696">
            <w:pPr>
              <w:rPr>
                <w:i/>
                <w:snapToGrid w:val="0"/>
              </w:rPr>
            </w:pPr>
          </w:p>
        </w:tc>
      </w:tr>
      <w:tr w:rsidR="005B2EEB" w14:paraId="54C76980"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vAlign w:val="center"/>
          </w:tcPr>
          <w:p w14:paraId="712EB49D" w14:textId="77777777" w:rsidR="005B2EEB" w:rsidRPr="00FF4955" w:rsidRDefault="005B2EEB" w:rsidP="00ED58C1">
            <w:pPr>
              <w:pStyle w:val="Header"/>
              <w:numPr>
                <w:ilvl w:val="0"/>
                <w:numId w:val="14"/>
              </w:numPr>
              <w:tabs>
                <w:tab w:val="clear" w:pos="4320"/>
                <w:tab w:val="clear" w:pos="8640"/>
              </w:tabs>
              <w:rPr>
                <w:snapToGrid w:val="0"/>
              </w:rPr>
            </w:pPr>
            <w:r w:rsidRPr="00FF4955">
              <w:rPr>
                <w:snapToGrid w:val="0"/>
              </w:rPr>
              <w:t>What is t</w:t>
            </w:r>
            <w:r w:rsidRPr="00FF4955">
              <w:rPr>
                <w:snapToGrid w:val="0"/>
                <w:color w:val="000000"/>
              </w:rPr>
              <w:t xml:space="preserve">he most recent 12-month </w:t>
            </w:r>
            <w:r w:rsidRPr="00FF4955">
              <w:rPr>
                <w:snapToGrid w:val="0"/>
              </w:rPr>
              <w:t>reporting period for which STS performance results are available? 12 months ending:</w:t>
            </w:r>
          </w:p>
        </w:tc>
        <w:tc>
          <w:tcPr>
            <w:tcW w:w="2344" w:type="dxa"/>
          </w:tcPr>
          <w:p w14:paraId="27D3D8E2" w14:textId="77777777" w:rsidR="005B2EEB" w:rsidRDefault="005B2EEB" w:rsidP="00614016">
            <w:pPr>
              <w:jc w:val="center"/>
            </w:pPr>
          </w:p>
          <w:p w14:paraId="053414AC" w14:textId="77777777" w:rsidR="005B2EEB" w:rsidRDefault="005B2EEB" w:rsidP="00614016">
            <w:pPr>
              <w:jc w:val="center"/>
            </w:pPr>
            <w:r>
              <w:t>__________</w:t>
            </w:r>
          </w:p>
          <w:p w14:paraId="3A09B14C" w14:textId="77777777" w:rsidR="005B2EEB" w:rsidRDefault="00E75BB3" w:rsidP="00E75BB3">
            <w:pPr>
              <w:jc w:val="center"/>
              <w:rPr>
                <w:i/>
                <w:sz w:val="16"/>
                <w:szCs w:val="16"/>
              </w:rPr>
            </w:pPr>
            <w:r w:rsidRPr="00E75BB3">
              <w:rPr>
                <w:i/>
                <w:sz w:val="16"/>
                <w:szCs w:val="16"/>
              </w:rPr>
              <w:t>Format: MM/YYYY</w:t>
            </w:r>
          </w:p>
          <w:p w14:paraId="20E38DE6" w14:textId="77777777" w:rsidR="00D32FAE" w:rsidRPr="00E75BB3" w:rsidRDefault="00D32FAE" w:rsidP="00E75BB3">
            <w:pPr>
              <w:jc w:val="center"/>
              <w:rPr>
                <w:b/>
                <w:sz w:val="16"/>
                <w:szCs w:val="16"/>
              </w:rPr>
            </w:pPr>
          </w:p>
        </w:tc>
      </w:tr>
      <w:tr w:rsidR="005B2EEB" w:rsidRPr="0029519D" w14:paraId="73BA50CB"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tcPr>
          <w:p w14:paraId="01272F24" w14:textId="6F291D16" w:rsidR="005B2EEB" w:rsidRPr="0029519D" w:rsidRDefault="005B2EEB" w:rsidP="00CC5A3C">
            <w:pPr>
              <w:pStyle w:val="Header"/>
              <w:numPr>
                <w:ilvl w:val="0"/>
                <w:numId w:val="14"/>
              </w:numPr>
              <w:tabs>
                <w:tab w:val="clear" w:pos="4320"/>
                <w:tab w:val="clear" w:pos="8640"/>
              </w:tabs>
              <w:spacing w:before="120" w:after="120"/>
              <w:rPr>
                <w:snapToGrid w:val="0"/>
              </w:rPr>
            </w:pPr>
            <w:r w:rsidRPr="0029519D">
              <w:rPr>
                <w:snapToGrid w:val="0"/>
                <w:color w:val="000000"/>
              </w:rPr>
              <w:t xml:space="preserve">From the report for that time period, what was the </w:t>
            </w:r>
            <w:hyperlink w:anchor="Endnote17" w:history="1">
              <w:r w:rsidRPr="001F1E71">
                <w:rPr>
                  <w:rStyle w:val="Hyperlink"/>
                </w:rPr>
                <w:t>Operative Mortality, Risk-adjusted rate</w:t>
              </w:r>
            </w:hyperlink>
            <w:r w:rsidRPr="0029519D">
              <w:rPr>
                <w:rStyle w:val="EndnoteReference"/>
                <w:snapToGrid w:val="0"/>
                <w:color w:val="000000"/>
              </w:rPr>
              <w:endnoteReference w:id="18"/>
            </w:r>
            <w:r w:rsidRPr="0029519D">
              <w:rPr>
                <w:snapToGrid w:val="0"/>
                <w:color w:val="000000"/>
              </w:rPr>
              <w:t xml:space="preserve"> reported for your hospital (observed rate) as a percentage for aortic valve replacement surgery?</w:t>
            </w:r>
          </w:p>
        </w:tc>
        <w:tc>
          <w:tcPr>
            <w:tcW w:w="2344" w:type="dxa"/>
          </w:tcPr>
          <w:p w14:paraId="5748312C" w14:textId="77777777" w:rsidR="005B2EEB" w:rsidRPr="0029519D" w:rsidRDefault="005B2EEB" w:rsidP="00614016">
            <w:pPr>
              <w:jc w:val="center"/>
              <w:rPr>
                <w:i/>
                <w:snapToGrid w:val="0"/>
              </w:rPr>
            </w:pPr>
          </w:p>
          <w:p w14:paraId="07934E90" w14:textId="77777777" w:rsidR="005B2EEB" w:rsidRPr="0029519D" w:rsidRDefault="005B2EEB" w:rsidP="00614016">
            <w:pPr>
              <w:jc w:val="center"/>
              <w:rPr>
                <w:i/>
                <w:snapToGrid w:val="0"/>
              </w:rPr>
            </w:pPr>
            <w:r w:rsidRPr="0029519D">
              <w:rPr>
                <w:i/>
                <w:snapToGrid w:val="0"/>
              </w:rPr>
              <w:t xml:space="preserve">   _______%</w:t>
            </w:r>
          </w:p>
          <w:p w14:paraId="3939A6A1" w14:textId="16B49CBC" w:rsidR="005B2EEB" w:rsidRPr="0029519D" w:rsidRDefault="004042B6" w:rsidP="00614016">
            <w:pPr>
              <w:jc w:val="center"/>
              <w:rPr>
                <w:i/>
                <w:snapToGrid w:val="0"/>
              </w:rPr>
            </w:pPr>
            <w:r w:rsidRPr="0029519D">
              <w:rPr>
                <w:i/>
                <w:snapToGrid w:val="0"/>
                <w:sz w:val="16"/>
              </w:rPr>
              <w:t>Format:</w:t>
            </w:r>
            <w:r w:rsidR="005B2EEB" w:rsidRPr="0029519D">
              <w:rPr>
                <w:i/>
                <w:snapToGrid w:val="0"/>
                <w:sz w:val="16"/>
              </w:rPr>
              <w:t xml:space="preserve"> 3.1</w:t>
            </w:r>
            <w:r w:rsidR="005B2EEB" w:rsidRPr="0029519D">
              <w:rPr>
                <w:i/>
                <w:snapToGrid w:val="0"/>
              </w:rPr>
              <w:br/>
            </w:r>
          </w:p>
        </w:tc>
      </w:tr>
      <w:tr w:rsidR="005B2EEB" w:rsidRPr="0029519D" w14:paraId="43768A67"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tcPr>
          <w:p w14:paraId="4DBA6193" w14:textId="174DD19A" w:rsidR="005B2EEB" w:rsidRPr="0029519D" w:rsidRDefault="005B2EEB" w:rsidP="00CC5A3C">
            <w:pPr>
              <w:pStyle w:val="Header"/>
              <w:numPr>
                <w:ilvl w:val="0"/>
                <w:numId w:val="14"/>
              </w:numPr>
              <w:tabs>
                <w:tab w:val="clear" w:pos="4320"/>
                <w:tab w:val="clear" w:pos="8640"/>
              </w:tabs>
              <w:spacing w:before="120" w:after="120"/>
              <w:rPr>
                <w:snapToGrid w:val="0"/>
                <w:color w:val="000000"/>
              </w:rPr>
            </w:pPr>
            <w:r w:rsidRPr="0029519D">
              <w:rPr>
                <w:snapToGrid w:val="0"/>
                <w:color w:val="000000"/>
              </w:rPr>
              <w:t xml:space="preserve">From the same report, what was the </w:t>
            </w:r>
            <w:hyperlink w:anchor="Endnote18" w:history="1">
              <w:r w:rsidRPr="001F1E71">
                <w:rPr>
                  <w:rStyle w:val="Hyperlink"/>
                </w:rPr>
                <w:t>Operative Mortality, Risk-adjusted rate</w:t>
              </w:r>
            </w:hyperlink>
            <w:r w:rsidRPr="0029519D">
              <w:rPr>
                <w:rStyle w:val="EndnoteReference"/>
                <w:snapToGrid w:val="0"/>
                <w:color w:val="000000"/>
              </w:rPr>
              <w:endnoteReference w:id="19"/>
            </w:r>
            <w:r w:rsidRPr="0029519D">
              <w:rPr>
                <w:snapToGrid w:val="0"/>
                <w:color w:val="0000FF"/>
              </w:rPr>
              <w:t xml:space="preserve"> </w:t>
            </w:r>
            <w:r w:rsidRPr="0029519D">
              <w:rPr>
                <w:snapToGrid w:val="0"/>
              </w:rPr>
              <w:t xml:space="preserve">reported for the All STS cohort </w:t>
            </w:r>
            <w:r w:rsidRPr="0029519D">
              <w:rPr>
                <w:snapToGrid w:val="0"/>
                <w:color w:val="000000"/>
              </w:rPr>
              <w:t xml:space="preserve">(expected rate) as a percentage for aortic valve replacement surgery?  </w:t>
            </w:r>
          </w:p>
        </w:tc>
        <w:tc>
          <w:tcPr>
            <w:tcW w:w="2344" w:type="dxa"/>
          </w:tcPr>
          <w:p w14:paraId="023E188D" w14:textId="77777777" w:rsidR="005B2EEB" w:rsidRPr="0029519D" w:rsidRDefault="005B2EEB" w:rsidP="00614016">
            <w:pPr>
              <w:jc w:val="center"/>
              <w:rPr>
                <w:i/>
                <w:snapToGrid w:val="0"/>
              </w:rPr>
            </w:pPr>
          </w:p>
          <w:p w14:paraId="23408C07" w14:textId="77777777" w:rsidR="005B2EEB" w:rsidRPr="0029519D" w:rsidRDefault="005B2EEB" w:rsidP="00614016">
            <w:pPr>
              <w:jc w:val="center"/>
              <w:rPr>
                <w:i/>
                <w:snapToGrid w:val="0"/>
              </w:rPr>
            </w:pPr>
            <w:r w:rsidRPr="0029519D">
              <w:rPr>
                <w:i/>
                <w:snapToGrid w:val="0"/>
              </w:rPr>
              <w:t xml:space="preserve">   _______%</w:t>
            </w:r>
          </w:p>
          <w:p w14:paraId="7E48A1DD" w14:textId="2D8BD6F3" w:rsidR="005B2EEB" w:rsidRPr="0029519D" w:rsidRDefault="004042B6" w:rsidP="00614016">
            <w:pPr>
              <w:jc w:val="center"/>
              <w:rPr>
                <w:i/>
                <w:snapToGrid w:val="0"/>
              </w:rPr>
            </w:pPr>
            <w:r w:rsidRPr="0029519D">
              <w:rPr>
                <w:i/>
                <w:snapToGrid w:val="0"/>
                <w:sz w:val="16"/>
              </w:rPr>
              <w:t>Format:</w:t>
            </w:r>
            <w:r w:rsidR="005B2EEB" w:rsidRPr="0029519D">
              <w:rPr>
                <w:i/>
                <w:snapToGrid w:val="0"/>
                <w:sz w:val="16"/>
              </w:rPr>
              <w:t xml:space="preserve"> 4.2</w:t>
            </w:r>
            <w:r w:rsidR="005B2EEB" w:rsidRPr="0029519D">
              <w:rPr>
                <w:i/>
                <w:snapToGrid w:val="0"/>
              </w:rPr>
              <w:br/>
            </w:r>
          </w:p>
        </w:tc>
      </w:tr>
    </w:tbl>
    <w:p w14:paraId="35A879A5" w14:textId="77777777" w:rsidR="005B2EEB" w:rsidRPr="0029519D" w:rsidRDefault="005B2EEB" w:rsidP="005B2EEB"/>
    <w:p w14:paraId="1B4F7BD2" w14:textId="77777777" w:rsidR="005B2EEB" w:rsidRPr="0029519D" w:rsidRDefault="005B2EEB" w:rsidP="005B2EEB"/>
    <w:p w14:paraId="782F3099" w14:textId="77777777" w:rsidR="0086231B" w:rsidRDefault="0086231B">
      <w:r>
        <w:br w:type="page"/>
      </w:r>
    </w:p>
    <w:tbl>
      <w:tblPr>
        <w:tblW w:w="9468" w:type="dxa"/>
        <w:tblBorders>
          <w:top w:val="single" w:sz="24" w:space="0" w:color="auto"/>
        </w:tblBorders>
        <w:tblLayout w:type="fixed"/>
        <w:tblLook w:val="0000" w:firstRow="0" w:lastRow="0" w:firstColumn="0" w:lastColumn="0" w:noHBand="0" w:noVBand="0"/>
      </w:tblPr>
      <w:tblGrid>
        <w:gridCol w:w="7038"/>
        <w:gridCol w:w="2430"/>
      </w:tblGrid>
      <w:tr w:rsidR="005B2EEB" w14:paraId="593FEFDF" w14:textId="77777777" w:rsidTr="0086231B">
        <w:trPr>
          <w:cantSplit/>
        </w:trPr>
        <w:tc>
          <w:tcPr>
            <w:tcW w:w="9468" w:type="dxa"/>
            <w:gridSpan w:val="2"/>
            <w:tcBorders>
              <w:top w:val="single" w:sz="24" w:space="0" w:color="auto"/>
            </w:tcBorders>
          </w:tcPr>
          <w:p w14:paraId="534DE8B3" w14:textId="003E7C32" w:rsidR="005B2EEB" w:rsidRPr="0029519D" w:rsidRDefault="005B2EEB" w:rsidP="00614016">
            <w:pPr>
              <w:rPr>
                <w:b/>
              </w:rPr>
            </w:pPr>
          </w:p>
          <w:p w14:paraId="6EE50AD1" w14:textId="21590532" w:rsidR="005B2EEB" w:rsidRPr="0029519D" w:rsidRDefault="00CC5A3C" w:rsidP="007A44CB">
            <w:pPr>
              <w:pStyle w:val="Heading3"/>
              <w:rPr>
                <w:snapToGrid w:val="0"/>
              </w:rPr>
            </w:pPr>
            <w:bookmarkStart w:id="73" w:name="_Toc447194984"/>
            <w:r>
              <w:rPr>
                <w:snapToGrid w:val="0"/>
              </w:rPr>
              <w:t>Aortic Valve Replacement</w:t>
            </w:r>
            <w:r w:rsidR="005B2EEB" w:rsidRPr="0029519D">
              <w:rPr>
                <w:snapToGrid w:val="0"/>
              </w:rPr>
              <w:t xml:space="preserve"> </w:t>
            </w:r>
            <w:r>
              <w:rPr>
                <w:snapToGrid w:val="0"/>
              </w:rPr>
              <w:t xml:space="preserve">(AVR) </w:t>
            </w:r>
            <w:r w:rsidR="005B2EEB" w:rsidRPr="0029519D">
              <w:rPr>
                <w:snapToGrid w:val="0"/>
              </w:rPr>
              <w:t>– Regional Registries</w:t>
            </w:r>
            <w:bookmarkEnd w:id="73"/>
          </w:p>
          <w:p w14:paraId="63DCF46D" w14:textId="77777777" w:rsidR="005B2EEB" w:rsidRPr="0029519D" w:rsidRDefault="005B2EEB" w:rsidP="00614016">
            <w:pPr>
              <w:rPr>
                <w:b/>
                <w:snapToGrid w:val="0"/>
              </w:rPr>
            </w:pPr>
          </w:p>
          <w:p w14:paraId="26E272F3" w14:textId="23610F2A" w:rsidR="00AC66DF" w:rsidRPr="00CC5A3C" w:rsidRDefault="005B2EEB" w:rsidP="00614016">
            <w:pPr>
              <w:rPr>
                <w:b/>
                <w:i/>
                <w:snapToGrid w:val="0"/>
              </w:rPr>
            </w:pPr>
            <w:r w:rsidRPr="0029519D">
              <w:rPr>
                <w:b/>
                <w:i/>
                <w:snapToGrid w:val="0"/>
              </w:rPr>
              <w:t xml:space="preserve">Hospitals in Maine, New Hampshire, and Vermont ONLY.  If you </w:t>
            </w:r>
            <w:r w:rsidR="00103D4E" w:rsidRPr="0029519D">
              <w:rPr>
                <w:b/>
                <w:i/>
                <w:snapToGrid w:val="0"/>
              </w:rPr>
              <w:t>answered “no” question #5</w:t>
            </w:r>
            <w:r w:rsidR="003A009D">
              <w:rPr>
                <w:b/>
                <w:i/>
                <w:snapToGrid w:val="0"/>
              </w:rPr>
              <w:t>,</w:t>
            </w:r>
            <w:r w:rsidR="00103D4E" w:rsidRPr="0029519D">
              <w:rPr>
                <w:b/>
                <w:i/>
                <w:snapToGrid w:val="0"/>
              </w:rPr>
              <w:t xml:space="preserve"> </w:t>
            </w:r>
            <w:r w:rsidRPr="0029519D">
              <w:rPr>
                <w:b/>
                <w:i/>
                <w:snapToGrid w:val="0"/>
              </w:rPr>
              <w:t xml:space="preserve">please complete questions #9-13. </w:t>
            </w:r>
          </w:p>
          <w:p w14:paraId="58609251" w14:textId="77777777" w:rsidR="00AC66DF" w:rsidRDefault="00AC66DF" w:rsidP="00614016">
            <w:pPr>
              <w:rPr>
                <w:b/>
                <w:i/>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237"/>
            </w:tblGrid>
            <w:tr w:rsidR="00AC66DF" w14:paraId="3B39D6F6" w14:textId="77777777" w:rsidTr="00AC66DF">
              <w:tc>
                <w:tcPr>
                  <w:tcW w:w="9237" w:type="dxa"/>
                </w:tcPr>
                <w:p w14:paraId="489FF2FE" w14:textId="00E00D44" w:rsidR="00AC66DF" w:rsidRPr="00AC66DF" w:rsidRDefault="00AC66DF" w:rsidP="00CC5A3C">
                  <w:pPr>
                    <w:spacing w:before="120" w:after="120"/>
                    <w:rPr>
                      <w:b/>
                    </w:rPr>
                  </w:pPr>
                  <w:r w:rsidRPr="0029519D">
                    <w:rPr>
                      <w:b/>
                    </w:rPr>
                    <w:t xml:space="preserve">Reporting Time Period: </w:t>
                  </w:r>
                  <w:r w:rsidRPr="0029519D">
                    <w:t>Base your responses on the latest 12-month report received from your regional registry [Northern New England Cardiovascular Disease Study Group (NNECDSG)].</w:t>
                  </w:r>
                </w:p>
              </w:tc>
            </w:tr>
          </w:tbl>
          <w:p w14:paraId="34F8694B" w14:textId="77777777" w:rsidR="00AC66DF" w:rsidRPr="00AC66DF" w:rsidRDefault="00AC66DF" w:rsidP="00614016"/>
          <w:p w14:paraId="38EC387D" w14:textId="77777777" w:rsidR="005B2EEB" w:rsidRPr="001D7732" w:rsidRDefault="005B2EEB" w:rsidP="00AC66DF">
            <w:pPr>
              <w:rPr>
                <w:i/>
                <w:snapToGrid w:val="0"/>
              </w:rPr>
            </w:pPr>
          </w:p>
        </w:tc>
      </w:tr>
      <w:tr w:rsidR="005B2EEB" w14:paraId="65F731F0"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tcPr>
          <w:p w14:paraId="04E21D66" w14:textId="77777777" w:rsidR="005B2EEB" w:rsidRPr="00796154" w:rsidRDefault="005B2EEB" w:rsidP="0086231B">
            <w:pPr>
              <w:numPr>
                <w:ilvl w:val="0"/>
                <w:numId w:val="14"/>
              </w:numPr>
              <w:spacing w:before="120" w:after="120"/>
              <w:rPr>
                <w:snapToGrid w:val="0"/>
                <w:color w:val="000000"/>
              </w:rPr>
            </w:pPr>
            <w:r w:rsidRPr="001D7732">
              <w:rPr>
                <w:snapToGrid w:val="0"/>
                <w:color w:val="000000"/>
              </w:rPr>
              <w:t xml:space="preserve">Are AVR mortality outcomes for your hospital included in the regional registry (NNECDSG) report for the </w:t>
            </w:r>
            <w:hyperlink w:anchor="Endnote19" w:history="1">
              <w:r w:rsidRPr="001F1E71">
                <w:rPr>
                  <w:rStyle w:val="Hyperlink"/>
                  <w:snapToGrid w:val="0"/>
                </w:rPr>
                <w:t>most recently reported period</w:t>
              </w:r>
            </w:hyperlink>
            <w:r w:rsidRPr="001D7732">
              <w:rPr>
                <w:rStyle w:val="EndnoteReference"/>
                <w:snapToGrid w:val="0"/>
                <w:color w:val="000000"/>
              </w:rPr>
              <w:endnoteReference w:id="20"/>
            </w:r>
            <w:r w:rsidRPr="001D7732">
              <w:rPr>
                <w:snapToGrid w:val="0"/>
                <w:color w:val="000000"/>
              </w:rPr>
              <w:t xml:space="preserve">? </w:t>
            </w:r>
            <w:r w:rsidR="00796154">
              <w:rPr>
                <w:snapToGrid w:val="0"/>
                <w:color w:val="000000"/>
              </w:rPr>
              <w:br/>
            </w:r>
            <w:r w:rsidR="00796154">
              <w:rPr>
                <w:snapToGrid w:val="0"/>
                <w:color w:val="000000"/>
              </w:rPr>
              <w:br/>
            </w:r>
            <w:r w:rsidR="002D7B66">
              <w:rPr>
                <w:i/>
                <w:snapToGrid w:val="0"/>
                <w:color w:val="000000"/>
              </w:rPr>
              <w:t>If “no,”</w:t>
            </w:r>
            <w:r w:rsidRPr="00796154">
              <w:rPr>
                <w:i/>
                <w:snapToGrid w:val="0"/>
                <w:color w:val="000000"/>
              </w:rPr>
              <w:t xml:space="preserve"> skip questions #10-13.</w:t>
            </w:r>
          </w:p>
        </w:tc>
        <w:tc>
          <w:tcPr>
            <w:tcW w:w="2430" w:type="dxa"/>
            <w:vAlign w:val="center"/>
          </w:tcPr>
          <w:p w14:paraId="718E8E4B" w14:textId="77777777" w:rsidR="005B2EEB" w:rsidRPr="001D7732" w:rsidRDefault="005B2EEB" w:rsidP="00614016">
            <w:pPr>
              <w:jc w:val="center"/>
              <w:rPr>
                <w:i/>
                <w:snapToGrid w:val="0"/>
              </w:rPr>
            </w:pPr>
            <w:r w:rsidRPr="001D7732">
              <w:rPr>
                <w:i/>
                <w:snapToGrid w:val="0"/>
              </w:rPr>
              <w:t>Yes</w:t>
            </w:r>
          </w:p>
          <w:p w14:paraId="04F5D4F3" w14:textId="77777777" w:rsidR="005B2EEB" w:rsidRPr="001D7732" w:rsidRDefault="005B2EEB" w:rsidP="00614016">
            <w:pPr>
              <w:jc w:val="center"/>
              <w:rPr>
                <w:i/>
                <w:snapToGrid w:val="0"/>
              </w:rPr>
            </w:pPr>
            <w:r w:rsidRPr="001D7732">
              <w:rPr>
                <w:i/>
                <w:snapToGrid w:val="0"/>
              </w:rPr>
              <w:t>No</w:t>
            </w:r>
          </w:p>
        </w:tc>
      </w:tr>
      <w:tr w:rsidR="005B2EEB" w14:paraId="48666479"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7439EDA" w14:textId="77777777" w:rsidR="005B2EEB" w:rsidRPr="001D7732" w:rsidRDefault="005B2EEB" w:rsidP="0086231B">
            <w:pPr>
              <w:numPr>
                <w:ilvl w:val="0"/>
                <w:numId w:val="14"/>
              </w:numPr>
              <w:spacing w:before="120" w:after="120"/>
            </w:pPr>
            <w:r w:rsidRPr="001D7732">
              <w:rPr>
                <w:snapToGrid w:val="0"/>
              </w:rPr>
              <w:t>What is t</w:t>
            </w:r>
            <w:r w:rsidRPr="001D7732">
              <w:rPr>
                <w:snapToGrid w:val="0"/>
                <w:color w:val="000000"/>
              </w:rPr>
              <w:t xml:space="preserve">he most recent 12-month </w:t>
            </w:r>
            <w:r w:rsidRPr="001D7732">
              <w:rPr>
                <w:snapToGrid w:val="0"/>
              </w:rPr>
              <w:t>reporting period for which your hospital’s results are included in your regional registry report? 12 months ending:</w:t>
            </w:r>
          </w:p>
        </w:tc>
        <w:tc>
          <w:tcPr>
            <w:tcW w:w="2430" w:type="dxa"/>
          </w:tcPr>
          <w:p w14:paraId="5831E2CB" w14:textId="77777777" w:rsidR="005B2EEB" w:rsidRPr="001D7732" w:rsidRDefault="005B2EEB" w:rsidP="00614016">
            <w:pPr>
              <w:jc w:val="center"/>
            </w:pPr>
          </w:p>
          <w:p w14:paraId="0CD6582C" w14:textId="77777777" w:rsidR="005B2EEB" w:rsidRPr="001D7732" w:rsidRDefault="005B2EEB" w:rsidP="00614016">
            <w:pPr>
              <w:jc w:val="center"/>
            </w:pPr>
            <w:r w:rsidRPr="001D7732">
              <w:t>__________</w:t>
            </w:r>
          </w:p>
          <w:p w14:paraId="16013BF8" w14:textId="77777777" w:rsidR="005B2EEB" w:rsidRPr="00CC5A3C" w:rsidRDefault="005B2EEB" w:rsidP="003A7792">
            <w:pPr>
              <w:jc w:val="center"/>
              <w:rPr>
                <w:i/>
                <w:snapToGrid w:val="0"/>
                <w:sz w:val="16"/>
                <w:szCs w:val="16"/>
              </w:rPr>
            </w:pPr>
            <w:r w:rsidRPr="00CC5A3C">
              <w:rPr>
                <w:i/>
                <w:sz w:val="16"/>
                <w:szCs w:val="16"/>
              </w:rPr>
              <w:t>MM/YYYY</w:t>
            </w:r>
            <w:r w:rsidRPr="00CC5A3C">
              <w:rPr>
                <w:i/>
                <w:sz w:val="16"/>
                <w:szCs w:val="16"/>
              </w:rPr>
              <w:br/>
            </w:r>
          </w:p>
        </w:tc>
      </w:tr>
      <w:tr w:rsidR="005B2EEB" w14:paraId="3253EE9B"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1B294575" w14:textId="77777777" w:rsidR="005B2EEB" w:rsidRPr="001D7732" w:rsidRDefault="005B2EEB" w:rsidP="0086231B">
            <w:pPr>
              <w:numPr>
                <w:ilvl w:val="0"/>
                <w:numId w:val="14"/>
              </w:numPr>
              <w:spacing w:before="120" w:after="120"/>
              <w:rPr>
                <w:snapToGrid w:val="0"/>
              </w:rPr>
            </w:pPr>
            <w:r w:rsidRPr="001D7732">
              <w:rPr>
                <w:snapToGrid w:val="0"/>
                <w:color w:val="000000"/>
              </w:rPr>
              <w:t xml:space="preserve">If AVR mortality outcome results for your hospital are included with another hospital and/or reported under a </w:t>
            </w:r>
            <w:r w:rsidRPr="001D7732">
              <w:rPr>
                <w:b/>
                <w:snapToGrid w:val="0"/>
                <w:color w:val="000000"/>
              </w:rPr>
              <w:t>different hospital name</w:t>
            </w:r>
            <w:r w:rsidRPr="001D7732">
              <w:rPr>
                <w:snapToGrid w:val="0"/>
                <w:color w:val="000000"/>
              </w:rPr>
              <w:t xml:space="preserve"> from that indicated in the Organization Information section of this survey, indicate the reported name of the hospital:</w:t>
            </w:r>
          </w:p>
        </w:tc>
        <w:tc>
          <w:tcPr>
            <w:tcW w:w="2430" w:type="dxa"/>
            <w:vAlign w:val="center"/>
          </w:tcPr>
          <w:p w14:paraId="195A68A2" w14:textId="77777777" w:rsidR="005B2EEB" w:rsidRPr="001D7732" w:rsidRDefault="005B2EEB" w:rsidP="00614016">
            <w:pPr>
              <w:jc w:val="center"/>
            </w:pPr>
            <w:r w:rsidRPr="001D7732">
              <w:t>__________</w:t>
            </w:r>
          </w:p>
          <w:p w14:paraId="3C6CBB22" w14:textId="77777777" w:rsidR="005B2EEB" w:rsidRPr="001D7732" w:rsidRDefault="005B2EEB" w:rsidP="00614016">
            <w:pPr>
              <w:jc w:val="center"/>
            </w:pPr>
          </w:p>
        </w:tc>
      </w:tr>
      <w:tr w:rsidR="005B2EEB" w14:paraId="2E32339F"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7038" w:type="dxa"/>
            <w:vAlign w:val="center"/>
          </w:tcPr>
          <w:p w14:paraId="58F56F52" w14:textId="456864C1" w:rsidR="005B2EEB" w:rsidRPr="001D7732" w:rsidRDefault="005B2EEB" w:rsidP="0086231B">
            <w:pPr>
              <w:numPr>
                <w:ilvl w:val="0"/>
                <w:numId w:val="14"/>
              </w:numPr>
              <w:rPr>
                <w:snapToGrid w:val="0"/>
                <w:color w:val="000000"/>
              </w:rPr>
            </w:pPr>
            <w:r w:rsidRPr="001D7732">
              <w:rPr>
                <w:snapToGrid w:val="0"/>
                <w:color w:val="000000"/>
              </w:rPr>
              <w:t xml:space="preserve">From the report for that time period, what was the </w:t>
            </w:r>
            <w:hyperlink w:anchor="Endnote20" w:history="1">
              <w:r w:rsidRPr="005C141D">
                <w:rPr>
                  <w:rStyle w:val="Hyperlink"/>
                  <w:snapToGrid w:val="0"/>
                </w:rPr>
                <w:t>observed mortality rate</w:t>
              </w:r>
            </w:hyperlink>
            <w:r w:rsidRPr="001D7732">
              <w:rPr>
                <w:rStyle w:val="EndnoteReference"/>
                <w:snapToGrid w:val="0"/>
                <w:color w:val="000000"/>
              </w:rPr>
              <w:endnoteReference w:id="21"/>
            </w:r>
            <w:r w:rsidRPr="001D7732">
              <w:rPr>
                <w:snapToGrid w:val="0"/>
                <w:color w:val="000000"/>
              </w:rPr>
              <w:t xml:space="preserve"> as a percentage for aortic valve replacement surgery?</w:t>
            </w:r>
          </w:p>
        </w:tc>
        <w:tc>
          <w:tcPr>
            <w:tcW w:w="2430" w:type="dxa"/>
            <w:vAlign w:val="center"/>
          </w:tcPr>
          <w:p w14:paraId="0F7DFDDB" w14:textId="77777777" w:rsidR="005B2EEB" w:rsidRPr="001D7732" w:rsidRDefault="005B2EEB" w:rsidP="0086231B">
            <w:pPr>
              <w:jc w:val="center"/>
              <w:rPr>
                <w:i/>
                <w:snapToGrid w:val="0"/>
              </w:rPr>
            </w:pPr>
            <w:r w:rsidRPr="001D7732">
              <w:rPr>
                <w:i/>
                <w:snapToGrid w:val="0"/>
              </w:rPr>
              <w:t>_______%</w:t>
            </w:r>
          </w:p>
          <w:p w14:paraId="6F8075C0" w14:textId="7323C9FE" w:rsidR="005B2EEB" w:rsidRPr="001D7732" w:rsidRDefault="003A7792" w:rsidP="00614016">
            <w:pPr>
              <w:jc w:val="center"/>
              <w:rPr>
                <w:i/>
                <w:snapToGrid w:val="0"/>
              </w:rPr>
            </w:pPr>
            <w:r>
              <w:rPr>
                <w:i/>
                <w:snapToGrid w:val="0"/>
                <w:sz w:val="16"/>
              </w:rPr>
              <w:t>Format:</w:t>
            </w:r>
            <w:r w:rsidR="005B2EEB" w:rsidRPr="001D7732">
              <w:rPr>
                <w:i/>
                <w:snapToGrid w:val="0"/>
                <w:sz w:val="16"/>
              </w:rPr>
              <w:t xml:space="preserve"> 3.1</w:t>
            </w:r>
          </w:p>
        </w:tc>
      </w:tr>
      <w:tr w:rsidR="005B2EEB" w14:paraId="12A2D122"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6F331C1" w14:textId="50EE1C0D" w:rsidR="005B2EEB" w:rsidRPr="001D7732" w:rsidRDefault="005B2EEB" w:rsidP="00ED58C1">
            <w:pPr>
              <w:numPr>
                <w:ilvl w:val="0"/>
                <w:numId w:val="14"/>
              </w:numPr>
              <w:rPr>
                <w:snapToGrid w:val="0"/>
                <w:color w:val="000000"/>
              </w:rPr>
            </w:pPr>
            <w:r w:rsidRPr="001D7732">
              <w:rPr>
                <w:snapToGrid w:val="0"/>
                <w:color w:val="000000"/>
              </w:rPr>
              <w:t xml:space="preserve">From the same report, what was the </w:t>
            </w:r>
            <w:hyperlink w:anchor="Endnote21" w:history="1">
              <w:r w:rsidRPr="005C141D">
                <w:rPr>
                  <w:rStyle w:val="Hyperlink"/>
                  <w:snapToGrid w:val="0"/>
                </w:rPr>
                <w:t>expected mortality rate</w:t>
              </w:r>
            </w:hyperlink>
            <w:r w:rsidRPr="001D7732">
              <w:rPr>
                <w:rStyle w:val="EndnoteReference"/>
                <w:snapToGrid w:val="0"/>
              </w:rPr>
              <w:endnoteReference w:id="22"/>
            </w:r>
            <w:r w:rsidRPr="001D7732">
              <w:rPr>
                <w:snapToGrid w:val="0"/>
                <w:color w:val="000000"/>
              </w:rPr>
              <w:t xml:space="preserve"> as a percentage for aortic valve replacement surgery?</w:t>
            </w:r>
          </w:p>
        </w:tc>
        <w:tc>
          <w:tcPr>
            <w:tcW w:w="2430" w:type="dxa"/>
            <w:vAlign w:val="center"/>
          </w:tcPr>
          <w:p w14:paraId="4AC88E88" w14:textId="77777777" w:rsidR="005B2EEB" w:rsidRPr="001D7732" w:rsidRDefault="005B2EEB" w:rsidP="00614016">
            <w:pPr>
              <w:jc w:val="center"/>
              <w:rPr>
                <w:i/>
                <w:snapToGrid w:val="0"/>
              </w:rPr>
            </w:pPr>
          </w:p>
          <w:p w14:paraId="0B10D3F2" w14:textId="77777777" w:rsidR="005B2EEB" w:rsidRPr="001D7732" w:rsidRDefault="005B2EEB" w:rsidP="00614016">
            <w:pPr>
              <w:jc w:val="center"/>
              <w:rPr>
                <w:i/>
                <w:snapToGrid w:val="0"/>
              </w:rPr>
            </w:pPr>
            <w:r w:rsidRPr="001D7732">
              <w:rPr>
                <w:i/>
                <w:snapToGrid w:val="0"/>
              </w:rPr>
              <w:t>_______%</w:t>
            </w:r>
          </w:p>
          <w:p w14:paraId="1F9FAAE8" w14:textId="7CC02857" w:rsidR="005B2EEB" w:rsidRPr="001D7732" w:rsidRDefault="003A7792" w:rsidP="00614016">
            <w:pPr>
              <w:jc w:val="center"/>
              <w:rPr>
                <w:i/>
                <w:snapToGrid w:val="0"/>
                <w:sz w:val="16"/>
              </w:rPr>
            </w:pPr>
            <w:r>
              <w:rPr>
                <w:i/>
                <w:snapToGrid w:val="0"/>
                <w:sz w:val="16"/>
              </w:rPr>
              <w:t>Format:</w:t>
            </w:r>
            <w:r w:rsidR="001E2FB8">
              <w:rPr>
                <w:i/>
                <w:snapToGrid w:val="0"/>
                <w:sz w:val="16"/>
              </w:rPr>
              <w:t xml:space="preserve"> 3.1</w:t>
            </w:r>
          </w:p>
          <w:p w14:paraId="4B6C3E67" w14:textId="77777777" w:rsidR="005B2EEB" w:rsidRPr="001D7732" w:rsidRDefault="005B2EEB" w:rsidP="0086231B">
            <w:pPr>
              <w:rPr>
                <w:i/>
                <w:snapToGrid w:val="0"/>
              </w:rPr>
            </w:pPr>
          </w:p>
        </w:tc>
      </w:tr>
    </w:tbl>
    <w:p w14:paraId="0B3DC56B" w14:textId="77777777" w:rsidR="005B2EEB" w:rsidRDefault="005B2EEB" w:rsidP="005B2EEB"/>
    <w:p w14:paraId="5BCB58F6" w14:textId="77777777" w:rsidR="005B2EEB" w:rsidRDefault="005B2EEB" w:rsidP="00954B73">
      <w:pPr>
        <w:pStyle w:val="Heading2"/>
        <w:rPr>
          <w:snapToGrid w:val="0"/>
          <w:color w:val="000000"/>
        </w:rPr>
      </w:pPr>
      <w:r>
        <w:rPr>
          <w:snapToGrid w:val="0"/>
        </w:rPr>
        <w:br w:type="page"/>
      </w:r>
      <w:bookmarkStart w:id="77" w:name="_Toc447194985"/>
      <w:r w:rsidR="00584450">
        <w:rPr>
          <w:snapToGrid w:val="0"/>
        </w:rPr>
        <w:lastRenderedPageBreak/>
        <w:t>3C</w:t>
      </w:r>
      <w:r>
        <w:rPr>
          <w:snapToGrid w:val="0"/>
        </w:rPr>
        <w:t>: Abdominal Aortic Aneurysm (AAA) Repair</w:t>
      </w:r>
      <w:bookmarkEnd w:id="77"/>
      <w:r>
        <w:rPr>
          <w:snapToGrid w:val="0"/>
          <w:color w:val="000000"/>
        </w:rPr>
        <w:t xml:space="preserve"> </w:t>
      </w:r>
    </w:p>
    <w:p w14:paraId="2320ACF6" w14:textId="77777777" w:rsidR="005B2EEB" w:rsidRDefault="005B2EEB" w:rsidP="005B2EEB">
      <w:pPr>
        <w:pStyle w:val="Header"/>
        <w:tabs>
          <w:tab w:val="clear" w:pos="4320"/>
          <w:tab w:val="clear" w:pos="8640"/>
        </w:tabs>
        <w:rPr>
          <w:b/>
          <w:i/>
          <w:snapToGrid w:val="0"/>
          <w:color w:val="000000"/>
        </w:rPr>
      </w:pPr>
    </w:p>
    <w:p w14:paraId="379819CE" w14:textId="77777777" w:rsidR="005B2EEB" w:rsidRDefault="009234F5" w:rsidP="005B2EEB">
      <w:pPr>
        <w:pStyle w:val="Header"/>
        <w:tabs>
          <w:tab w:val="clear" w:pos="4320"/>
          <w:tab w:val="clear" w:pos="8640"/>
        </w:tabs>
        <w:rPr>
          <w:i/>
          <w:snapToGrid w:val="0"/>
        </w:rPr>
      </w:pPr>
      <w:r>
        <w:rPr>
          <w:i/>
          <w:snapToGrid w:val="0"/>
        </w:rPr>
        <w:t>If you answered “yes”</w:t>
      </w:r>
      <w:r w:rsidR="00CF1873">
        <w:rPr>
          <w:i/>
          <w:snapToGrid w:val="0"/>
        </w:rPr>
        <w:t xml:space="preserve"> to question #2 in Section 3A</w:t>
      </w:r>
      <w:r w:rsidR="005B2EEB" w:rsidRPr="007D0E5C">
        <w:rPr>
          <w:i/>
          <w:snapToGrid w:val="0"/>
        </w:rPr>
        <w:t>,</w:t>
      </w:r>
      <w:r w:rsidR="005B2EEB" w:rsidRPr="00DA506B">
        <w:rPr>
          <w:i/>
          <w:snapToGrid w:val="0"/>
        </w:rPr>
        <w:t xml:space="preserve"> </w:t>
      </w:r>
      <w:r w:rsidR="005B2EEB">
        <w:rPr>
          <w:i/>
          <w:snapToGrid w:val="0"/>
        </w:rPr>
        <w:t xml:space="preserve">indicating that you perform AAA, </w:t>
      </w:r>
      <w:r w:rsidR="005B2EEB" w:rsidRPr="00DA506B">
        <w:rPr>
          <w:i/>
          <w:snapToGrid w:val="0"/>
        </w:rPr>
        <w:t>complete these questions pertaining to this high-risk surger</w:t>
      </w:r>
      <w:r w:rsidR="005B2EEB">
        <w:rPr>
          <w:i/>
          <w:snapToGrid w:val="0"/>
        </w:rPr>
        <w:t>y.</w:t>
      </w:r>
    </w:p>
    <w:p w14:paraId="6122D5C4" w14:textId="77777777" w:rsidR="005B2EEB" w:rsidRDefault="005B2EEB" w:rsidP="005B2EEB">
      <w:pPr>
        <w:pStyle w:val="Header"/>
        <w:tabs>
          <w:tab w:val="clear" w:pos="4320"/>
          <w:tab w:val="clear" w:pos="8640"/>
        </w:tabs>
        <w:rPr>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14:paraId="095D25B2" w14:textId="77777777" w:rsidTr="00614016">
        <w:trPr>
          <w:cantSplit/>
        </w:trPr>
        <w:tc>
          <w:tcPr>
            <w:tcW w:w="9468" w:type="dxa"/>
            <w:gridSpan w:val="2"/>
            <w:tcBorders>
              <w:top w:val="single" w:sz="24" w:space="0" w:color="auto"/>
            </w:tcBorders>
          </w:tcPr>
          <w:p w14:paraId="106FA98E" w14:textId="77777777" w:rsidR="005B2EEB" w:rsidRDefault="005B2EEB" w:rsidP="00614016">
            <w:pPr>
              <w:rPr>
                <w:b/>
              </w:rPr>
            </w:pPr>
          </w:p>
          <w:p w14:paraId="26C86EE6" w14:textId="77777777" w:rsidR="005B2EEB" w:rsidRDefault="005B2EEB" w:rsidP="007A44CB">
            <w:pPr>
              <w:pStyle w:val="Heading3"/>
              <w:rPr>
                <w:snapToGrid w:val="0"/>
                <w:color w:val="000000"/>
              </w:rPr>
            </w:pPr>
            <w:bookmarkStart w:id="78" w:name="_Toc447194986"/>
            <w:r>
              <w:rPr>
                <w:snapToGrid w:val="0"/>
              </w:rPr>
              <w:t>Abdominal Aortic Aneurysm (AAA) Repair</w:t>
            </w:r>
            <w:r>
              <w:rPr>
                <w:snapToGrid w:val="0"/>
                <w:color w:val="000000"/>
              </w:rPr>
              <w:t xml:space="preserve"> – Volume</w:t>
            </w:r>
            <w:bookmarkEnd w:id="78"/>
            <w:r>
              <w:rPr>
                <w:snapToGrid w:val="0"/>
                <w:color w:val="000000"/>
              </w:rPr>
              <w:t xml:space="preserve"> </w:t>
            </w:r>
          </w:p>
          <w:p w14:paraId="72533DE0" w14:textId="77777777" w:rsidR="005B2EEB" w:rsidRDefault="005B2EEB" w:rsidP="007A44CB">
            <w:pPr>
              <w:pStyle w:val="Heading3"/>
              <w:rPr>
                <w:snapToGrid w:val="0"/>
              </w:rPr>
            </w:pPr>
          </w:p>
          <w:p w14:paraId="7E79AFC9" w14:textId="77777777" w:rsidR="005B2EEB" w:rsidRDefault="005B2EEB" w:rsidP="00614016">
            <w:pPr>
              <w:rPr>
                <w:snapToGrid w:val="0"/>
              </w:rPr>
            </w:pPr>
            <w:r>
              <w:rPr>
                <w:b/>
                <w:snapToGrid w:val="0"/>
              </w:rPr>
              <w:t>Specifications:</w:t>
            </w:r>
            <w:r>
              <w:rPr>
                <w:snapToGrid w:val="0"/>
              </w:rPr>
              <w:t xml:space="preserve"> See </w:t>
            </w:r>
            <w:hyperlink w:anchor="AAAVol" w:history="1">
              <w:r w:rsidRPr="000E3A0A">
                <w:rPr>
                  <w:rStyle w:val="Hyperlink"/>
                  <w:b/>
                  <w:i/>
                  <w:snapToGrid w:val="0"/>
                </w:rPr>
                <w:t>AAA Volume Standard</w:t>
              </w:r>
            </w:hyperlink>
            <w:r>
              <w:rPr>
                <w:snapToGrid w:val="0"/>
              </w:rPr>
              <w:t xml:space="preserve"> in </w:t>
            </w:r>
            <w:r w:rsidRPr="002D38EF">
              <w:rPr>
                <w:snapToGrid w:val="0"/>
              </w:rPr>
              <w:t>the EBH</w:t>
            </w:r>
            <w:r w:rsidR="008434B7">
              <w:rPr>
                <w:snapToGrid w:val="0"/>
              </w:rPr>
              <w:t xml:space="preserve">R Reference Information on </w:t>
            </w:r>
            <w:r w:rsidR="008434B7" w:rsidRPr="00B82E68">
              <w:rPr>
                <w:snapToGrid w:val="0"/>
              </w:rPr>
              <w:t>page</w:t>
            </w:r>
            <w:r w:rsidRPr="00B82E68">
              <w:rPr>
                <w:snapToGrid w:val="0"/>
              </w:rPr>
              <w:t xml:space="preserve"> </w:t>
            </w:r>
            <w:r w:rsidR="008434B7" w:rsidRPr="00B82E68">
              <w:rPr>
                <w:snapToGrid w:val="0"/>
              </w:rPr>
              <w:t>47</w:t>
            </w:r>
            <w:r w:rsidRPr="00B82E68">
              <w:rPr>
                <w:snapToGrid w:val="0"/>
              </w:rPr>
              <w:t>.</w:t>
            </w:r>
            <w:r>
              <w:rPr>
                <w:snapToGrid w:val="0"/>
              </w:rPr>
              <w:t xml:space="preserve"> </w:t>
            </w:r>
          </w:p>
          <w:p w14:paraId="12FA9EC5" w14:textId="77777777" w:rsidR="00AC66DF" w:rsidRDefault="00AC66DF" w:rsidP="00614016">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14:paraId="5F8D84BB" w14:textId="77777777" w:rsidTr="00AC66DF">
              <w:tc>
                <w:tcPr>
                  <w:tcW w:w="9673" w:type="dxa"/>
                </w:tcPr>
                <w:p w14:paraId="33A9AD0E" w14:textId="77777777" w:rsidR="00AC66DF" w:rsidRPr="00FF4955" w:rsidRDefault="00AC66DF" w:rsidP="00190205">
                  <w:pPr>
                    <w:spacing w:before="120"/>
                    <w:rPr>
                      <w:snapToGrid w:val="0"/>
                    </w:rPr>
                  </w:pPr>
                  <w:r w:rsidRPr="00FF4955">
                    <w:rPr>
                      <w:b/>
                      <w:snapToGrid w:val="0"/>
                    </w:rPr>
                    <w:t xml:space="preserve">Reporting Time Period: </w:t>
                  </w:r>
                  <w:r>
                    <w:rPr>
                      <w:snapToGrid w:val="0"/>
                    </w:rPr>
                    <w:t xml:space="preserve"> </w:t>
                  </w:r>
                  <w:r>
                    <w:rPr>
                      <w:b/>
                      <w:snapToGrid w:val="0"/>
                    </w:rPr>
                    <w:t xml:space="preserve">12 </w:t>
                  </w:r>
                  <w:r w:rsidRPr="008B335C">
                    <w:rPr>
                      <w:b/>
                      <w:snapToGrid w:val="0"/>
                    </w:rPr>
                    <w:t xml:space="preserve">months or </w:t>
                  </w:r>
                  <w:r w:rsidRPr="008B335C">
                    <w:rPr>
                      <w:b/>
                      <w:i/>
                      <w:snapToGrid w:val="0"/>
                    </w:rPr>
                    <w:t>optionally</w:t>
                  </w:r>
                  <w:r>
                    <w:rPr>
                      <w:b/>
                      <w:snapToGrid w:val="0"/>
                    </w:rPr>
                    <w:t xml:space="preserve"> the 24 </w:t>
                  </w:r>
                  <w:r w:rsidRPr="008B335C">
                    <w:rPr>
                      <w:b/>
                      <w:snapToGrid w:val="0"/>
                    </w:rPr>
                    <w:t>months</w:t>
                  </w:r>
                  <w:r>
                    <w:rPr>
                      <w:b/>
                      <w:snapToGrid w:val="0"/>
                    </w:rPr>
                    <w:t xml:space="preserve"> (annual average)</w:t>
                  </w:r>
                </w:p>
                <w:p w14:paraId="0F60C27D" w14:textId="77777777" w:rsidR="00AC66DF" w:rsidRPr="00B07F6E" w:rsidRDefault="00AC66DF" w:rsidP="00ED58C1">
                  <w:pPr>
                    <w:pStyle w:val="ListParagraph"/>
                    <w:numPr>
                      <w:ilvl w:val="0"/>
                      <w:numId w:val="79"/>
                    </w:numPr>
                    <w:rPr>
                      <w:i/>
                      <w:snapToGrid w:val="0"/>
                    </w:rPr>
                  </w:pPr>
                  <w:r>
                    <w:rPr>
                      <w:snapToGrid w:val="0"/>
                    </w:rPr>
                    <w:t>10/01/2014 – 09/30/2015 (12 months)</w:t>
                  </w:r>
                </w:p>
                <w:p w14:paraId="0E11E511" w14:textId="77777777" w:rsidR="00AC66DF" w:rsidRPr="00AC66DF" w:rsidRDefault="00AC66DF" w:rsidP="00190205">
                  <w:pPr>
                    <w:pStyle w:val="ListParagraph"/>
                    <w:numPr>
                      <w:ilvl w:val="0"/>
                      <w:numId w:val="79"/>
                    </w:numPr>
                    <w:spacing w:after="120"/>
                    <w:rPr>
                      <w:i/>
                      <w:snapToGrid w:val="0"/>
                    </w:rPr>
                  </w:pPr>
                  <w:r>
                    <w:rPr>
                      <w:snapToGrid w:val="0"/>
                    </w:rPr>
                    <w:t>10/01/2013 – 09/30/2015 (24 months annual average)</w:t>
                  </w:r>
                </w:p>
              </w:tc>
            </w:tr>
          </w:tbl>
          <w:p w14:paraId="5329E5AE" w14:textId="77777777" w:rsidR="005B2EEB" w:rsidRPr="00AC66DF" w:rsidRDefault="005B2EEB" w:rsidP="00AC66DF">
            <w:pPr>
              <w:rPr>
                <w:i/>
                <w:snapToGrid w:val="0"/>
              </w:rPr>
            </w:pPr>
            <w:r w:rsidRPr="00AC66DF">
              <w:rPr>
                <w:snapToGrid w:val="0"/>
              </w:rPr>
              <w:br/>
            </w:r>
          </w:p>
        </w:tc>
      </w:tr>
      <w:tr w:rsidR="005B2EEB" w14:paraId="60A6E1F2"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57BDD34" w14:textId="77777777" w:rsidR="00D32FAE" w:rsidRPr="0029519D" w:rsidRDefault="00D32FAE" w:rsidP="00ED58C1">
            <w:pPr>
              <w:pStyle w:val="ListParagraph"/>
              <w:numPr>
                <w:ilvl w:val="0"/>
                <w:numId w:val="52"/>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0BE1EEEF" w14:textId="77777777" w:rsidR="00D32FAE" w:rsidRPr="0029519D" w:rsidRDefault="00D32FAE" w:rsidP="00ED58C1">
            <w:pPr>
              <w:pStyle w:val="ListParagraph"/>
              <w:numPr>
                <w:ilvl w:val="0"/>
                <w:numId w:val="111"/>
              </w:numPr>
              <w:rPr>
                <w:i/>
                <w:snapToGrid w:val="0"/>
              </w:rPr>
            </w:pPr>
            <w:r w:rsidRPr="0029519D">
              <w:rPr>
                <w:snapToGrid w:val="0"/>
              </w:rPr>
              <w:t>10/01/2014 – 09/30/2015</w:t>
            </w:r>
          </w:p>
          <w:p w14:paraId="7597EE89" w14:textId="77777777" w:rsidR="00584450" w:rsidRPr="0029519D" w:rsidRDefault="00D32FAE" w:rsidP="00ED58C1">
            <w:pPr>
              <w:pStyle w:val="ListParagraph"/>
              <w:numPr>
                <w:ilvl w:val="0"/>
                <w:numId w:val="111"/>
              </w:numPr>
            </w:pPr>
            <w:r w:rsidRPr="0029519D">
              <w:rPr>
                <w:snapToGrid w:val="0"/>
              </w:rPr>
              <w:t>10/01/2013 – 09/30/2015</w:t>
            </w:r>
          </w:p>
        </w:tc>
      </w:tr>
      <w:tr w:rsidR="005B2EEB" w14:paraId="4CDEF785"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7038" w:type="dxa"/>
            <w:vAlign w:val="center"/>
          </w:tcPr>
          <w:p w14:paraId="7D36FB91" w14:textId="77777777" w:rsidR="005B2EEB" w:rsidRPr="0029519D" w:rsidRDefault="005B2EEB" w:rsidP="00190205">
            <w:pPr>
              <w:pStyle w:val="ListParagraph"/>
              <w:numPr>
                <w:ilvl w:val="0"/>
                <w:numId w:val="52"/>
              </w:numPr>
              <w:spacing w:before="120" w:after="120"/>
              <w:rPr>
                <w:snapToGrid w:val="0"/>
                <w:color w:val="000000"/>
              </w:rPr>
            </w:pPr>
            <w:r w:rsidRPr="0029519D">
              <w:rPr>
                <w:snapToGrid w:val="0"/>
                <w:color w:val="000000"/>
              </w:rPr>
              <w:t>Total number of patients (including those that expired) with an AAA Repair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415DF724" w14:textId="77777777" w:rsidR="005B2EEB" w:rsidRPr="0029519D" w:rsidRDefault="005B2EEB" w:rsidP="00614016">
            <w:pPr>
              <w:jc w:val="center"/>
            </w:pPr>
            <w:r w:rsidRPr="0029519D">
              <w:t>_______</w:t>
            </w:r>
          </w:p>
        </w:tc>
      </w:tr>
      <w:tr w:rsidR="005B2EEB" w14:paraId="20EEAEB4"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2"/>
        </w:trPr>
        <w:tc>
          <w:tcPr>
            <w:tcW w:w="7038" w:type="dxa"/>
            <w:vAlign w:val="center"/>
          </w:tcPr>
          <w:p w14:paraId="20CA822F" w14:textId="77777777" w:rsidR="005B2EEB" w:rsidRPr="0029519D" w:rsidRDefault="005B2EEB" w:rsidP="00190205">
            <w:pPr>
              <w:pStyle w:val="Header"/>
              <w:numPr>
                <w:ilvl w:val="0"/>
                <w:numId w:val="52"/>
              </w:numPr>
              <w:tabs>
                <w:tab w:val="clear" w:pos="4320"/>
                <w:tab w:val="clear" w:pos="8640"/>
              </w:tabs>
              <w:spacing w:before="120" w:after="120"/>
              <w:rPr>
                <w:snapToGrid w:val="0"/>
              </w:rPr>
            </w:pPr>
            <w:r w:rsidRPr="0029519D">
              <w:rPr>
                <w:snapToGrid w:val="0"/>
                <w:color w:val="000000"/>
              </w:rPr>
              <w:t xml:space="preserve">Total number of patients (including those that expired) with an </w:t>
            </w:r>
            <w:r w:rsidRPr="0029519D">
              <w:rPr>
                <w:snapToGrid w:val="0"/>
                <w:color w:val="000000"/>
                <w:u w:val="single"/>
              </w:rPr>
              <w:t>unruptured</w:t>
            </w:r>
            <w:r w:rsidRPr="0029519D">
              <w:rPr>
                <w:snapToGrid w:val="0"/>
                <w:color w:val="000000"/>
              </w:rPr>
              <w:t xml:space="preserve"> AAA Repair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13F108E3" w14:textId="77777777" w:rsidR="005B2EEB" w:rsidRPr="0029519D" w:rsidRDefault="005B2EEB" w:rsidP="00614016">
            <w:pPr>
              <w:jc w:val="center"/>
            </w:pPr>
            <w:r w:rsidRPr="0029519D">
              <w:t>_______</w:t>
            </w:r>
          </w:p>
        </w:tc>
      </w:tr>
      <w:tr w:rsidR="005B2EEB" w14:paraId="11C75379"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7038" w:type="dxa"/>
            <w:vAlign w:val="center"/>
          </w:tcPr>
          <w:p w14:paraId="7FB0F8BE" w14:textId="01365300" w:rsidR="005B2EEB" w:rsidRPr="0029519D" w:rsidRDefault="005B2EEB" w:rsidP="00190205">
            <w:pPr>
              <w:pStyle w:val="Header"/>
              <w:numPr>
                <w:ilvl w:val="0"/>
                <w:numId w:val="52"/>
              </w:numPr>
              <w:tabs>
                <w:tab w:val="clear" w:pos="4320"/>
                <w:tab w:val="clear" w:pos="8640"/>
              </w:tabs>
              <w:spacing w:before="120" w:after="120"/>
              <w:rPr>
                <w:snapToGrid w:val="0"/>
              </w:rPr>
            </w:pPr>
            <w:r w:rsidRPr="0029519D">
              <w:rPr>
                <w:snapToGrid w:val="0"/>
              </w:rPr>
              <w:t>How many patients included in question #3 died in the hospital following this procedure? (</w:t>
            </w:r>
            <w:bookmarkStart w:id="79" w:name="MoreInfo"/>
            <w:r w:rsidR="005C141D">
              <w:rPr>
                <w:snapToGrid w:val="0"/>
                <w:color w:val="0000FF"/>
                <w:u w:val="single"/>
              </w:rPr>
              <w:fldChar w:fldCharType="begin"/>
            </w:r>
            <w:r w:rsidR="005C141D">
              <w:rPr>
                <w:snapToGrid w:val="0"/>
                <w:color w:val="0000FF"/>
                <w:u w:val="single"/>
              </w:rPr>
              <w:instrText xml:space="preserve"> HYPERLINK  \l "Endnote15" </w:instrText>
            </w:r>
            <w:r w:rsidR="005C141D">
              <w:rPr>
                <w:snapToGrid w:val="0"/>
                <w:color w:val="0000FF"/>
                <w:u w:val="single"/>
              </w:rPr>
              <w:fldChar w:fldCharType="separate"/>
            </w:r>
            <w:r w:rsidRPr="005C141D">
              <w:rPr>
                <w:rStyle w:val="Hyperlink"/>
                <w:snapToGrid w:val="0"/>
              </w:rPr>
              <w:t>More information</w:t>
            </w:r>
            <w:bookmarkEnd w:id="79"/>
            <w:r w:rsidR="005C141D">
              <w:rPr>
                <w:snapToGrid w:val="0"/>
                <w:color w:val="0000FF"/>
                <w:u w:val="single"/>
              </w:rPr>
              <w:fldChar w:fldCharType="end"/>
            </w:r>
            <w:r w:rsidRPr="0029519D">
              <w:rPr>
                <w:snapToGrid w:val="0"/>
              </w:rPr>
              <w:t>)</w:t>
            </w:r>
            <w:r w:rsidR="00674905" w:rsidRPr="0029519D">
              <w:rPr>
                <w:snapToGrid w:val="0"/>
                <w:vertAlign w:val="superscript"/>
              </w:rPr>
              <w:t>15</w:t>
            </w:r>
            <w:r w:rsidRPr="0029519D">
              <w:rPr>
                <w:snapToGrid w:val="0"/>
              </w:rPr>
              <w:br/>
            </w:r>
            <w:r w:rsidR="00796154" w:rsidRPr="0029519D">
              <w:rPr>
                <w:i/>
                <w:snapToGrid w:val="0"/>
                <w:color w:val="000000"/>
              </w:rPr>
              <w:br/>
            </w:r>
            <w:r w:rsidR="00496D10">
              <w:rPr>
                <w:i/>
                <w:snapToGrid w:val="0"/>
                <w:color w:val="000000"/>
              </w:rPr>
              <w:t>(A</w:t>
            </w:r>
            <w:r w:rsidRPr="0029519D">
              <w:rPr>
                <w:i/>
                <w:snapToGrid w:val="0"/>
                <w:color w:val="000000"/>
              </w:rPr>
              <w:t>nnual average if reporting on 24 months of data)</w:t>
            </w:r>
          </w:p>
        </w:tc>
        <w:tc>
          <w:tcPr>
            <w:tcW w:w="2430" w:type="dxa"/>
          </w:tcPr>
          <w:p w14:paraId="43438A8F" w14:textId="77777777" w:rsidR="005B2EEB" w:rsidRPr="0029519D" w:rsidRDefault="005B2EEB" w:rsidP="00614016">
            <w:pPr>
              <w:jc w:val="right"/>
            </w:pPr>
          </w:p>
          <w:p w14:paraId="11275B68" w14:textId="77777777" w:rsidR="005B2EEB" w:rsidRPr="0029519D" w:rsidRDefault="005B2EEB" w:rsidP="00614016">
            <w:pPr>
              <w:jc w:val="center"/>
            </w:pPr>
            <w:r w:rsidRPr="0029519D">
              <w:t>_______</w:t>
            </w:r>
          </w:p>
          <w:p w14:paraId="2DEA54E3" w14:textId="77777777" w:rsidR="005B2EEB" w:rsidRPr="0029519D" w:rsidRDefault="005B2EEB" w:rsidP="00614016"/>
        </w:tc>
      </w:tr>
    </w:tbl>
    <w:p w14:paraId="26D9F59E" w14:textId="77777777" w:rsidR="005B2EEB" w:rsidRDefault="005B2EEB" w:rsidP="005B2EEB"/>
    <w:p w14:paraId="12B06BC5" w14:textId="77777777" w:rsidR="005B2EEB" w:rsidRDefault="005B2EEB" w:rsidP="005B2EEB"/>
    <w:p w14:paraId="15230EFB" w14:textId="77777777" w:rsidR="005B2EEB" w:rsidRPr="00F22F4F" w:rsidRDefault="005B2EEB" w:rsidP="00954B73">
      <w:pPr>
        <w:pStyle w:val="Heading2"/>
      </w:pPr>
      <w:r>
        <w:rPr>
          <w:snapToGrid w:val="0"/>
        </w:rPr>
        <w:br w:type="page"/>
      </w:r>
      <w:bookmarkStart w:id="80" w:name="_Toc447194987"/>
      <w:r w:rsidR="006D2992">
        <w:rPr>
          <w:snapToGrid w:val="0"/>
        </w:rPr>
        <w:lastRenderedPageBreak/>
        <w:t>3D</w:t>
      </w:r>
      <w:r>
        <w:rPr>
          <w:snapToGrid w:val="0"/>
        </w:rPr>
        <w:t>: Pancreatic Resections</w:t>
      </w:r>
      <w:bookmarkEnd w:id="80"/>
      <w:r>
        <w:rPr>
          <w:snapToGrid w:val="0"/>
          <w:color w:val="000000"/>
        </w:rPr>
        <w:t xml:space="preserve"> </w:t>
      </w:r>
    </w:p>
    <w:p w14:paraId="7D025F50" w14:textId="77777777" w:rsidR="005B2EEB" w:rsidRDefault="005B2EEB" w:rsidP="005B2EEB">
      <w:pPr>
        <w:pStyle w:val="Header"/>
        <w:tabs>
          <w:tab w:val="clear" w:pos="4320"/>
          <w:tab w:val="clear" w:pos="8640"/>
        </w:tabs>
        <w:rPr>
          <w:b/>
          <w:i/>
          <w:snapToGrid w:val="0"/>
          <w:color w:val="000000"/>
        </w:rPr>
      </w:pPr>
    </w:p>
    <w:p w14:paraId="5F0F7FBD" w14:textId="77777777" w:rsidR="005B2EEB" w:rsidRDefault="005B2EEB" w:rsidP="005B2EEB">
      <w:pPr>
        <w:pStyle w:val="Header"/>
        <w:tabs>
          <w:tab w:val="clear" w:pos="4320"/>
          <w:tab w:val="clear" w:pos="8640"/>
        </w:tabs>
        <w:rPr>
          <w:i/>
          <w:snapToGrid w:val="0"/>
          <w:color w:val="000000"/>
        </w:rPr>
      </w:pPr>
      <w:r w:rsidRPr="003C70CC">
        <w:rPr>
          <w:i/>
          <w:snapToGrid w:val="0"/>
          <w:color w:val="000000"/>
        </w:rPr>
        <w:t>If you answer</w:t>
      </w:r>
      <w:r w:rsidR="00226480">
        <w:rPr>
          <w:i/>
          <w:snapToGrid w:val="0"/>
          <w:color w:val="000000"/>
        </w:rPr>
        <w:t>ed 'yes' to question #3 in Section 3A</w:t>
      </w:r>
      <w:r w:rsidRPr="003C70CC">
        <w:rPr>
          <w:i/>
          <w:snapToGrid w:val="0"/>
          <w:color w:val="000000"/>
        </w:rPr>
        <w:t xml:space="preserve">, </w:t>
      </w:r>
      <w:r>
        <w:rPr>
          <w:i/>
          <w:snapToGrid w:val="0"/>
          <w:color w:val="000000"/>
        </w:rPr>
        <w:t xml:space="preserve">indicating that you perform Pancreatic Resection, </w:t>
      </w:r>
      <w:r w:rsidRPr="003C70CC">
        <w:rPr>
          <w:i/>
          <w:snapToGrid w:val="0"/>
          <w:color w:val="000000"/>
        </w:rPr>
        <w:t>complete these questions pertaining to this high-risk surgery.</w:t>
      </w:r>
    </w:p>
    <w:p w14:paraId="70A46347" w14:textId="77777777" w:rsidR="005B2EEB" w:rsidRDefault="005B2EEB" w:rsidP="005B2EEB">
      <w:pPr>
        <w:pStyle w:val="Header"/>
        <w:tabs>
          <w:tab w:val="clear" w:pos="4320"/>
          <w:tab w:val="clear" w:pos="8640"/>
        </w:tabs>
        <w:rPr>
          <w:b/>
          <w:snapToGrid w:val="0"/>
          <w:color w:val="000000"/>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14:paraId="711C0DDD" w14:textId="77777777" w:rsidTr="00614016">
        <w:trPr>
          <w:cantSplit/>
        </w:trPr>
        <w:tc>
          <w:tcPr>
            <w:tcW w:w="9468" w:type="dxa"/>
            <w:gridSpan w:val="2"/>
            <w:tcBorders>
              <w:top w:val="single" w:sz="24" w:space="0" w:color="auto"/>
            </w:tcBorders>
          </w:tcPr>
          <w:p w14:paraId="6D819107" w14:textId="77777777" w:rsidR="005B2EEB" w:rsidRPr="0029519D" w:rsidRDefault="005B2EEB" w:rsidP="00614016">
            <w:pPr>
              <w:rPr>
                <w:b/>
              </w:rPr>
            </w:pPr>
          </w:p>
          <w:p w14:paraId="1EA5ABA9" w14:textId="77777777" w:rsidR="005B2EEB" w:rsidRPr="0029519D" w:rsidRDefault="005B2EEB" w:rsidP="007A44CB">
            <w:pPr>
              <w:pStyle w:val="Heading3"/>
              <w:rPr>
                <w:snapToGrid w:val="0"/>
                <w:color w:val="000000"/>
              </w:rPr>
            </w:pPr>
            <w:bookmarkStart w:id="81" w:name="_Toc447194988"/>
            <w:r w:rsidRPr="0029519D">
              <w:rPr>
                <w:snapToGrid w:val="0"/>
              </w:rPr>
              <w:t xml:space="preserve">Pancreatic Resections </w:t>
            </w:r>
            <w:r w:rsidRPr="0029519D">
              <w:rPr>
                <w:snapToGrid w:val="0"/>
                <w:color w:val="000000"/>
              </w:rPr>
              <w:t>– Volume</w:t>
            </w:r>
            <w:bookmarkEnd w:id="81"/>
            <w:r w:rsidRPr="0029519D">
              <w:rPr>
                <w:snapToGrid w:val="0"/>
                <w:color w:val="000000"/>
              </w:rPr>
              <w:t xml:space="preserve"> </w:t>
            </w:r>
          </w:p>
          <w:p w14:paraId="54B73E72" w14:textId="77777777" w:rsidR="005B2EEB" w:rsidRPr="0029519D" w:rsidRDefault="005B2EEB" w:rsidP="00614016">
            <w:pPr>
              <w:rPr>
                <w:snapToGrid w:val="0"/>
              </w:rPr>
            </w:pPr>
          </w:p>
          <w:p w14:paraId="14E38345" w14:textId="77777777" w:rsidR="005B2EEB" w:rsidRPr="0029519D" w:rsidRDefault="005B2EEB" w:rsidP="00614016">
            <w:pPr>
              <w:rPr>
                <w:snapToGrid w:val="0"/>
              </w:rPr>
            </w:pPr>
            <w:r w:rsidRPr="0029519D">
              <w:rPr>
                <w:b/>
                <w:snapToGrid w:val="0"/>
              </w:rPr>
              <w:t>Specifications:</w:t>
            </w:r>
            <w:r w:rsidRPr="0029519D">
              <w:rPr>
                <w:snapToGrid w:val="0"/>
              </w:rPr>
              <w:t xml:space="preserve"> See </w:t>
            </w:r>
            <w:hyperlink w:anchor="PancVol" w:history="1">
              <w:r w:rsidRPr="0029519D">
                <w:rPr>
                  <w:rStyle w:val="Hyperlink"/>
                  <w:b/>
                  <w:i/>
                  <w:snapToGrid w:val="0"/>
                </w:rPr>
                <w:t>Pancreatectomy Volume Standard</w:t>
              </w:r>
            </w:hyperlink>
            <w:r w:rsidRPr="0029519D">
              <w:rPr>
                <w:snapToGrid w:val="0"/>
              </w:rPr>
              <w:t xml:space="preserve"> in the EBHR Reference Information </w:t>
            </w:r>
            <w:r w:rsidRPr="00607CD9">
              <w:rPr>
                <w:snapToGrid w:val="0"/>
              </w:rPr>
              <w:t xml:space="preserve">on pages </w:t>
            </w:r>
            <w:r w:rsidR="008434B7" w:rsidRPr="00607CD9">
              <w:rPr>
                <w:snapToGrid w:val="0"/>
              </w:rPr>
              <w:t>48-49</w:t>
            </w:r>
            <w:r w:rsidRPr="00607CD9">
              <w:rPr>
                <w:snapToGrid w:val="0"/>
              </w:rPr>
              <w:t>.</w:t>
            </w:r>
            <w:r w:rsidRPr="0029519D">
              <w:rPr>
                <w:snapToGrid w:val="0"/>
              </w:rPr>
              <w:t xml:space="preserve"> </w:t>
            </w:r>
          </w:p>
          <w:p w14:paraId="77EAF376" w14:textId="77777777" w:rsidR="00AC66DF" w:rsidRDefault="00AC66DF" w:rsidP="00AC66DF">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14:paraId="1282125F" w14:textId="77777777" w:rsidTr="000469EC">
              <w:tc>
                <w:tcPr>
                  <w:tcW w:w="9673" w:type="dxa"/>
                </w:tcPr>
                <w:p w14:paraId="0B8AE3CA" w14:textId="77777777" w:rsidR="00AC66DF" w:rsidRPr="00FF4955" w:rsidRDefault="00AC66DF" w:rsidP="00190205">
                  <w:pPr>
                    <w:spacing w:before="120"/>
                    <w:rPr>
                      <w:snapToGrid w:val="0"/>
                    </w:rPr>
                  </w:pPr>
                  <w:r w:rsidRPr="00FF4955">
                    <w:rPr>
                      <w:b/>
                      <w:snapToGrid w:val="0"/>
                    </w:rPr>
                    <w:t xml:space="preserve">Reporting Time Period: </w:t>
                  </w:r>
                  <w:r>
                    <w:rPr>
                      <w:snapToGrid w:val="0"/>
                    </w:rPr>
                    <w:t xml:space="preserve"> </w:t>
                  </w:r>
                  <w:r>
                    <w:rPr>
                      <w:b/>
                      <w:snapToGrid w:val="0"/>
                    </w:rPr>
                    <w:t xml:space="preserve">12 </w:t>
                  </w:r>
                  <w:r w:rsidRPr="008B335C">
                    <w:rPr>
                      <w:b/>
                      <w:snapToGrid w:val="0"/>
                    </w:rPr>
                    <w:t xml:space="preserve">months or </w:t>
                  </w:r>
                  <w:r w:rsidRPr="008B335C">
                    <w:rPr>
                      <w:b/>
                      <w:i/>
                      <w:snapToGrid w:val="0"/>
                    </w:rPr>
                    <w:t>optionally</w:t>
                  </w:r>
                  <w:r>
                    <w:rPr>
                      <w:b/>
                      <w:snapToGrid w:val="0"/>
                    </w:rPr>
                    <w:t xml:space="preserve"> the 24 </w:t>
                  </w:r>
                  <w:r w:rsidRPr="008B335C">
                    <w:rPr>
                      <w:b/>
                      <w:snapToGrid w:val="0"/>
                    </w:rPr>
                    <w:t>months</w:t>
                  </w:r>
                  <w:r>
                    <w:rPr>
                      <w:b/>
                      <w:snapToGrid w:val="0"/>
                    </w:rPr>
                    <w:t xml:space="preserve"> (annual average)</w:t>
                  </w:r>
                </w:p>
                <w:p w14:paraId="6A5181D7" w14:textId="77777777" w:rsidR="00AC66DF" w:rsidRPr="00B07F6E" w:rsidRDefault="00AC66DF" w:rsidP="00ED58C1">
                  <w:pPr>
                    <w:pStyle w:val="ListParagraph"/>
                    <w:numPr>
                      <w:ilvl w:val="0"/>
                      <w:numId w:val="79"/>
                    </w:numPr>
                    <w:rPr>
                      <w:i/>
                      <w:snapToGrid w:val="0"/>
                    </w:rPr>
                  </w:pPr>
                  <w:r>
                    <w:rPr>
                      <w:snapToGrid w:val="0"/>
                    </w:rPr>
                    <w:t>10/01/2014 – 09/30/2015 (12 months)</w:t>
                  </w:r>
                </w:p>
                <w:p w14:paraId="53EEFD8E" w14:textId="77777777" w:rsidR="00AC66DF" w:rsidRPr="00AC66DF" w:rsidRDefault="00AC66DF" w:rsidP="00190205">
                  <w:pPr>
                    <w:pStyle w:val="ListParagraph"/>
                    <w:numPr>
                      <w:ilvl w:val="0"/>
                      <w:numId w:val="79"/>
                    </w:numPr>
                    <w:spacing w:after="120"/>
                    <w:rPr>
                      <w:i/>
                      <w:snapToGrid w:val="0"/>
                    </w:rPr>
                  </w:pPr>
                  <w:r>
                    <w:rPr>
                      <w:snapToGrid w:val="0"/>
                    </w:rPr>
                    <w:t>10/01/2013 – 09/30/2015 (24 months annual average)</w:t>
                  </w:r>
                </w:p>
              </w:tc>
            </w:tr>
          </w:tbl>
          <w:p w14:paraId="23077B90" w14:textId="77777777" w:rsidR="00D32FAE" w:rsidRPr="0029519D" w:rsidRDefault="00AC66DF" w:rsidP="00AC66DF">
            <w:pPr>
              <w:pStyle w:val="ListParagraph"/>
              <w:rPr>
                <w:b/>
                <w:i/>
                <w:snapToGrid w:val="0"/>
              </w:rPr>
            </w:pPr>
            <w:r w:rsidRPr="00AC66DF">
              <w:rPr>
                <w:snapToGrid w:val="0"/>
              </w:rPr>
              <w:br/>
            </w:r>
          </w:p>
        </w:tc>
      </w:tr>
      <w:tr w:rsidR="005B2EEB" w14:paraId="3CC4010B"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7038" w:type="dxa"/>
            <w:vAlign w:val="center"/>
          </w:tcPr>
          <w:p w14:paraId="5C4CCD39" w14:textId="77777777" w:rsidR="005B2EEB" w:rsidRPr="0029519D" w:rsidRDefault="00D32FAE" w:rsidP="00ED58C1">
            <w:pPr>
              <w:pStyle w:val="ListParagraph"/>
              <w:numPr>
                <w:ilvl w:val="0"/>
                <w:numId w:val="53"/>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0969D9F4" w14:textId="77777777" w:rsidR="00D32FAE" w:rsidRPr="0029519D" w:rsidRDefault="00D32FAE" w:rsidP="00ED58C1">
            <w:pPr>
              <w:pStyle w:val="ListParagraph"/>
              <w:numPr>
                <w:ilvl w:val="0"/>
                <w:numId w:val="112"/>
              </w:numPr>
              <w:rPr>
                <w:i/>
                <w:snapToGrid w:val="0"/>
              </w:rPr>
            </w:pPr>
            <w:r w:rsidRPr="0029519D">
              <w:rPr>
                <w:snapToGrid w:val="0"/>
              </w:rPr>
              <w:t>10/01/2014 – 09/30/2015</w:t>
            </w:r>
          </w:p>
          <w:p w14:paraId="3CDB1BBD" w14:textId="77777777" w:rsidR="00584450" w:rsidRPr="0029519D" w:rsidRDefault="00D32FAE" w:rsidP="00ED58C1">
            <w:pPr>
              <w:pStyle w:val="ListParagraph"/>
              <w:numPr>
                <w:ilvl w:val="0"/>
                <w:numId w:val="112"/>
              </w:numPr>
              <w:rPr>
                <w:i/>
              </w:rPr>
            </w:pPr>
            <w:r w:rsidRPr="0029519D">
              <w:rPr>
                <w:snapToGrid w:val="0"/>
              </w:rPr>
              <w:t>10/01/2013 – 09/30/201</w:t>
            </w:r>
            <w:r w:rsidR="00674905" w:rsidRPr="0029519D">
              <w:rPr>
                <w:snapToGrid w:val="0"/>
              </w:rPr>
              <w:t>5</w:t>
            </w:r>
          </w:p>
        </w:tc>
      </w:tr>
      <w:tr w:rsidR="005B2EEB" w14:paraId="610C541A"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2"/>
        </w:trPr>
        <w:tc>
          <w:tcPr>
            <w:tcW w:w="7038" w:type="dxa"/>
            <w:vAlign w:val="center"/>
          </w:tcPr>
          <w:p w14:paraId="4668E59A" w14:textId="77777777" w:rsidR="005B2EEB" w:rsidRPr="0029519D" w:rsidRDefault="005B2EEB" w:rsidP="00190205">
            <w:pPr>
              <w:pStyle w:val="ListParagraph"/>
              <w:numPr>
                <w:ilvl w:val="0"/>
                <w:numId w:val="53"/>
              </w:numPr>
              <w:spacing w:before="120" w:after="120"/>
              <w:rPr>
                <w:snapToGrid w:val="0"/>
                <w:color w:val="000000"/>
              </w:rPr>
            </w:pPr>
            <w:r w:rsidRPr="0029519D">
              <w:rPr>
                <w:snapToGrid w:val="0"/>
                <w:color w:val="000000"/>
              </w:rPr>
              <w:t>Total number of patients (including those that expired) with a Pancreatic Resection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413D2048" w14:textId="77777777" w:rsidR="005B2EEB" w:rsidRPr="0029519D" w:rsidRDefault="005B2EEB" w:rsidP="00614016">
            <w:pPr>
              <w:jc w:val="center"/>
              <w:rPr>
                <w:i/>
              </w:rPr>
            </w:pPr>
            <w:r w:rsidRPr="0029519D">
              <w:t>_______</w:t>
            </w:r>
          </w:p>
        </w:tc>
      </w:tr>
      <w:tr w:rsidR="005B2EEB" w14:paraId="43284B37"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038" w:type="dxa"/>
            <w:vAlign w:val="center"/>
          </w:tcPr>
          <w:p w14:paraId="31036381" w14:textId="77777777" w:rsidR="005B2EEB" w:rsidRPr="0029519D" w:rsidRDefault="005B2EEB" w:rsidP="00190205">
            <w:pPr>
              <w:pStyle w:val="Header"/>
              <w:numPr>
                <w:ilvl w:val="0"/>
                <w:numId w:val="53"/>
              </w:numPr>
              <w:tabs>
                <w:tab w:val="clear" w:pos="4320"/>
                <w:tab w:val="clear" w:pos="8640"/>
              </w:tabs>
              <w:spacing w:before="120"/>
              <w:rPr>
                <w:snapToGrid w:val="0"/>
              </w:rPr>
            </w:pPr>
            <w:r w:rsidRPr="0029519D">
              <w:rPr>
                <w:snapToGrid w:val="0"/>
              </w:rPr>
              <w:t xml:space="preserve">Total number of patients </w:t>
            </w:r>
            <w:r w:rsidRPr="0029519D">
              <w:rPr>
                <w:snapToGrid w:val="0"/>
                <w:color w:val="000000"/>
              </w:rPr>
              <w:t xml:space="preserve">(including those that expired) </w:t>
            </w:r>
            <w:r w:rsidRPr="0029519D">
              <w:rPr>
                <w:snapToGrid w:val="0"/>
              </w:rPr>
              <w:t>in question #2 with a diagnosis of duodenal, biliary, or pancreatic cancer</w:t>
            </w:r>
          </w:p>
          <w:p w14:paraId="6A0D2194" w14:textId="77777777" w:rsidR="005B2EEB" w:rsidRPr="0029519D" w:rsidRDefault="00796154" w:rsidP="00190205">
            <w:pPr>
              <w:pStyle w:val="Header"/>
              <w:tabs>
                <w:tab w:val="clear" w:pos="4320"/>
                <w:tab w:val="clear" w:pos="8640"/>
              </w:tabs>
              <w:spacing w:after="120"/>
              <w:ind w:left="360"/>
              <w:rPr>
                <w:snapToGrid w:val="0"/>
              </w:rPr>
            </w:pPr>
            <w:r w:rsidRPr="0029519D">
              <w:rPr>
                <w:i/>
                <w:snapToGrid w:val="0"/>
                <w:color w:val="000000"/>
              </w:rPr>
              <w:br/>
            </w:r>
            <w:r w:rsidR="005B2EEB" w:rsidRPr="0029519D">
              <w:rPr>
                <w:i/>
                <w:snapToGrid w:val="0"/>
                <w:color w:val="000000"/>
              </w:rPr>
              <w:t>Annual number of patients for the volume Reporting Time Period</w:t>
            </w:r>
            <w:r w:rsidR="005B2EEB" w:rsidRPr="0029519D">
              <w:rPr>
                <w:i/>
                <w:snapToGrid w:val="0"/>
                <w:color w:val="000000"/>
              </w:rPr>
              <w:br/>
              <w:t>(or annual average if reporting on 24 months of data)</w:t>
            </w:r>
          </w:p>
        </w:tc>
        <w:tc>
          <w:tcPr>
            <w:tcW w:w="2430" w:type="dxa"/>
            <w:vAlign w:val="center"/>
          </w:tcPr>
          <w:p w14:paraId="14CE232E" w14:textId="77777777" w:rsidR="005B2EEB" w:rsidRPr="0029519D" w:rsidRDefault="005B2EEB" w:rsidP="00614016">
            <w:pPr>
              <w:jc w:val="center"/>
            </w:pPr>
            <w:r w:rsidRPr="0029519D">
              <w:t>_______</w:t>
            </w:r>
          </w:p>
        </w:tc>
      </w:tr>
      <w:tr w:rsidR="005B2EEB" w14:paraId="4ACCAE55"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7038" w:type="dxa"/>
            <w:vAlign w:val="center"/>
          </w:tcPr>
          <w:p w14:paraId="7BDA5CF6" w14:textId="4E531F73" w:rsidR="005B2EEB" w:rsidRPr="0029519D" w:rsidRDefault="005B2EEB" w:rsidP="00190205">
            <w:pPr>
              <w:pStyle w:val="Header"/>
              <w:numPr>
                <w:ilvl w:val="0"/>
                <w:numId w:val="53"/>
              </w:numPr>
              <w:tabs>
                <w:tab w:val="clear" w:pos="4320"/>
                <w:tab w:val="clear" w:pos="8640"/>
              </w:tabs>
              <w:spacing w:before="120" w:after="120"/>
              <w:rPr>
                <w:snapToGrid w:val="0"/>
              </w:rPr>
            </w:pPr>
            <w:r w:rsidRPr="0029519D">
              <w:rPr>
                <w:snapToGrid w:val="0"/>
              </w:rPr>
              <w:t>How many patients included in question #3 died in the hospital following this procedure? (</w:t>
            </w:r>
            <w:hyperlink w:anchor="Endnote15" w:history="1">
              <w:r w:rsidRPr="005C141D">
                <w:rPr>
                  <w:rStyle w:val="Hyperlink"/>
                  <w:snapToGrid w:val="0"/>
                </w:rPr>
                <w:t>More information</w:t>
              </w:r>
            </w:hyperlink>
            <w:r w:rsidRPr="0029519D">
              <w:rPr>
                <w:snapToGrid w:val="0"/>
              </w:rPr>
              <w:t>)</w:t>
            </w:r>
            <w:r w:rsidR="00674905" w:rsidRPr="0029519D">
              <w:rPr>
                <w:snapToGrid w:val="0"/>
                <w:vertAlign w:val="superscript"/>
              </w:rPr>
              <w:t>15</w:t>
            </w:r>
            <w:r w:rsidRPr="0029519D">
              <w:rPr>
                <w:snapToGrid w:val="0"/>
              </w:rPr>
              <w:br/>
            </w:r>
            <w:r w:rsidR="00796154" w:rsidRPr="0029519D">
              <w:rPr>
                <w:i/>
                <w:snapToGrid w:val="0"/>
                <w:color w:val="000000"/>
              </w:rPr>
              <w:br/>
            </w:r>
            <w:r w:rsidR="00496D10">
              <w:rPr>
                <w:i/>
                <w:snapToGrid w:val="0"/>
                <w:color w:val="000000"/>
              </w:rPr>
              <w:t>(A</w:t>
            </w:r>
            <w:r w:rsidRPr="0029519D">
              <w:rPr>
                <w:i/>
                <w:snapToGrid w:val="0"/>
                <w:color w:val="000000"/>
              </w:rPr>
              <w:t>nnual average if reporting on 24 months of data)</w:t>
            </w:r>
          </w:p>
        </w:tc>
        <w:tc>
          <w:tcPr>
            <w:tcW w:w="2430" w:type="dxa"/>
            <w:vAlign w:val="center"/>
          </w:tcPr>
          <w:p w14:paraId="032D3D5C" w14:textId="77777777" w:rsidR="005B2EEB" w:rsidRPr="0029519D" w:rsidRDefault="005B2EEB" w:rsidP="00614016">
            <w:pPr>
              <w:jc w:val="center"/>
            </w:pPr>
            <w:r w:rsidRPr="0029519D">
              <w:t>_______</w:t>
            </w:r>
          </w:p>
          <w:p w14:paraId="7997ACCA" w14:textId="77777777" w:rsidR="005B2EEB" w:rsidRPr="0029519D" w:rsidRDefault="005B2EEB" w:rsidP="00614016">
            <w:pPr>
              <w:jc w:val="center"/>
            </w:pPr>
          </w:p>
        </w:tc>
      </w:tr>
    </w:tbl>
    <w:p w14:paraId="2948C17B" w14:textId="77777777" w:rsidR="005B2EEB" w:rsidRDefault="005B2EEB" w:rsidP="005B2EEB"/>
    <w:p w14:paraId="673353EA" w14:textId="77777777" w:rsidR="005B2EEB" w:rsidRDefault="005B2EEB" w:rsidP="005B2EEB"/>
    <w:p w14:paraId="372715BE" w14:textId="77777777" w:rsidR="005B2EEB" w:rsidRDefault="005B2EEB" w:rsidP="00954B73">
      <w:pPr>
        <w:pStyle w:val="Heading2"/>
        <w:rPr>
          <w:snapToGrid w:val="0"/>
          <w:color w:val="000000"/>
        </w:rPr>
      </w:pPr>
      <w:r>
        <w:rPr>
          <w:snapToGrid w:val="0"/>
        </w:rPr>
        <w:br w:type="page"/>
      </w:r>
      <w:bookmarkStart w:id="82" w:name="_Toc447194989"/>
      <w:r w:rsidR="00764B45">
        <w:rPr>
          <w:snapToGrid w:val="0"/>
        </w:rPr>
        <w:lastRenderedPageBreak/>
        <w:t>3E</w:t>
      </w:r>
      <w:r>
        <w:rPr>
          <w:snapToGrid w:val="0"/>
        </w:rPr>
        <w:t>: Esophagectomy</w:t>
      </w:r>
      <w:bookmarkEnd w:id="82"/>
      <w:r>
        <w:rPr>
          <w:snapToGrid w:val="0"/>
          <w:color w:val="000000"/>
        </w:rPr>
        <w:t xml:space="preserve"> </w:t>
      </w:r>
    </w:p>
    <w:p w14:paraId="7179FCC7" w14:textId="77777777" w:rsidR="005B2EEB" w:rsidRDefault="005B2EEB" w:rsidP="005B2EEB">
      <w:pPr>
        <w:pStyle w:val="Header"/>
        <w:tabs>
          <w:tab w:val="clear" w:pos="4320"/>
          <w:tab w:val="clear" w:pos="8640"/>
        </w:tabs>
        <w:rPr>
          <w:b/>
          <w:i/>
          <w:snapToGrid w:val="0"/>
          <w:color w:val="000000"/>
        </w:rPr>
      </w:pPr>
    </w:p>
    <w:p w14:paraId="6FE34791" w14:textId="77777777" w:rsidR="005B2EEB" w:rsidRDefault="005B2EEB" w:rsidP="005B2EEB">
      <w:pPr>
        <w:pStyle w:val="Header"/>
        <w:tabs>
          <w:tab w:val="clear" w:pos="4320"/>
          <w:tab w:val="clear" w:pos="8640"/>
        </w:tabs>
        <w:rPr>
          <w:i/>
          <w:snapToGrid w:val="0"/>
          <w:color w:val="000000"/>
        </w:rPr>
      </w:pPr>
      <w:r>
        <w:rPr>
          <w:i/>
          <w:snapToGrid w:val="0"/>
          <w:color w:val="000000"/>
        </w:rPr>
        <w:t>If you answered “</w:t>
      </w:r>
      <w:r w:rsidRPr="00032EBA">
        <w:rPr>
          <w:i/>
          <w:snapToGrid w:val="0"/>
          <w:color w:val="000000"/>
        </w:rPr>
        <w:t>Yes</w:t>
      </w:r>
      <w:r>
        <w:rPr>
          <w:i/>
          <w:snapToGrid w:val="0"/>
          <w:color w:val="000000"/>
        </w:rPr>
        <w:t>”</w:t>
      </w:r>
      <w:r w:rsidRPr="00032EBA">
        <w:rPr>
          <w:i/>
          <w:snapToGrid w:val="0"/>
          <w:color w:val="000000"/>
        </w:rPr>
        <w:t xml:space="preserve"> to </w:t>
      </w:r>
      <w:r>
        <w:rPr>
          <w:i/>
          <w:snapToGrid w:val="0"/>
          <w:color w:val="000000"/>
        </w:rPr>
        <w:t xml:space="preserve">question </w:t>
      </w:r>
      <w:r w:rsidR="003373C4">
        <w:rPr>
          <w:i/>
          <w:snapToGrid w:val="0"/>
          <w:color w:val="000000"/>
        </w:rPr>
        <w:t>#4 in Section 3A</w:t>
      </w:r>
      <w:r w:rsidRPr="002C1510">
        <w:rPr>
          <w:i/>
          <w:snapToGrid w:val="0"/>
          <w:color w:val="000000"/>
        </w:rPr>
        <w:t xml:space="preserve">, </w:t>
      </w:r>
      <w:r>
        <w:rPr>
          <w:i/>
          <w:snapToGrid w:val="0"/>
          <w:color w:val="000000"/>
        </w:rPr>
        <w:t xml:space="preserve">indicating that you perform Esophagectomy, </w:t>
      </w:r>
      <w:r w:rsidRPr="002C1510">
        <w:rPr>
          <w:i/>
          <w:snapToGrid w:val="0"/>
          <w:color w:val="000000"/>
        </w:rPr>
        <w:t>complete</w:t>
      </w:r>
      <w:r>
        <w:rPr>
          <w:i/>
          <w:snapToGrid w:val="0"/>
          <w:color w:val="000000"/>
        </w:rPr>
        <w:t xml:space="preserve"> these questions pertaining to this high-risk surgery.</w:t>
      </w:r>
    </w:p>
    <w:p w14:paraId="7D3D6774" w14:textId="77777777" w:rsidR="005B2EEB" w:rsidRDefault="005B2EEB" w:rsidP="005B2EEB">
      <w:pPr>
        <w:pStyle w:val="Header"/>
        <w:tabs>
          <w:tab w:val="clear" w:pos="4320"/>
          <w:tab w:val="clear" w:pos="8640"/>
        </w:tabs>
        <w:rPr>
          <w:snapToGrid w:val="0"/>
          <w:color w:val="000000"/>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rsidRPr="00607CD9" w14:paraId="75CC0BFA" w14:textId="77777777" w:rsidTr="00614016">
        <w:trPr>
          <w:cantSplit/>
        </w:trPr>
        <w:tc>
          <w:tcPr>
            <w:tcW w:w="9468" w:type="dxa"/>
            <w:gridSpan w:val="2"/>
            <w:tcBorders>
              <w:top w:val="single" w:sz="24" w:space="0" w:color="auto"/>
            </w:tcBorders>
          </w:tcPr>
          <w:p w14:paraId="37B6CEFE" w14:textId="77777777" w:rsidR="005B2EEB" w:rsidRPr="00607CD9" w:rsidRDefault="005B2EEB" w:rsidP="00614016">
            <w:pPr>
              <w:rPr>
                <w:b/>
              </w:rPr>
            </w:pPr>
          </w:p>
          <w:p w14:paraId="7B2FB7DE" w14:textId="77777777" w:rsidR="005B2EEB" w:rsidRPr="00607CD9" w:rsidRDefault="005B2EEB" w:rsidP="007A44CB">
            <w:pPr>
              <w:pStyle w:val="Heading3"/>
              <w:rPr>
                <w:snapToGrid w:val="0"/>
                <w:color w:val="000000"/>
              </w:rPr>
            </w:pPr>
            <w:bookmarkStart w:id="83" w:name="_Toc447194990"/>
            <w:r w:rsidRPr="00607CD9">
              <w:rPr>
                <w:snapToGrid w:val="0"/>
              </w:rPr>
              <w:t xml:space="preserve">Esophagectomy </w:t>
            </w:r>
            <w:r w:rsidRPr="00607CD9">
              <w:rPr>
                <w:snapToGrid w:val="0"/>
                <w:color w:val="000000"/>
              </w:rPr>
              <w:t>– Volume</w:t>
            </w:r>
            <w:bookmarkEnd w:id="83"/>
            <w:r w:rsidRPr="00607CD9">
              <w:rPr>
                <w:snapToGrid w:val="0"/>
                <w:color w:val="000000"/>
              </w:rPr>
              <w:t xml:space="preserve"> </w:t>
            </w:r>
          </w:p>
          <w:p w14:paraId="70ADB86E" w14:textId="77777777" w:rsidR="005B2EEB" w:rsidRPr="00607CD9" w:rsidRDefault="005B2EEB" w:rsidP="00614016">
            <w:pPr>
              <w:rPr>
                <w:snapToGrid w:val="0"/>
              </w:rPr>
            </w:pPr>
          </w:p>
          <w:p w14:paraId="53894CAB" w14:textId="77777777" w:rsidR="005B2EEB" w:rsidRPr="00607CD9" w:rsidRDefault="005B2EEB" w:rsidP="00614016">
            <w:pPr>
              <w:rPr>
                <w:snapToGrid w:val="0"/>
              </w:rPr>
            </w:pPr>
            <w:r w:rsidRPr="00607CD9">
              <w:rPr>
                <w:b/>
                <w:snapToGrid w:val="0"/>
              </w:rPr>
              <w:t>Specifications:</w:t>
            </w:r>
            <w:r w:rsidRPr="00607CD9">
              <w:rPr>
                <w:snapToGrid w:val="0"/>
              </w:rPr>
              <w:t xml:space="preserve"> See </w:t>
            </w:r>
            <w:hyperlink w:anchor="EsophVol" w:history="1">
              <w:r w:rsidRPr="00607CD9">
                <w:rPr>
                  <w:rStyle w:val="Hyperlink"/>
                  <w:b/>
                  <w:i/>
                  <w:snapToGrid w:val="0"/>
                </w:rPr>
                <w:t>Esophagectomy Volume Standard</w:t>
              </w:r>
            </w:hyperlink>
            <w:r w:rsidRPr="00607CD9">
              <w:rPr>
                <w:snapToGrid w:val="0"/>
              </w:rPr>
              <w:t xml:space="preserve"> in the EBHR Reference Information on page 5</w:t>
            </w:r>
            <w:r w:rsidR="008434B7" w:rsidRPr="00607CD9">
              <w:rPr>
                <w:snapToGrid w:val="0"/>
              </w:rPr>
              <w:t>0</w:t>
            </w:r>
            <w:r w:rsidRPr="00607CD9">
              <w:rPr>
                <w:snapToGrid w:val="0"/>
              </w:rPr>
              <w:t xml:space="preserve">. </w:t>
            </w:r>
          </w:p>
          <w:p w14:paraId="59A226A7" w14:textId="77777777" w:rsidR="00AC66DF" w:rsidRPr="00607CD9" w:rsidRDefault="00AC66DF" w:rsidP="00AC66DF">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rsidRPr="00607CD9" w14:paraId="4EBB93CF" w14:textId="77777777" w:rsidTr="000469EC">
              <w:tc>
                <w:tcPr>
                  <w:tcW w:w="9673" w:type="dxa"/>
                </w:tcPr>
                <w:p w14:paraId="3CB1C609" w14:textId="77777777" w:rsidR="00AC66DF" w:rsidRPr="00607CD9" w:rsidRDefault="00AC66DF" w:rsidP="00190205">
                  <w:pPr>
                    <w:spacing w:before="120"/>
                    <w:rPr>
                      <w:snapToGrid w:val="0"/>
                    </w:rPr>
                  </w:pPr>
                  <w:r w:rsidRPr="00607CD9">
                    <w:rPr>
                      <w:b/>
                      <w:snapToGrid w:val="0"/>
                    </w:rPr>
                    <w:t xml:space="preserve">Reporting Time Period: </w:t>
                  </w:r>
                  <w:r w:rsidRPr="00607CD9">
                    <w:rPr>
                      <w:snapToGrid w:val="0"/>
                    </w:rPr>
                    <w:t xml:space="preserve"> </w:t>
                  </w:r>
                  <w:r w:rsidRPr="00607CD9">
                    <w:rPr>
                      <w:b/>
                      <w:snapToGrid w:val="0"/>
                    </w:rPr>
                    <w:t xml:space="preserve">12 months or </w:t>
                  </w:r>
                  <w:r w:rsidRPr="00607CD9">
                    <w:rPr>
                      <w:b/>
                      <w:i/>
                      <w:snapToGrid w:val="0"/>
                    </w:rPr>
                    <w:t>optionally</w:t>
                  </w:r>
                  <w:r w:rsidRPr="00607CD9">
                    <w:rPr>
                      <w:b/>
                      <w:snapToGrid w:val="0"/>
                    </w:rPr>
                    <w:t xml:space="preserve"> the 24 months (annual average)</w:t>
                  </w:r>
                </w:p>
                <w:p w14:paraId="0B071A4B" w14:textId="77777777" w:rsidR="00AC66DF" w:rsidRPr="00607CD9" w:rsidRDefault="00AC66DF" w:rsidP="00ED58C1">
                  <w:pPr>
                    <w:pStyle w:val="ListParagraph"/>
                    <w:numPr>
                      <w:ilvl w:val="0"/>
                      <w:numId w:val="79"/>
                    </w:numPr>
                    <w:rPr>
                      <w:i/>
                      <w:snapToGrid w:val="0"/>
                    </w:rPr>
                  </w:pPr>
                  <w:r w:rsidRPr="00607CD9">
                    <w:rPr>
                      <w:snapToGrid w:val="0"/>
                    </w:rPr>
                    <w:t>10/01/2014 – 09/30/2015 (12 months)</w:t>
                  </w:r>
                </w:p>
                <w:p w14:paraId="2A886C9D" w14:textId="77777777" w:rsidR="00AC66DF" w:rsidRPr="00607CD9" w:rsidRDefault="00AC66DF" w:rsidP="00190205">
                  <w:pPr>
                    <w:pStyle w:val="ListParagraph"/>
                    <w:numPr>
                      <w:ilvl w:val="0"/>
                      <w:numId w:val="79"/>
                    </w:numPr>
                    <w:spacing w:after="120"/>
                    <w:rPr>
                      <w:i/>
                      <w:snapToGrid w:val="0"/>
                    </w:rPr>
                  </w:pPr>
                  <w:r w:rsidRPr="00607CD9">
                    <w:rPr>
                      <w:snapToGrid w:val="0"/>
                    </w:rPr>
                    <w:t>10/01/2013 – 09/30/2015 (24 months annual average)</w:t>
                  </w:r>
                </w:p>
              </w:tc>
            </w:tr>
          </w:tbl>
          <w:p w14:paraId="0D223EB3" w14:textId="77777777" w:rsidR="005B2EEB" w:rsidRPr="00607CD9" w:rsidRDefault="005B2EEB" w:rsidP="00D32FAE">
            <w:pPr>
              <w:ind w:left="360"/>
              <w:rPr>
                <w:i/>
                <w:snapToGrid w:val="0"/>
              </w:rPr>
            </w:pPr>
            <w:r w:rsidRPr="00607CD9">
              <w:rPr>
                <w:snapToGrid w:val="0"/>
              </w:rPr>
              <w:br/>
            </w:r>
          </w:p>
        </w:tc>
      </w:tr>
      <w:tr w:rsidR="005B2EEB" w14:paraId="0D72F153"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2FF46371" w14:textId="77777777" w:rsidR="005B2EEB" w:rsidRPr="0029519D" w:rsidRDefault="00D32FAE" w:rsidP="00ED58C1">
            <w:pPr>
              <w:pStyle w:val="ListParagraph"/>
              <w:numPr>
                <w:ilvl w:val="0"/>
                <w:numId w:val="54"/>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4D97B600" w14:textId="77777777" w:rsidR="00D32FAE" w:rsidRPr="0029519D" w:rsidRDefault="00D32FAE" w:rsidP="00ED58C1">
            <w:pPr>
              <w:pStyle w:val="ListParagraph"/>
              <w:numPr>
                <w:ilvl w:val="0"/>
                <w:numId w:val="113"/>
              </w:numPr>
              <w:rPr>
                <w:i/>
                <w:snapToGrid w:val="0"/>
              </w:rPr>
            </w:pPr>
            <w:r w:rsidRPr="0029519D">
              <w:rPr>
                <w:snapToGrid w:val="0"/>
              </w:rPr>
              <w:t>10/01/2014 – 09/30/2015</w:t>
            </w:r>
          </w:p>
          <w:p w14:paraId="502DF092" w14:textId="77777777" w:rsidR="005B2EEB" w:rsidRPr="0029519D" w:rsidRDefault="00D32FAE" w:rsidP="00ED58C1">
            <w:pPr>
              <w:pStyle w:val="ListParagraph"/>
              <w:numPr>
                <w:ilvl w:val="0"/>
                <w:numId w:val="113"/>
              </w:numPr>
              <w:rPr>
                <w:i/>
              </w:rPr>
            </w:pPr>
            <w:r w:rsidRPr="0029519D">
              <w:rPr>
                <w:snapToGrid w:val="0"/>
              </w:rPr>
              <w:t>10/01/2013 – 09/30/201</w:t>
            </w:r>
            <w:r w:rsidR="00CD6028" w:rsidRPr="0029519D">
              <w:rPr>
                <w:snapToGrid w:val="0"/>
              </w:rPr>
              <w:t>5</w:t>
            </w:r>
          </w:p>
        </w:tc>
      </w:tr>
      <w:tr w:rsidR="005B2EEB" w14:paraId="4D8ADD00"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2"/>
        </w:trPr>
        <w:tc>
          <w:tcPr>
            <w:tcW w:w="7038" w:type="dxa"/>
            <w:vAlign w:val="center"/>
          </w:tcPr>
          <w:p w14:paraId="0DA0C04B" w14:textId="77777777" w:rsidR="00796154" w:rsidRPr="0029519D" w:rsidRDefault="005B2EEB" w:rsidP="00190205">
            <w:pPr>
              <w:pStyle w:val="ListParagraph"/>
              <w:numPr>
                <w:ilvl w:val="0"/>
                <w:numId w:val="54"/>
              </w:numPr>
              <w:spacing w:before="120"/>
              <w:rPr>
                <w:snapToGrid w:val="0"/>
                <w:color w:val="000000"/>
              </w:rPr>
            </w:pPr>
            <w:r w:rsidRPr="0029519D">
              <w:rPr>
                <w:snapToGrid w:val="0"/>
                <w:color w:val="000000"/>
              </w:rPr>
              <w:t>Total number of patients (including those that expired) with an Esophagectomy procedure at this hospital location.</w:t>
            </w:r>
            <w:r w:rsidRPr="0029519D">
              <w:rPr>
                <w:snapToGrid w:val="0"/>
                <w:color w:val="000000"/>
              </w:rPr>
              <w:br/>
            </w:r>
          </w:p>
          <w:p w14:paraId="6AFDA721" w14:textId="77777777" w:rsidR="005B2EEB" w:rsidRPr="0029519D" w:rsidRDefault="005B2EEB" w:rsidP="00190205">
            <w:pPr>
              <w:pStyle w:val="ListParagraph"/>
              <w:spacing w:after="120"/>
              <w:ind w:left="360"/>
              <w:rPr>
                <w:snapToGrid w:val="0"/>
                <w:color w:val="000000"/>
              </w:rPr>
            </w:pPr>
            <w:r w:rsidRPr="0029519D">
              <w:rPr>
                <w:i/>
                <w:snapToGrid w:val="0"/>
                <w:color w:val="000000"/>
              </w:rPr>
              <w:t xml:space="preserve">Annual number of patients for the volume Reporting Time Period </w:t>
            </w:r>
            <w:r w:rsidRPr="0029519D">
              <w:rPr>
                <w:i/>
                <w:snapToGrid w:val="0"/>
                <w:color w:val="000000"/>
              </w:rPr>
              <w:br/>
              <w:t>(or annual average if reporting on 24 months of data)</w:t>
            </w:r>
          </w:p>
        </w:tc>
        <w:tc>
          <w:tcPr>
            <w:tcW w:w="2430" w:type="dxa"/>
          </w:tcPr>
          <w:p w14:paraId="20018B6F" w14:textId="77777777" w:rsidR="005B2EEB" w:rsidRPr="0029519D" w:rsidRDefault="005B2EEB" w:rsidP="00614016">
            <w:pPr>
              <w:jc w:val="center"/>
            </w:pPr>
          </w:p>
          <w:p w14:paraId="764EF145" w14:textId="77777777" w:rsidR="005B2EEB" w:rsidRPr="0029519D" w:rsidRDefault="005B2EEB" w:rsidP="00614016">
            <w:pPr>
              <w:jc w:val="center"/>
              <w:rPr>
                <w:i/>
              </w:rPr>
            </w:pPr>
            <w:r w:rsidRPr="0029519D">
              <w:t>_______</w:t>
            </w:r>
          </w:p>
        </w:tc>
      </w:tr>
      <w:tr w:rsidR="005B2EEB" w14:paraId="70FC49B2"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038" w:type="dxa"/>
            <w:vAlign w:val="center"/>
          </w:tcPr>
          <w:p w14:paraId="634D296E" w14:textId="77777777" w:rsidR="005B2EEB" w:rsidRDefault="005B2EEB" w:rsidP="00190205">
            <w:pPr>
              <w:pStyle w:val="Header"/>
              <w:numPr>
                <w:ilvl w:val="0"/>
                <w:numId w:val="54"/>
              </w:numPr>
              <w:tabs>
                <w:tab w:val="clear" w:pos="4320"/>
                <w:tab w:val="clear" w:pos="8640"/>
              </w:tabs>
              <w:spacing w:before="120"/>
              <w:rPr>
                <w:snapToGrid w:val="0"/>
              </w:rPr>
            </w:pPr>
            <w:r>
              <w:rPr>
                <w:snapToGrid w:val="0"/>
              </w:rPr>
              <w:t xml:space="preserve">Total number of patients </w:t>
            </w:r>
            <w:r>
              <w:rPr>
                <w:snapToGrid w:val="0"/>
                <w:color w:val="000000"/>
              </w:rPr>
              <w:t xml:space="preserve">(including those that expired) </w:t>
            </w:r>
            <w:r>
              <w:rPr>
                <w:snapToGrid w:val="0"/>
              </w:rPr>
              <w:t>in question #2 with a diagnosis of esophageal cancer</w:t>
            </w:r>
          </w:p>
          <w:p w14:paraId="223B5866" w14:textId="77777777" w:rsidR="005B2EEB" w:rsidRDefault="00796154" w:rsidP="00614016">
            <w:pPr>
              <w:pStyle w:val="Header"/>
              <w:tabs>
                <w:tab w:val="clear" w:pos="4320"/>
                <w:tab w:val="clear" w:pos="8640"/>
              </w:tabs>
              <w:ind w:left="360"/>
              <w:rPr>
                <w:snapToGrid w:val="0"/>
              </w:rPr>
            </w:pPr>
            <w:r>
              <w:rPr>
                <w:i/>
                <w:snapToGrid w:val="0"/>
                <w:color w:val="000000"/>
              </w:rPr>
              <w:br/>
            </w:r>
            <w:r w:rsidR="005B2EEB">
              <w:rPr>
                <w:i/>
                <w:snapToGrid w:val="0"/>
                <w:color w:val="000000"/>
              </w:rPr>
              <w:t>Annual number of patients for the volume Reporting Time Period</w:t>
            </w:r>
          </w:p>
          <w:p w14:paraId="59BB090F" w14:textId="77777777" w:rsidR="005B2EEB" w:rsidRDefault="005B2EEB" w:rsidP="00190205">
            <w:pPr>
              <w:pStyle w:val="Header"/>
              <w:tabs>
                <w:tab w:val="clear" w:pos="4320"/>
                <w:tab w:val="clear" w:pos="8640"/>
              </w:tabs>
              <w:spacing w:after="120"/>
              <w:ind w:left="360"/>
              <w:rPr>
                <w:snapToGrid w:val="0"/>
              </w:rPr>
            </w:pPr>
            <w:r>
              <w:rPr>
                <w:i/>
                <w:snapToGrid w:val="0"/>
                <w:color w:val="000000"/>
              </w:rPr>
              <w:t>(or annual average if reporting on 24 months of data)</w:t>
            </w:r>
          </w:p>
        </w:tc>
        <w:tc>
          <w:tcPr>
            <w:tcW w:w="2430" w:type="dxa"/>
            <w:vAlign w:val="center"/>
          </w:tcPr>
          <w:p w14:paraId="775773A4" w14:textId="77777777" w:rsidR="005B2EEB" w:rsidRDefault="005B2EEB" w:rsidP="00614016">
            <w:pPr>
              <w:jc w:val="center"/>
            </w:pPr>
            <w:r>
              <w:t>_______</w:t>
            </w:r>
          </w:p>
        </w:tc>
      </w:tr>
      <w:tr w:rsidR="005B2EEB" w14:paraId="6E33CDF0"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7038" w:type="dxa"/>
            <w:vAlign w:val="center"/>
          </w:tcPr>
          <w:p w14:paraId="19A419E4" w14:textId="69946FC3" w:rsidR="005B2EEB" w:rsidRDefault="005B2EEB" w:rsidP="00190205">
            <w:pPr>
              <w:pStyle w:val="Header"/>
              <w:numPr>
                <w:ilvl w:val="0"/>
                <w:numId w:val="54"/>
              </w:numPr>
              <w:tabs>
                <w:tab w:val="clear" w:pos="4320"/>
                <w:tab w:val="clear" w:pos="8640"/>
              </w:tabs>
              <w:spacing w:before="120" w:after="120"/>
              <w:rPr>
                <w:snapToGrid w:val="0"/>
              </w:rPr>
            </w:pPr>
            <w:r>
              <w:rPr>
                <w:snapToGrid w:val="0"/>
              </w:rPr>
              <w:t xml:space="preserve">How many patients included in </w:t>
            </w:r>
            <w:r w:rsidRPr="002C1510">
              <w:rPr>
                <w:snapToGrid w:val="0"/>
              </w:rPr>
              <w:t>question #3 died in the hospital following this procedure? (</w:t>
            </w:r>
            <w:hyperlink w:anchor="Endnote15" w:history="1">
              <w:r w:rsidRPr="005C141D">
                <w:rPr>
                  <w:rStyle w:val="Hyperlink"/>
                  <w:snapToGrid w:val="0"/>
                </w:rPr>
                <w:t>More information</w:t>
              </w:r>
            </w:hyperlink>
            <w:r w:rsidRPr="0029519D">
              <w:rPr>
                <w:snapToGrid w:val="0"/>
              </w:rPr>
              <w:t>)</w:t>
            </w:r>
            <w:r w:rsidR="00674905" w:rsidRPr="0029519D">
              <w:rPr>
                <w:snapToGrid w:val="0"/>
                <w:vertAlign w:val="superscript"/>
              </w:rPr>
              <w:t>15</w:t>
            </w:r>
            <w:r>
              <w:rPr>
                <w:snapToGrid w:val="0"/>
              </w:rPr>
              <w:br/>
            </w:r>
            <w:r w:rsidR="00796154">
              <w:rPr>
                <w:i/>
                <w:snapToGrid w:val="0"/>
                <w:color w:val="000000"/>
              </w:rPr>
              <w:br/>
            </w:r>
            <w:r w:rsidR="00496D10">
              <w:rPr>
                <w:i/>
                <w:snapToGrid w:val="0"/>
                <w:color w:val="000000"/>
              </w:rPr>
              <w:t>(A</w:t>
            </w:r>
            <w:r>
              <w:rPr>
                <w:i/>
                <w:snapToGrid w:val="0"/>
                <w:color w:val="000000"/>
              </w:rPr>
              <w:t>nnual average if reporting on 24 months of data)</w:t>
            </w:r>
          </w:p>
        </w:tc>
        <w:tc>
          <w:tcPr>
            <w:tcW w:w="2430" w:type="dxa"/>
            <w:vAlign w:val="center"/>
          </w:tcPr>
          <w:p w14:paraId="47820CC8" w14:textId="77777777" w:rsidR="005B2EEB" w:rsidRDefault="005B2EEB" w:rsidP="00614016">
            <w:pPr>
              <w:jc w:val="center"/>
            </w:pPr>
            <w:r>
              <w:t>_______</w:t>
            </w:r>
          </w:p>
          <w:p w14:paraId="63311D09" w14:textId="77777777" w:rsidR="005B2EEB" w:rsidRDefault="005B2EEB" w:rsidP="00614016">
            <w:pPr>
              <w:jc w:val="center"/>
            </w:pPr>
          </w:p>
        </w:tc>
      </w:tr>
    </w:tbl>
    <w:p w14:paraId="54707110" w14:textId="77777777" w:rsidR="005B2EEB" w:rsidRDefault="005B2EEB" w:rsidP="005B2EEB">
      <w:pPr>
        <w:rPr>
          <w:b/>
          <w:snapToGrid w:val="0"/>
          <w:color w:val="000000"/>
        </w:rPr>
      </w:pPr>
    </w:p>
    <w:p w14:paraId="78AE5CD5" w14:textId="77777777" w:rsidR="005B2EEB" w:rsidRDefault="005B2EEB" w:rsidP="005B2EEB">
      <w:pPr>
        <w:rPr>
          <w:b/>
          <w:snapToGrid w:val="0"/>
          <w:color w:val="000000"/>
        </w:rPr>
      </w:pPr>
    </w:p>
    <w:p w14:paraId="542C5868" w14:textId="77777777" w:rsidR="005B2EEB" w:rsidRDefault="005B2EEB" w:rsidP="005B2EEB">
      <w:pPr>
        <w:rPr>
          <w:b/>
          <w:snapToGrid w:val="0"/>
          <w:color w:val="000000"/>
        </w:rPr>
      </w:pPr>
      <w:r>
        <w:rPr>
          <w:b/>
          <w:snapToGrid w:val="0"/>
          <w:color w:val="000000"/>
        </w:rPr>
        <w:br w:type="page"/>
      </w:r>
    </w:p>
    <w:p w14:paraId="44485F87" w14:textId="77777777" w:rsidR="005B2EEB" w:rsidRPr="0079722D" w:rsidRDefault="005B2EEB" w:rsidP="005B2EEB">
      <w:pPr>
        <w:rPr>
          <w:b/>
          <w:snapToGrid w:val="0"/>
          <w:color w:val="000000"/>
        </w:rPr>
      </w:pPr>
      <w:r w:rsidRPr="0079722D">
        <w:rPr>
          <w:b/>
          <w:snapToGrid w:val="0"/>
          <w:color w:val="000000"/>
        </w:rPr>
        <w:lastRenderedPageBreak/>
        <w:t>Affirmation of Accuracy</w:t>
      </w:r>
    </w:p>
    <w:p w14:paraId="27859E67" w14:textId="77777777" w:rsidR="005B2EEB" w:rsidRPr="0079722D" w:rsidRDefault="005B2EEB" w:rsidP="005B2EEB">
      <w:pPr>
        <w:jc w:val="both"/>
        <w:rPr>
          <w:rFonts w:cs="Arial"/>
          <w:i/>
          <w:iCs/>
        </w:rPr>
      </w:pPr>
    </w:p>
    <w:p w14:paraId="4C1A9F86"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Evidence-Based Hospital Referral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466A3CF" w14:textId="77777777" w:rsidR="00456023" w:rsidRPr="00362B11" w:rsidRDefault="00456023" w:rsidP="00456023">
      <w:pPr>
        <w:rPr>
          <w:rFonts w:cs="Arial"/>
          <w:color w:val="000000"/>
        </w:rPr>
      </w:pPr>
    </w:p>
    <w:p w14:paraId="60A704A7"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026A6D50" w14:textId="77777777" w:rsidR="005B2EEB" w:rsidRDefault="005B2EEB" w:rsidP="005B2EEB">
      <w:pPr>
        <w:rPr>
          <w:snapToGrid w:val="0"/>
          <w:color w:val="000000"/>
        </w:rPr>
      </w:pPr>
    </w:p>
    <w:p w14:paraId="47F04617" w14:textId="77777777" w:rsidR="005B2EEB" w:rsidRDefault="005B2EEB" w:rsidP="005B2EEB">
      <w:pPr>
        <w:rPr>
          <w:snapToGrid w:val="0"/>
          <w:color w:val="000000"/>
        </w:rPr>
      </w:pPr>
    </w:p>
    <w:p w14:paraId="67BDCAC1" w14:textId="77777777" w:rsidR="005B2EEB" w:rsidRDefault="005B2EEB" w:rsidP="005B2EEB">
      <w:pPr>
        <w:spacing w:line="240" w:lineRule="exact"/>
        <w:rPr>
          <w:snapToGrid w:val="0"/>
          <w:color w:val="000000"/>
        </w:rPr>
      </w:pPr>
      <w:r>
        <w:rPr>
          <w:snapToGrid w:val="0"/>
          <w:color w:val="000000"/>
        </w:rPr>
        <w:t>Affirmed by _____________________, the hospital’s ___________________________,</w:t>
      </w:r>
    </w:p>
    <w:p w14:paraId="77183C41" w14:textId="77777777" w:rsidR="005B2EEB" w:rsidRDefault="005B2EEB" w:rsidP="005B2EEB">
      <w:pPr>
        <w:pStyle w:val="BodyText2"/>
        <w:spacing w:line="240" w:lineRule="exact"/>
      </w:pPr>
      <w:r>
        <w:tab/>
      </w:r>
      <w:r>
        <w:tab/>
        <w:t xml:space="preserve">   (name)</w:t>
      </w:r>
      <w:r>
        <w:tab/>
      </w:r>
      <w:r>
        <w:tab/>
      </w:r>
      <w:r>
        <w:tab/>
      </w:r>
      <w:r>
        <w:tab/>
      </w:r>
      <w:r>
        <w:tab/>
      </w:r>
      <w:r>
        <w:tab/>
        <w:t>(title)</w:t>
      </w:r>
    </w:p>
    <w:p w14:paraId="77CC8A43" w14:textId="77777777" w:rsidR="005B2EEB" w:rsidRDefault="005B2EEB" w:rsidP="005B2EEB">
      <w:pPr>
        <w:spacing w:line="240" w:lineRule="exact"/>
        <w:rPr>
          <w:snapToGrid w:val="0"/>
        </w:rPr>
      </w:pPr>
      <w:r>
        <w:rPr>
          <w:snapToGrid w:val="0"/>
        </w:rPr>
        <w:t>on _______________________.</w:t>
      </w:r>
    </w:p>
    <w:p w14:paraId="7CE127E5" w14:textId="77777777" w:rsidR="005B2EEB" w:rsidRDefault="005B2EEB" w:rsidP="005B2EEB">
      <w:pPr>
        <w:spacing w:line="240" w:lineRule="exact"/>
        <w:rPr>
          <w:i/>
        </w:rPr>
      </w:pPr>
      <w:r>
        <w:rPr>
          <w:i/>
        </w:rPr>
        <w:t xml:space="preserve">                    (date)</w:t>
      </w:r>
    </w:p>
    <w:p w14:paraId="64C46A42" w14:textId="77777777" w:rsidR="005B2EEB" w:rsidRDefault="005B2EEB" w:rsidP="005B2EEB">
      <w:pPr>
        <w:rPr>
          <w:snapToGrid w:val="0"/>
          <w:color w:val="000000"/>
        </w:rPr>
      </w:pPr>
    </w:p>
    <w:p w14:paraId="5E2D5FBC" w14:textId="77777777" w:rsidR="006E50EF" w:rsidRDefault="005B2EEB">
      <w:pPr>
        <w:pStyle w:val="Header"/>
        <w:tabs>
          <w:tab w:val="clear" w:pos="4320"/>
          <w:tab w:val="clear" w:pos="8640"/>
        </w:tabs>
        <w:rPr>
          <w:b/>
          <w:snapToGrid w:val="0"/>
          <w:color w:val="000000"/>
          <w:sz w:val="24"/>
        </w:rPr>
      </w:pPr>
      <w:r>
        <w:rPr>
          <w:snapToGrid w:val="0"/>
          <w:color w:val="000000"/>
        </w:rPr>
        <w:br w:type="page"/>
      </w:r>
    </w:p>
    <w:p w14:paraId="0DBE8F82" w14:textId="77777777" w:rsidR="006E50EF" w:rsidRPr="00BC2D78" w:rsidRDefault="006E50EF" w:rsidP="002C3E94">
      <w:pPr>
        <w:pStyle w:val="Title"/>
      </w:pPr>
      <w:bookmarkStart w:id="84" w:name="_Toc383774992"/>
      <w:bookmarkStart w:id="85" w:name="_Toc447194991"/>
      <w:r>
        <w:lastRenderedPageBreak/>
        <w:t>Section 3: 2015</w:t>
      </w:r>
      <w:r w:rsidRPr="00BC2D78">
        <w:t xml:space="preserve"> Evidence-Based Hospital Referral (EBHR)</w:t>
      </w:r>
      <w:r>
        <w:t xml:space="preserve"> </w:t>
      </w:r>
      <w:bookmarkEnd w:id="84"/>
      <w:r>
        <w:t>Reference Information</w:t>
      </w:r>
      <w:bookmarkEnd w:id="85"/>
    </w:p>
    <w:p w14:paraId="62942A64" w14:textId="77777777" w:rsidR="006E50EF" w:rsidRDefault="006E50EF" w:rsidP="00C52666">
      <w:pPr>
        <w:rPr>
          <w:lang w:eastAsia="ja-JP"/>
        </w:rPr>
      </w:pPr>
    </w:p>
    <w:p w14:paraId="692B390F" w14:textId="77777777" w:rsidR="006E50EF" w:rsidRPr="002E6B94" w:rsidRDefault="006E50EF" w:rsidP="00C52666">
      <w:pPr>
        <w:rPr>
          <w:b/>
          <w:color w:val="FF0000"/>
          <w:lang w:eastAsia="ja-JP"/>
        </w:rPr>
      </w:pPr>
      <w:r w:rsidRPr="002E6B94">
        <w:rPr>
          <w:b/>
          <w:color w:val="FF0000"/>
          <w:lang w:eastAsia="ja-JP"/>
        </w:rPr>
        <w:t>Th</w:t>
      </w:r>
      <w:r>
        <w:rPr>
          <w:b/>
          <w:color w:val="FF0000"/>
          <w:lang w:eastAsia="ja-JP"/>
        </w:rPr>
        <w:t>is section is not applicable to</w:t>
      </w:r>
      <w:r w:rsidRPr="002E6B94">
        <w:rPr>
          <w:b/>
          <w:color w:val="FF0000"/>
          <w:lang w:eastAsia="ja-JP"/>
        </w:rPr>
        <w:t xml:space="preserve"> Pediatric hospitals. </w:t>
      </w:r>
    </w:p>
    <w:p w14:paraId="3A38E285" w14:textId="77777777" w:rsidR="006E50EF" w:rsidRPr="00BC2D78" w:rsidRDefault="006E50EF" w:rsidP="00C52666">
      <w:pPr>
        <w:rPr>
          <w:lang w:eastAsia="ja-JP"/>
        </w:rPr>
      </w:pPr>
    </w:p>
    <w:p w14:paraId="3356DBA3" w14:textId="77777777" w:rsidR="006E50EF" w:rsidRDefault="006E50EF" w:rsidP="007A44CB">
      <w:pPr>
        <w:pStyle w:val="Heading3"/>
      </w:pPr>
      <w:bookmarkStart w:id="86" w:name="_Toc233710551"/>
      <w:bookmarkStart w:id="87" w:name="_Toc383774993"/>
      <w:bookmarkStart w:id="88" w:name="_Toc447194992"/>
      <w:r w:rsidRPr="00BC2D78">
        <w:rPr>
          <w:rFonts w:hint="eastAsia"/>
        </w:rPr>
        <w:t>What</w:t>
      </w:r>
      <w:r w:rsidRPr="00BC2D78">
        <w:t>’</w:t>
      </w:r>
      <w:r w:rsidRPr="00BC2D78">
        <w:rPr>
          <w:rFonts w:hint="eastAsia"/>
        </w:rPr>
        <w:t>s New</w:t>
      </w:r>
      <w:bookmarkEnd w:id="86"/>
      <w:r w:rsidRPr="00BC2D78">
        <w:rPr>
          <w:rFonts w:hint="eastAsia"/>
        </w:rPr>
        <w:t xml:space="preserve"> in the </w:t>
      </w:r>
      <w:bookmarkEnd w:id="87"/>
      <w:r w:rsidR="004F68CC">
        <w:t>2016 Survey</w:t>
      </w:r>
      <w:bookmarkEnd w:id="88"/>
    </w:p>
    <w:p w14:paraId="2634D575" w14:textId="77777777" w:rsidR="006E50EF" w:rsidRDefault="006E50EF" w:rsidP="00C52666">
      <w:pPr>
        <w:rPr>
          <w:lang w:eastAsia="ja-JP"/>
        </w:rPr>
      </w:pPr>
    </w:p>
    <w:p w14:paraId="53EDA9CB" w14:textId="77777777" w:rsidR="006E50EF" w:rsidRDefault="006E50EF" w:rsidP="00C52666">
      <w:r w:rsidRPr="00D761A6">
        <w:t>No</w:t>
      </w:r>
      <w:r>
        <w:t xml:space="preserve"> substantive</w:t>
      </w:r>
      <w:r w:rsidRPr="00D761A6">
        <w:t xml:space="preserve"> changes were made to this section.</w:t>
      </w:r>
      <w:r w:rsidR="0066087D">
        <w:t xml:space="preserve"> </w:t>
      </w:r>
    </w:p>
    <w:p w14:paraId="5F97A4BD" w14:textId="77777777" w:rsidR="0066087D" w:rsidRDefault="0066087D" w:rsidP="00C52666"/>
    <w:p w14:paraId="5797D840" w14:textId="77777777" w:rsidR="0066087D" w:rsidRDefault="0066087D" w:rsidP="00C52666">
      <w:r>
        <w:t xml:space="preserve">Please note that the reporting period for this section of the survey is the 12-months ending September 30, 2015. Therefore, only ICD-9 procedure codes are included. </w:t>
      </w:r>
    </w:p>
    <w:p w14:paraId="774FF72C" w14:textId="77777777" w:rsidR="005443D1" w:rsidRDefault="005443D1" w:rsidP="00C52666">
      <w:pPr>
        <w:rPr>
          <w:lang w:eastAsia="ja-JP"/>
        </w:rPr>
      </w:pPr>
    </w:p>
    <w:p w14:paraId="51CA50B7" w14:textId="77777777" w:rsidR="006E50EF" w:rsidRPr="00BC2D78" w:rsidRDefault="006E50EF" w:rsidP="00C52666">
      <w:pPr>
        <w:rPr>
          <w:lang w:eastAsia="ja-JP"/>
        </w:rPr>
      </w:pPr>
    </w:p>
    <w:p w14:paraId="59874E87" w14:textId="77777777" w:rsidR="006E50EF" w:rsidRPr="00BC2D78" w:rsidRDefault="006E50EF" w:rsidP="007A44CB">
      <w:pPr>
        <w:pStyle w:val="Heading3"/>
      </w:pPr>
      <w:bookmarkStart w:id="89" w:name="_Toc233710552"/>
      <w:bookmarkStart w:id="90" w:name="_Toc383774994"/>
      <w:bookmarkStart w:id="91" w:name="_Toc447194993"/>
      <w:r w:rsidRPr="00BC2D78">
        <w:rPr>
          <w:rFonts w:hint="eastAsia"/>
        </w:rPr>
        <w:t>Change Summary</w:t>
      </w:r>
      <w:bookmarkEnd w:id="89"/>
      <w:r w:rsidRPr="00BC2D78">
        <w:rPr>
          <w:rFonts w:hint="eastAsia"/>
        </w:rPr>
        <w:t xml:space="preserve"> since Release</w:t>
      </w:r>
      <w:bookmarkEnd w:id="90"/>
      <w:bookmarkEnd w:id="91"/>
      <w:r w:rsidRPr="00BC2D78">
        <w:rPr>
          <w:rFonts w:hint="eastAsia"/>
        </w:rPr>
        <w:t xml:space="preserve"> </w:t>
      </w:r>
    </w:p>
    <w:p w14:paraId="36DC66E9" w14:textId="77777777" w:rsidR="006E50EF" w:rsidRDefault="006E50EF" w:rsidP="00C52666">
      <w:pPr>
        <w:rPr>
          <w:lang w:eastAsia="ja-JP"/>
        </w:rPr>
      </w:pPr>
    </w:p>
    <w:p w14:paraId="4064D8A1" w14:textId="77777777" w:rsidR="006E50EF" w:rsidRPr="00D761A6" w:rsidRDefault="006E50EF" w:rsidP="00C52666">
      <w:pPr>
        <w:pStyle w:val="BodyText3"/>
        <w:rPr>
          <w:lang w:eastAsia="ja-JP"/>
        </w:rPr>
      </w:pPr>
      <w:r>
        <w:rPr>
          <w:lang w:eastAsia="ja-JP"/>
        </w:rPr>
        <w:t xml:space="preserve">None.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77D7661C" w14:textId="77777777" w:rsidR="006E50EF" w:rsidRPr="00BE5CFA" w:rsidRDefault="006E50EF" w:rsidP="00C52666">
      <w:pPr>
        <w:pStyle w:val="BodyText3"/>
        <w:rPr>
          <w:b/>
          <w:lang w:eastAsia="ja-JP"/>
        </w:rPr>
      </w:pPr>
    </w:p>
    <w:p w14:paraId="1D754745" w14:textId="77777777" w:rsidR="006E50EF" w:rsidRDefault="006E50EF">
      <w:pPr>
        <w:rPr>
          <w:rFonts w:cs="Arial"/>
          <w:b/>
          <w:i/>
          <w:lang w:eastAsia="ja-JP"/>
        </w:rPr>
      </w:pPr>
      <w:bookmarkStart w:id="92" w:name="_Toc233710554"/>
      <w:bookmarkStart w:id="93" w:name="_Toc383774996"/>
      <w:r>
        <w:rPr>
          <w:rFonts w:cs="Arial"/>
        </w:rPr>
        <w:br w:type="page"/>
      </w:r>
    </w:p>
    <w:p w14:paraId="373BE8BA" w14:textId="77777777" w:rsidR="006E50EF" w:rsidRPr="00B01852" w:rsidRDefault="006E50EF" w:rsidP="00954B73">
      <w:pPr>
        <w:pStyle w:val="Heading2"/>
        <w:rPr>
          <w:rFonts w:cs="Arial"/>
          <w:lang w:eastAsia="en-US"/>
        </w:rPr>
      </w:pPr>
      <w:bookmarkStart w:id="94" w:name="_Toc383774997"/>
      <w:bookmarkStart w:id="95" w:name="_Toc447194994"/>
      <w:bookmarkStart w:id="96" w:name="_Toc233710555"/>
      <w:bookmarkEnd w:id="92"/>
      <w:bookmarkEnd w:id="93"/>
      <w:r w:rsidRPr="00BC2D78">
        <w:rPr>
          <w:rFonts w:hint="eastAsia"/>
        </w:rPr>
        <w:lastRenderedPageBreak/>
        <w:t>EBHR Frequently Asked Questions (FAQs)</w:t>
      </w:r>
      <w:bookmarkEnd w:id="94"/>
      <w:bookmarkEnd w:id="95"/>
      <w:r w:rsidRPr="00BC2D78">
        <w:rPr>
          <w:rFonts w:hint="eastAsia"/>
        </w:rPr>
        <w:t xml:space="preserve"> </w:t>
      </w:r>
      <w:bookmarkEnd w:id="96"/>
    </w:p>
    <w:p w14:paraId="105BE610" w14:textId="77777777" w:rsidR="006E50EF" w:rsidRPr="00BC2D78" w:rsidRDefault="006E50EF" w:rsidP="00C52666">
      <w:pPr>
        <w:rPr>
          <w:b/>
        </w:rPr>
      </w:pPr>
    </w:p>
    <w:p w14:paraId="3095BA06" w14:textId="77777777" w:rsidR="006E50EF" w:rsidRPr="00BC2D78" w:rsidRDefault="006E50EF" w:rsidP="00ED58C1">
      <w:pPr>
        <w:numPr>
          <w:ilvl w:val="0"/>
          <w:numId w:val="32"/>
        </w:numPr>
        <w:rPr>
          <w:b/>
        </w:rPr>
      </w:pPr>
      <w:r w:rsidRPr="00BC2D78">
        <w:rPr>
          <w:b/>
        </w:rPr>
        <w:t xml:space="preserve">How are the procedure codes used to define the high-risk procedures; do they refer to primary procedure codes, or primary </w:t>
      </w:r>
      <w:r>
        <w:rPr>
          <w:b/>
        </w:rPr>
        <w:t>and</w:t>
      </w:r>
      <w:r w:rsidRPr="00BC2D78">
        <w:rPr>
          <w:b/>
        </w:rPr>
        <w:t xml:space="preserve"> secondary codes?</w:t>
      </w:r>
    </w:p>
    <w:p w14:paraId="7B0E3338" w14:textId="77777777" w:rsidR="006E50EF" w:rsidRPr="00BC2D78" w:rsidRDefault="006E50EF" w:rsidP="00C52666">
      <w:pPr>
        <w:ind w:left="720"/>
      </w:pPr>
      <w:r w:rsidRPr="00BC2D78">
        <w:t xml:space="preserve">When counting patient </w:t>
      </w:r>
      <w:r w:rsidRPr="00BC2D78">
        <w:rPr>
          <w:u w:val="single"/>
        </w:rPr>
        <w:t>volume</w:t>
      </w:r>
      <w:r w:rsidRPr="00BC2D78">
        <w:t xml:space="preserve"> for the procedure, the procedure code may be in either a primary or </w:t>
      </w:r>
      <w:r w:rsidRPr="00BC2D78">
        <w:rPr>
          <w:color w:val="000000"/>
        </w:rPr>
        <w:t>secondary</w:t>
      </w:r>
      <w:r w:rsidRPr="00BC2D78">
        <w:t xml:space="preserve"> field. </w:t>
      </w:r>
    </w:p>
    <w:p w14:paraId="6ACFF0A4" w14:textId="77777777" w:rsidR="006E50EF" w:rsidRPr="00BC2D78" w:rsidRDefault="006E50EF" w:rsidP="00C52666">
      <w:pPr>
        <w:pStyle w:val="BodyTextIndent"/>
      </w:pPr>
    </w:p>
    <w:p w14:paraId="464FA2D0" w14:textId="77777777" w:rsidR="006E50EF" w:rsidRPr="00BC2D78" w:rsidRDefault="006E50EF" w:rsidP="00ED58C1">
      <w:pPr>
        <w:numPr>
          <w:ilvl w:val="0"/>
          <w:numId w:val="32"/>
        </w:numPr>
        <w:rPr>
          <w:b/>
        </w:rPr>
      </w:pPr>
      <w:r w:rsidRPr="00BC2D78">
        <w:rPr>
          <w:b/>
        </w:rPr>
        <w:t>What criteria were used to identify the codes? Sometimes it appears that an entire code group was selected and at other times just a subset of a code group was selected</w:t>
      </w:r>
      <w:r>
        <w:rPr>
          <w:b/>
        </w:rPr>
        <w:t>.</w:t>
      </w:r>
    </w:p>
    <w:p w14:paraId="7825DA4E" w14:textId="77777777" w:rsidR="006E50EF" w:rsidRPr="00BC2D78" w:rsidRDefault="006E50EF" w:rsidP="00C52666">
      <w:pPr>
        <w:ind w:left="720"/>
      </w:pPr>
      <w:r w:rsidRPr="00BC2D78">
        <w:t xml:space="preserve">Codes were determined by the measure developer; Leapfrog is using endorsed or national performance measures in the survey where possible. Thus, we use the codes identified by the specific measure developer. </w:t>
      </w:r>
    </w:p>
    <w:p w14:paraId="5F34CCE2" w14:textId="77777777" w:rsidR="006E50EF" w:rsidRPr="00BC2D78" w:rsidRDefault="006E50EF" w:rsidP="00C52666">
      <w:pPr>
        <w:ind w:left="360"/>
        <w:rPr>
          <w:b/>
        </w:rPr>
      </w:pPr>
    </w:p>
    <w:p w14:paraId="07A4DF55" w14:textId="77777777" w:rsidR="006E50EF" w:rsidRPr="00BC2D78" w:rsidRDefault="006E50EF" w:rsidP="00C52666">
      <w:pPr>
        <w:ind w:left="720"/>
      </w:pPr>
      <w:r w:rsidRPr="00BC2D78">
        <w:t>All exclusions are intentional. They are based on a combination of the actual mortality risk of the condition, clinical judgment, and consistency with data and measure sources in the evidence used to establish volume cut points. Additionally, codes may be retired and new codes added by the coding developers.</w:t>
      </w:r>
    </w:p>
    <w:p w14:paraId="5B188290" w14:textId="77777777" w:rsidR="006E50EF" w:rsidRPr="00BC2D78" w:rsidRDefault="006E50EF" w:rsidP="00C52666">
      <w:pPr>
        <w:ind w:left="360"/>
      </w:pPr>
    </w:p>
    <w:p w14:paraId="5655C17A" w14:textId="77777777" w:rsidR="006E50EF" w:rsidRDefault="006E50EF" w:rsidP="00ED58C1">
      <w:pPr>
        <w:numPr>
          <w:ilvl w:val="0"/>
          <w:numId w:val="32"/>
        </w:numPr>
      </w:pPr>
      <w:r w:rsidRPr="00BC2D78">
        <w:rPr>
          <w:b/>
        </w:rPr>
        <w:t xml:space="preserve">We are developing a volume report for our hospital. Our counts include all coded procedures that match the ICD-9 codes for each of the </w:t>
      </w:r>
      <w:r>
        <w:rPr>
          <w:b/>
        </w:rPr>
        <w:t xml:space="preserve">four </w:t>
      </w:r>
      <w:r w:rsidRPr="00BC2D78">
        <w:rPr>
          <w:b/>
        </w:rPr>
        <w:t>high-risk surgeries of the Leapfrog EBHR standard. The volume numbers in our report are higher than the number of discharges. Should we count procedures or discharges?</w:t>
      </w:r>
      <w:r w:rsidRPr="00BC2D78">
        <w:rPr>
          <w:b/>
        </w:rPr>
        <w:br/>
      </w:r>
      <w:r w:rsidRPr="00BC2D78">
        <w:t>Count discharges that have one or more of the procedure codes for that respective high-risk surgery. A patient discharge should never be counted more than once for the high-risk procedure. (The same patient discharge may be counted once each for different high-risk surgeries if the patient stay included different high-risk procedures</w:t>
      </w:r>
      <w:r>
        <w:t xml:space="preserve">.) </w:t>
      </w:r>
    </w:p>
    <w:p w14:paraId="32EC4621" w14:textId="77777777" w:rsidR="006E50EF" w:rsidRPr="00BC2D78" w:rsidRDefault="006E50EF" w:rsidP="00C52666">
      <w:pPr>
        <w:ind w:left="720"/>
      </w:pPr>
    </w:p>
    <w:p w14:paraId="2D4B2D8A" w14:textId="77777777" w:rsidR="00706950" w:rsidRPr="00F43B84" w:rsidRDefault="00706950" w:rsidP="00ED58C1">
      <w:pPr>
        <w:pStyle w:val="ListParagraph"/>
        <w:numPr>
          <w:ilvl w:val="0"/>
          <w:numId w:val="32"/>
        </w:numPr>
        <w:contextualSpacing w:val="0"/>
        <w:rPr>
          <w:lang w:eastAsia="ja-JP"/>
        </w:rPr>
      </w:pPr>
      <w:r>
        <w:rPr>
          <w:b/>
          <w:lang w:eastAsia="ja-JP"/>
        </w:rPr>
        <w:t>Should I use the admission or discharge date when determining whether or not a case falls within the Reporting Period?</w:t>
      </w:r>
    </w:p>
    <w:p w14:paraId="381EE0E6" w14:textId="77777777" w:rsidR="00706950" w:rsidRDefault="00706950" w:rsidP="00706950">
      <w:pPr>
        <w:pStyle w:val="ListParagraph"/>
        <w:rPr>
          <w:lang w:eastAsia="ja-JP"/>
        </w:rPr>
      </w:pPr>
      <w:r>
        <w:rPr>
          <w:lang w:eastAsia="ja-JP"/>
        </w:rPr>
        <w:t xml:space="preserve">The discharge date should be used to determine whether or not a case falls within the Reporting Period. </w:t>
      </w:r>
    </w:p>
    <w:p w14:paraId="13A6A243" w14:textId="77777777" w:rsidR="00706950" w:rsidRPr="00F43B84" w:rsidRDefault="00706950" w:rsidP="00706950">
      <w:pPr>
        <w:pStyle w:val="ListParagraph"/>
        <w:rPr>
          <w:lang w:eastAsia="ja-JP"/>
        </w:rPr>
      </w:pPr>
    </w:p>
    <w:p w14:paraId="7AAB9B7C" w14:textId="75596446" w:rsidR="006E50EF" w:rsidRPr="00BC2D78" w:rsidRDefault="006E50EF" w:rsidP="00607CD9">
      <w:pPr>
        <w:numPr>
          <w:ilvl w:val="0"/>
          <w:numId w:val="32"/>
        </w:numPr>
      </w:pPr>
      <w:r w:rsidRPr="00BC2D78">
        <w:rPr>
          <w:b/>
        </w:rPr>
        <w:t>Why is Leapfrog asking for the number of deaths in our hospital for specific procedures? How will this information be used?</w:t>
      </w:r>
      <w:r w:rsidRPr="00BC2D78">
        <w:rPr>
          <w:b/>
        </w:rPr>
        <w:br/>
      </w:r>
      <w:r w:rsidRPr="00BC2D78">
        <w:t>The Leapfrog Group collects this information for use in a composite measure of survival developed by experts in the measurement of quality and safety. This measure utilizes information on hospital volume and mortality. More information about the composite surgical survival measure is available</w:t>
      </w:r>
      <w:r>
        <w:t xml:space="preserve"> at </w:t>
      </w:r>
      <w:hyperlink r:id="rId73" w:history="1">
        <w:r w:rsidR="00607CD9" w:rsidRPr="00CF0CF0">
          <w:rPr>
            <w:rStyle w:val="Hyperlink"/>
          </w:rPr>
          <w:t>http://leapfroggroup.org/survey-materials/scoring-and-results</w:t>
        </w:r>
      </w:hyperlink>
      <w:r w:rsidR="00607CD9">
        <w:t xml:space="preserve">. </w:t>
      </w:r>
      <w:r w:rsidRPr="00B01852">
        <w:rPr>
          <w:u w:val="single"/>
        </w:rPr>
        <w:t>Leapfrog does not publish the specific number of deaths occurring for the procedure; it instead publishes the results of the composite measure</w:t>
      </w:r>
      <w:r w:rsidRPr="00BC2D78">
        <w:t xml:space="preserve">. </w:t>
      </w:r>
    </w:p>
    <w:p w14:paraId="2478D843" w14:textId="77777777" w:rsidR="006E50EF" w:rsidRPr="00BC2D78" w:rsidRDefault="006E50EF" w:rsidP="00C52666">
      <w:pPr>
        <w:tabs>
          <w:tab w:val="num" w:pos="720"/>
        </w:tabs>
        <w:ind w:left="720" w:hanging="360"/>
      </w:pPr>
    </w:p>
    <w:p w14:paraId="4B0D51B0" w14:textId="77777777" w:rsidR="006E50EF" w:rsidRPr="009A0652" w:rsidRDefault="006E50EF" w:rsidP="00ED58C1">
      <w:pPr>
        <w:numPr>
          <w:ilvl w:val="0"/>
          <w:numId w:val="32"/>
        </w:numPr>
        <w:rPr>
          <w:b/>
        </w:rPr>
      </w:pPr>
      <w:r w:rsidRPr="00BC2D78">
        <w:rPr>
          <w:b/>
        </w:rPr>
        <w:t>How should we</w:t>
      </w:r>
      <w:r>
        <w:rPr>
          <w:b/>
        </w:rPr>
        <w:t xml:space="preserve"> count the following procedures w</w:t>
      </w:r>
      <w:r w:rsidRPr="009A0652">
        <w:rPr>
          <w:b/>
        </w:rPr>
        <w:t>hen a patient has a procedure done multiple times during an admission?</w:t>
      </w:r>
      <w:r w:rsidRPr="009A0652">
        <w:rPr>
          <w:b/>
        </w:rPr>
        <w:br/>
      </w:r>
      <w:r w:rsidRPr="00BC2D78">
        <w:t>Count the patient only once for that high-risk procedure. If the procedure is repeated during a subsequent hospita</w:t>
      </w:r>
      <w:r>
        <w:t>l stay, count that one as well.</w:t>
      </w:r>
      <w:r>
        <w:br/>
      </w:r>
    </w:p>
    <w:p w14:paraId="5903B47D" w14:textId="77777777" w:rsidR="006E50EF" w:rsidRPr="00706950" w:rsidRDefault="006E50EF" w:rsidP="00ED58C1">
      <w:pPr>
        <w:numPr>
          <w:ilvl w:val="0"/>
          <w:numId w:val="32"/>
        </w:numPr>
        <w:rPr>
          <w:b/>
        </w:rPr>
      </w:pPr>
      <w:r w:rsidRPr="00706950">
        <w:rPr>
          <w:b/>
        </w:rPr>
        <w:t>How will The Leapfrog Group account for hospitals that do not perform all of the high-risk surgeries?</w:t>
      </w:r>
    </w:p>
    <w:p w14:paraId="7E2FFA4B" w14:textId="77777777" w:rsidR="006E50EF" w:rsidRPr="00706950" w:rsidRDefault="006E50EF" w:rsidP="00706950">
      <w:pPr>
        <w:ind w:left="720"/>
      </w:pPr>
      <w:r w:rsidRPr="00BC2D78">
        <w:t xml:space="preserve">A hospital’s responses are evaluated separately by high-risk procedure or condition. For a hospital not performing a high-risk procedure on an elective basis, or </w:t>
      </w:r>
      <w:r>
        <w:t xml:space="preserve">that </w:t>
      </w:r>
      <w:r w:rsidRPr="00BC2D78">
        <w:t>does not admit high-risk deliveries, the standard for that procedure or condition does not apply and this will be indicated in Leapfrog public results.</w:t>
      </w:r>
    </w:p>
    <w:p w14:paraId="11A21C1D" w14:textId="77777777" w:rsidR="006E50EF" w:rsidRDefault="006E50EF">
      <w:bookmarkStart w:id="97" w:name="_Toc233710571"/>
      <w:bookmarkStart w:id="98" w:name="_Toc383774999"/>
      <w:r>
        <w:rPr>
          <w:b/>
        </w:rPr>
        <w:br w:type="page"/>
      </w:r>
    </w:p>
    <w:p w14:paraId="131D4A99" w14:textId="77777777" w:rsidR="006E50EF" w:rsidRPr="00F13EA7" w:rsidRDefault="006E50EF" w:rsidP="00954B73">
      <w:pPr>
        <w:pStyle w:val="Heading2"/>
      </w:pPr>
      <w:bookmarkStart w:id="99" w:name="_Toc447194995"/>
      <w:r w:rsidRPr="00BC2D78">
        <w:lastRenderedPageBreak/>
        <w:t>AVR</w:t>
      </w:r>
      <w:r w:rsidRPr="00BC2D78">
        <w:rPr>
          <w:rFonts w:hint="eastAsia"/>
        </w:rPr>
        <w:t xml:space="preserve"> Measure References</w:t>
      </w:r>
      <w:bookmarkEnd w:id="97"/>
      <w:bookmarkEnd w:id="98"/>
      <w:bookmarkEnd w:id="99"/>
    </w:p>
    <w:p w14:paraId="65C37CB0" w14:textId="77777777" w:rsidR="006E50EF" w:rsidRDefault="006E50EF" w:rsidP="00C52666">
      <w:pPr>
        <w:rPr>
          <w:lang w:eastAsia="ja-JP"/>
        </w:rPr>
      </w:pPr>
    </w:p>
    <w:p w14:paraId="1793531E" w14:textId="77777777" w:rsidR="006E50EF" w:rsidRPr="00BC2D78" w:rsidRDefault="006E50EF" w:rsidP="007A44CB">
      <w:pPr>
        <w:pStyle w:val="Heading3"/>
      </w:pPr>
      <w:bookmarkStart w:id="100" w:name="_Toc233710572"/>
      <w:bookmarkStart w:id="101" w:name="_Toc383775000"/>
      <w:bookmarkStart w:id="102" w:name="_Toc447194996"/>
      <w:bookmarkStart w:id="103" w:name="AVRVol"/>
      <w:r w:rsidRPr="009A5391">
        <w:rPr>
          <w:rFonts w:hint="eastAsia"/>
        </w:rPr>
        <w:t>AVR Volume Standard</w:t>
      </w:r>
      <w:bookmarkEnd w:id="100"/>
      <w:bookmarkEnd w:id="101"/>
      <w:bookmarkEnd w:id="102"/>
    </w:p>
    <w:bookmarkEnd w:id="103"/>
    <w:p w14:paraId="09E85DF3" w14:textId="77777777" w:rsidR="006E50EF" w:rsidRPr="00BC2D78" w:rsidRDefault="006E50EF" w:rsidP="00C52666"/>
    <w:p w14:paraId="3268E1A9" w14:textId="77777777" w:rsidR="006E50EF" w:rsidRPr="00BC2D78" w:rsidRDefault="006E50EF" w:rsidP="00C52666">
      <w:r w:rsidRPr="00BC2D78">
        <w:t>For AVR, there is only one set of codes for counting all patient</w:t>
      </w:r>
      <w:r>
        <w:t xml:space="preserve">s who have had the procedure.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7CA5D493" w14:textId="77777777" w:rsidR="006E50EF" w:rsidRPr="00BC2D78" w:rsidRDefault="006E50EF" w:rsidP="00C52666">
      <w:pPr>
        <w:rPr>
          <w:i/>
        </w:rPr>
      </w:pPr>
    </w:p>
    <w:p w14:paraId="00D916D9" w14:textId="77777777" w:rsidR="006E50EF"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When calculating hospi</w:t>
      </w:r>
      <w:r>
        <w:rPr>
          <w:i/>
          <w:color w:val="000000"/>
        </w:rPr>
        <w:t xml:space="preserve">tal volume: </w:t>
      </w:r>
      <w:r w:rsidRPr="00BC2D78">
        <w:rPr>
          <w:i/>
          <w:color w:val="000000"/>
        </w:rPr>
        <w:t xml:space="preserve">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234E37A9" w14:textId="77777777" w:rsidR="006E50EF" w:rsidRPr="00110457" w:rsidRDefault="006E50EF" w:rsidP="00110457"/>
    <w:p w14:paraId="0ABA040C" w14:textId="77777777" w:rsidR="00110457" w:rsidRPr="005B7CB8" w:rsidRDefault="00926CC5" w:rsidP="005B7CB8">
      <w:pPr>
        <w:pStyle w:val="Heading44"/>
      </w:pPr>
      <w:r w:rsidRPr="005B7CB8">
        <w:t>Question #2</w:t>
      </w:r>
      <w:r w:rsidR="00110457" w:rsidRPr="005B7CB8">
        <w:t>: Total number of patients undergoing procedure</w:t>
      </w:r>
    </w:p>
    <w:p w14:paraId="1D3A0170" w14:textId="77777777" w:rsidR="00110457" w:rsidRDefault="00110457" w:rsidP="00C52666">
      <w:pPr>
        <w:rPr>
          <w:b/>
        </w:rPr>
      </w:pPr>
    </w:p>
    <w:p w14:paraId="5555E2F1" w14:textId="77777777" w:rsidR="006E50EF" w:rsidRPr="00110457" w:rsidRDefault="006E50EF" w:rsidP="00C52666">
      <w:r w:rsidRPr="00110457">
        <w:rPr>
          <w:b/>
        </w:rPr>
        <w:t>Source</w:t>
      </w:r>
      <w:r w:rsidRPr="00110457">
        <w:t>: The Leapfrog Group</w:t>
      </w:r>
    </w:p>
    <w:p w14:paraId="5AF0110D" w14:textId="77777777" w:rsidR="006E50EF" w:rsidRPr="00BC2D78" w:rsidRDefault="006E50EF" w:rsidP="00C52666"/>
    <w:p w14:paraId="46CB0B9F" w14:textId="77777777" w:rsidR="006E50EF" w:rsidRPr="00BC2D78" w:rsidRDefault="006E50EF" w:rsidP="00C52666">
      <w:r w:rsidRPr="00BC2D78">
        <w:t>Number of patients discharged with ICD-9-CM PROCEDURE CODES: 35.21 or 35.22 in any procedure field.</w:t>
      </w:r>
    </w:p>
    <w:p w14:paraId="76899BD0" w14:textId="77777777" w:rsidR="006E50EF" w:rsidRPr="00BC2D78" w:rsidRDefault="006E50EF" w:rsidP="00C52666"/>
    <w:p w14:paraId="182B7E97" w14:textId="77777777" w:rsidR="006E50EF" w:rsidRPr="00BC2D78" w:rsidRDefault="006E50EF" w:rsidP="00C52666">
      <w:r>
        <w:t>Age 18</w:t>
      </w:r>
      <w:r w:rsidRPr="00BC2D78">
        <w:t xml:space="preserve"> years and older</w:t>
      </w:r>
    </w:p>
    <w:p w14:paraId="57A41C6E" w14:textId="77777777" w:rsidR="006E50EF" w:rsidRPr="00BC2D78" w:rsidRDefault="006E50EF" w:rsidP="00C52666"/>
    <w:p w14:paraId="4DE37CEE" w14:textId="77777777" w:rsidR="006E50EF" w:rsidRPr="00BC2D78" w:rsidRDefault="006E50EF" w:rsidP="00C52666">
      <w:pPr>
        <w:rPr>
          <w:b/>
        </w:rPr>
      </w:pPr>
      <w:r w:rsidRPr="00BC2D78">
        <w:rPr>
          <w:b/>
        </w:rPr>
        <w:t>ICD-9-CM AVR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A9D8F6C" w14:textId="77777777" w:rsidTr="0070197E">
        <w:tc>
          <w:tcPr>
            <w:tcW w:w="1008" w:type="dxa"/>
          </w:tcPr>
          <w:p w14:paraId="2B3C8F8D" w14:textId="77777777" w:rsidR="006E50EF" w:rsidRPr="00BC2D78" w:rsidRDefault="006E50EF" w:rsidP="0070197E">
            <w:r w:rsidRPr="00BC2D78">
              <w:t>35.21</w:t>
            </w:r>
          </w:p>
        </w:tc>
        <w:tc>
          <w:tcPr>
            <w:tcW w:w="8568" w:type="dxa"/>
          </w:tcPr>
          <w:p w14:paraId="4D5BECF0" w14:textId="77777777" w:rsidR="006E50EF" w:rsidRPr="00BC2D78" w:rsidRDefault="006E50EF" w:rsidP="0070197E">
            <w:r w:rsidRPr="00BC2D78">
              <w:t>Replacement of aortic valve with tissue graft</w:t>
            </w:r>
          </w:p>
        </w:tc>
      </w:tr>
      <w:tr w:rsidR="006E50EF" w:rsidRPr="00BC2D78" w14:paraId="2BBD7B3A" w14:textId="77777777" w:rsidTr="0070197E">
        <w:tc>
          <w:tcPr>
            <w:tcW w:w="1008" w:type="dxa"/>
          </w:tcPr>
          <w:p w14:paraId="69941313" w14:textId="77777777" w:rsidR="006E50EF" w:rsidRPr="00BC2D78" w:rsidRDefault="006E50EF" w:rsidP="0070197E">
            <w:r w:rsidRPr="00BC2D78">
              <w:t>35.22</w:t>
            </w:r>
          </w:p>
        </w:tc>
        <w:tc>
          <w:tcPr>
            <w:tcW w:w="8568" w:type="dxa"/>
          </w:tcPr>
          <w:p w14:paraId="70ACAEDE" w14:textId="77777777" w:rsidR="006E50EF" w:rsidRPr="00BC2D78" w:rsidRDefault="006E50EF" w:rsidP="0070197E">
            <w:r w:rsidRPr="00BC2D78">
              <w:t>Other replacement of aortic valve</w:t>
            </w:r>
          </w:p>
        </w:tc>
      </w:tr>
    </w:tbl>
    <w:p w14:paraId="1F2D2E39" w14:textId="77777777" w:rsidR="006E50EF" w:rsidRPr="00110457" w:rsidRDefault="006E50EF" w:rsidP="00CA5E4C">
      <w:pPr>
        <w:pStyle w:val="Heading4"/>
        <w:framePr w:wrap="notBeside"/>
      </w:pPr>
    </w:p>
    <w:p w14:paraId="2353057E" w14:textId="77777777" w:rsidR="00110457" w:rsidRPr="005B7CB8" w:rsidRDefault="00110457" w:rsidP="005B7CB8">
      <w:pPr>
        <w:pStyle w:val="Heading44"/>
      </w:pPr>
      <w:r w:rsidRPr="005B7CB8">
        <w:t>Question #</w:t>
      </w:r>
      <w:r w:rsidR="00926CC5" w:rsidRPr="005B7CB8">
        <w:t>3</w:t>
      </w:r>
      <w:r w:rsidRPr="005B7CB8">
        <w:t>: Total number of patients undergoing a transcatheter aortic repair procedure</w:t>
      </w:r>
    </w:p>
    <w:p w14:paraId="430682DF" w14:textId="77777777" w:rsidR="00110457" w:rsidRDefault="00110457" w:rsidP="00C52666">
      <w:pPr>
        <w:rPr>
          <w:b/>
        </w:rPr>
      </w:pPr>
    </w:p>
    <w:p w14:paraId="6BD78584" w14:textId="77777777" w:rsidR="006E50EF" w:rsidRPr="00BC2D78" w:rsidRDefault="006E50EF" w:rsidP="00C52666">
      <w:r w:rsidRPr="00BC2D78">
        <w:rPr>
          <w:b/>
        </w:rPr>
        <w:t>Source</w:t>
      </w:r>
      <w:r w:rsidRPr="00BC2D78">
        <w:t>: The Leapfrog Group</w:t>
      </w:r>
    </w:p>
    <w:p w14:paraId="462A175B" w14:textId="77777777" w:rsidR="006E50EF" w:rsidRPr="00BC2D78" w:rsidRDefault="006E50EF" w:rsidP="00C52666"/>
    <w:p w14:paraId="57CEE861" w14:textId="77777777" w:rsidR="006E50EF" w:rsidRPr="00BC2D78" w:rsidRDefault="006E50EF" w:rsidP="00C52666">
      <w:r w:rsidRPr="00BC2D78">
        <w:t xml:space="preserve">Number of patients discharged with ICD-9-CM PROCEDURE CODES: </w:t>
      </w:r>
      <w:r>
        <w:t xml:space="preserve">35.05 or 35.06 </w:t>
      </w:r>
      <w:r w:rsidRPr="00BC2D78">
        <w:t>in any procedure field.</w:t>
      </w:r>
    </w:p>
    <w:p w14:paraId="37B5C7C7" w14:textId="77777777" w:rsidR="006E50EF" w:rsidRPr="00BC2D78" w:rsidRDefault="006E50EF" w:rsidP="00C52666"/>
    <w:p w14:paraId="53BDDE68" w14:textId="77777777" w:rsidR="006E50EF" w:rsidRPr="00247625" w:rsidRDefault="006E50EF" w:rsidP="00C52666">
      <w:r w:rsidRPr="00247625">
        <w:t>Age 18 years and older</w:t>
      </w:r>
    </w:p>
    <w:p w14:paraId="360A0FB4" w14:textId="77777777" w:rsidR="006E50EF" w:rsidRPr="00BC2D78" w:rsidRDefault="006E50EF" w:rsidP="00C52666"/>
    <w:p w14:paraId="3B0930A7" w14:textId="77777777" w:rsidR="006E50EF" w:rsidRPr="00BC2D78" w:rsidRDefault="006E50EF" w:rsidP="00C52666">
      <w:pPr>
        <w:rPr>
          <w:b/>
        </w:rPr>
      </w:pPr>
      <w:r w:rsidRPr="00BC2D78">
        <w:rPr>
          <w:b/>
        </w:rPr>
        <w:t xml:space="preserve">ICD-9-CM </w:t>
      </w:r>
      <w:r>
        <w:rPr>
          <w:b/>
        </w:rPr>
        <w:t>T</w:t>
      </w:r>
      <w:r w:rsidRPr="00BC2D78">
        <w:rPr>
          <w:b/>
        </w:rPr>
        <w:t>AVR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2D00785B" w14:textId="77777777" w:rsidTr="0070197E">
        <w:tc>
          <w:tcPr>
            <w:tcW w:w="1008" w:type="dxa"/>
          </w:tcPr>
          <w:p w14:paraId="6A9C3C59" w14:textId="77777777" w:rsidR="006E50EF" w:rsidRPr="004047D2" w:rsidRDefault="006E50EF" w:rsidP="0070197E">
            <w:r w:rsidRPr="004047D2">
              <w:t>35.05</w:t>
            </w:r>
          </w:p>
        </w:tc>
        <w:tc>
          <w:tcPr>
            <w:tcW w:w="8568" w:type="dxa"/>
          </w:tcPr>
          <w:p w14:paraId="06C41FB1" w14:textId="77777777" w:rsidR="006E50EF" w:rsidRPr="009D7E78" w:rsidRDefault="006E50EF" w:rsidP="0070197E">
            <w:pPr>
              <w:rPr>
                <w:rFonts w:cs="Arial"/>
              </w:rPr>
            </w:pPr>
            <w:r w:rsidRPr="009D7E78">
              <w:rPr>
                <w:rFonts w:cs="Arial"/>
                <w:shd w:val="clear" w:color="auto" w:fill="FFFFFF"/>
              </w:rPr>
              <w:t>Endovascular replacement of aortic valve</w:t>
            </w:r>
          </w:p>
        </w:tc>
      </w:tr>
      <w:tr w:rsidR="006E50EF" w:rsidRPr="00BC2D78" w14:paraId="0219A787" w14:textId="77777777" w:rsidTr="0070197E">
        <w:tc>
          <w:tcPr>
            <w:tcW w:w="1008" w:type="dxa"/>
          </w:tcPr>
          <w:p w14:paraId="06161799" w14:textId="77777777" w:rsidR="006E50EF" w:rsidRPr="004047D2" w:rsidRDefault="006E50EF" w:rsidP="0070197E">
            <w:r w:rsidRPr="004047D2">
              <w:t>35.06</w:t>
            </w:r>
          </w:p>
        </w:tc>
        <w:tc>
          <w:tcPr>
            <w:tcW w:w="8568" w:type="dxa"/>
          </w:tcPr>
          <w:p w14:paraId="18940893" w14:textId="77777777" w:rsidR="006E50EF" w:rsidRPr="009D7E78" w:rsidRDefault="006E50EF" w:rsidP="0070197E">
            <w:pPr>
              <w:rPr>
                <w:rFonts w:cs="Arial"/>
              </w:rPr>
            </w:pPr>
            <w:r w:rsidRPr="009D7E78">
              <w:rPr>
                <w:rFonts w:cs="Arial"/>
                <w:shd w:val="clear" w:color="auto" w:fill="FFFFFF"/>
              </w:rPr>
              <w:t>Transapical replacement of aortic valve</w:t>
            </w:r>
          </w:p>
        </w:tc>
      </w:tr>
    </w:tbl>
    <w:p w14:paraId="2D3C9B65" w14:textId="77777777" w:rsidR="006E50EF" w:rsidRPr="00BC2D78" w:rsidRDefault="006E50EF" w:rsidP="00C52666">
      <w:pPr>
        <w:rPr>
          <w:lang w:eastAsia="ja-JP"/>
        </w:rPr>
      </w:pPr>
    </w:p>
    <w:p w14:paraId="092231C3" w14:textId="77777777" w:rsidR="006E50EF" w:rsidRDefault="006E50EF">
      <w:pPr>
        <w:rPr>
          <w:lang w:eastAsia="ja-JP"/>
        </w:rPr>
      </w:pPr>
      <w:bookmarkStart w:id="104" w:name="_Toc383775003"/>
      <w:r>
        <w:rPr>
          <w:lang w:eastAsia="ja-JP"/>
        </w:rPr>
        <w:br w:type="page"/>
      </w:r>
    </w:p>
    <w:p w14:paraId="7FDBB591" w14:textId="77777777" w:rsidR="00110457" w:rsidRPr="00926CC5" w:rsidRDefault="006E50EF" w:rsidP="007A44CB">
      <w:pPr>
        <w:pStyle w:val="Heading3"/>
      </w:pPr>
      <w:bookmarkStart w:id="105" w:name="_Toc447194997"/>
      <w:bookmarkStart w:id="106" w:name="AVROut"/>
      <w:r w:rsidRPr="00926CC5">
        <w:rPr>
          <w:rFonts w:hint="eastAsia"/>
        </w:rPr>
        <w:lastRenderedPageBreak/>
        <w:t>AVR Outcomes Specificatio</w:t>
      </w:r>
      <w:bookmarkStart w:id="107" w:name="_Toc383775004"/>
      <w:bookmarkEnd w:id="104"/>
      <w:r w:rsidR="00110457" w:rsidRPr="00926CC5">
        <w:t>ns</w:t>
      </w:r>
      <w:bookmarkEnd w:id="105"/>
      <w:r w:rsidR="00110457" w:rsidRPr="00926CC5">
        <w:t xml:space="preserve"> </w:t>
      </w:r>
    </w:p>
    <w:bookmarkEnd w:id="106"/>
    <w:p w14:paraId="2AD17091" w14:textId="77777777" w:rsidR="00926CC5" w:rsidRDefault="00926CC5" w:rsidP="00CA5E4C">
      <w:pPr>
        <w:pStyle w:val="Heading4"/>
        <w:framePr w:wrap="notBeside"/>
      </w:pPr>
    </w:p>
    <w:p w14:paraId="3FD82BF0" w14:textId="77777777" w:rsidR="006E50EF" w:rsidRPr="005B7CB8" w:rsidRDefault="00926CC5" w:rsidP="005B7CB8">
      <w:pPr>
        <w:pStyle w:val="Heading44"/>
      </w:pPr>
      <w:r w:rsidRPr="005B7CB8">
        <w:t xml:space="preserve">Questions #5-8 </w:t>
      </w:r>
      <w:r w:rsidR="00110457" w:rsidRPr="005B7CB8">
        <w:t>I</w:t>
      </w:r>
      <w:r w:rsidR="006E50EF" w:rsidRPr="005B7CB8">
        <w:rPr>
          <w:rFonts w:hint="eastAsia"/>
        </w:rPr>
        <w:t xml:space="preserve">nstructions for </w:t>
      </w:r>
      <w:r w:rsidR="006E50EF" w:rsidRPr="005B7CB8">
        <w:t xml:space="preserve">National </w:t>
      </w:r>
      <w:r w:rsidR="006E50EF" w:rsidRPr="005B7CB8">
        <w:rPr>
          <w:rFonts w:hint="eastAsia"/>
        </w:rPr>
        <w:t xml:space="preserve">Performance </w:t>
      </w:r>
      <w:r w:rsidR="006E50EF" w:rsidRPr="005B7CB8">
        <w:t>Measurement Reporting</w:t>
      </w:r>
      <w:bookmarkEnd w:id="107"/>
    </w:p>
    <w:p w14:paraId="631A780B" w14:textId="77777777" w:rsidR="006E50EF" w:rsidRPr="00BC2D78" w:rsidRDefault="006E50EF" w:rsidP="00C52666">
      <w:pPr>
        <w:rPr>
          <w:lang w:eastAsia="ja-JP"/>
        </w:rPr>
      </w:pPr>
    </w:p>
    <w:tbl>
      <w:tblPr>
        <w:tblW w:w="0" w:type="auto"/>
        <w:tblLook w:val="01E0" w:firstRow="1" w:lastRow="1" w:firstColumn="1" w:lastColumn="1" w:noHBand="0" w:noVBand="0"/>
      </w:tblPr>
      <w:tblGrid>
        <w:gridCol w:w="1809"/>
        <w:gridCol w:w="7767"/>
      </w:tblGrid>
      <w:tr w:rsidR="006E50EF" w:rsidRPr="00BC2D78" w14:paraId="1D9699F9" w14:textId="77777777" w:rsidTr="0070197E">
        <w:tc>
          <w:tcPr>
            <w:tcW w:w="1809" w:type="dxa"/>
          </w:tcPr>
          <w:p w14:paraId="097C2061" w14:textId="77777777" w:rsidR="006E50EF" w:rsidRPr="00BC2D78" w:rsidRDefault="006E50EF" w:rsidP="0070197E">
            <w:pPr>
              <w:rPr>
                <w:b/>
              </w:rPr>
            </w:pPr>
            <w:r w:rsidRPr="00BC2D78">
              <w:rPr>
                <w:rFonts w:hint="eastAsia"/>
                <w:b/>
                <w:lang w:eastAsia="ja-JP"/>
              </w:rPr>
              <w:t>Entity</w:t>
            </w:r>
            <w:r w:rsidRPr="00BC2D78">
              <w:rPr>
                <w:b/>
              </w:rPr>
              <w:t>:</w:t>
            </w:r>
          </w:p>
        </w:tc>
        <w:tc>
          <w:tcPr>
            <w:tcW w:w="7767" w:type="dxa"/>
          </w:tcPr>
          <w:p w14:paraId="79F2EFAB" w14:textId="77777777" w:rsidR="006E50EF" w:rsidRDefault="006E50EF" w:rsidP="0070197E">
            <w:pPr>
              <w:rPr>
                <w:b/>
                <w:lang w:eastAsia="ja-JP"/>
              </w:rPr>
            </w:pPr>
            <w:r w:rsidRPr="00BC2D78">
              <w:rPr>
                <w:rFonts w:hint="eastAsia"/>
                <w:b/>
                <w:lang w:eastAsia="ja-JP"/>
              </w:rPr>
              <w:t>STS</w:t>
            </w:r>
            <w:r>
              <w:rPr>
                <w:b/>
                <w:lang w:eastAsia="ja-JP"/>
              </w:rPr>
              <w:t xml:space="preserve"> (Isolated AVR Report)</w:t>
            </w:r>
          </w:p>
          <w:p w14:paraId="77E1696E" w14:textId="77777777" w:rsidR="006E50EF" w:rsidRPr="00BC2D78" w:rsidRDefault="006E50EF" w:rsidP="0070197E">
            <w:pPr>
              <w:rPr>
                <w:b/>
                <w:lang w:eastAsia="ja-JP"/>
              </w:rPr>
            </w:pPr>
          </w:p>
        </w:tc>
      </w:tr>
      <w:tr w:rsidR="006E50EF" w:rsidRPr="00BC2D78" w14:paraId="146154D8" w14:textId="77777777" w:rsidTr="0070197E">
        <w:tc>
          <w:tcPr>
            <w:tcW w:w="1809" w:type="dxa"/>
          </w:tcPr>
          <w:p w14:paraId="359DA66C" w14:textId="77777777" w:rsidR="006E50EF" w:rsidRPr="00BC2D78" w:rsidRDefault="006E50EF" w:rsidP="0070197E">
            <w:r>
              <w:rPr>
                <w:color w:val="000000"/>
                <w:lang w:eastAsia="ja-JP"/>
              </w:rPr>
              <w:t>Operative mortality, Risk-adjusted Rate for Your Hospital (</w:t>
            </w:r>
            <w:r>
              <w:rPr>
                <w:rFonts w:hint="eastAsia"/>
                <w:color w:val="000000"/>
                <w:lang w:eastAsia="ja-JP"/>
              </w:rPr>
              <w:t>Observed</w:t>
            </w:r>
            <w:r>
              <w:rPr>
                <w:color w:val="000000"/>
                <w:lang w:eastAsia="ja-JP"/>
              </w:rPr>
              <w:t>)</w:t>
            </w:r>
            <w:r w:rsidRPr="00BC2D78">
              <w:rPr>
                <w:rFonts w:hint="eastAsia"/>
                <w:color w:val="000000"/>
                <w:lang w:eastAsia="ja-JP"/>
              </w:rPr>
              <w:t>:</w:t>
            </w:r>
          </w:p>
        </w:tc>
        <w:tc>
          <w:tcPr>
            <w:tcW w:w="7767" w:type="dxa"/>
          </w:tcPr>
          <w:p w14:paraId="7C064337" w14:textId="77777777" w:rsidR="006E50EF" w:rsidRPr="00BC2D78" w:rsidRDefault="006E50EF" w:rsidP="0070197E">
            <w:pPr>
              <w:autoSpaceDE w:val="0"/>
              <w:autoSpaceDN w:val="0"/>
              <w:adjustRightInd w:val="0"/>
              <w:rPr>
                <w:lang w:eastAsia="ja-JP"/>
              </w:rPr>
            </w:pPr>
            <w:r w:rsidRPr="00BC2D78">
              <w:t xml:space="preserve">For the latest year reported, enter </w:t>
            </w:r>
            <w:r w:rsidRPr="00BC2D78">
              <w:rPr>
                <w:u w:val="single"/>
              </w:rPr>
              <w:t>your</w:t>
            </w:r>
            <w:r w:rsidRPr="00BC2D78">
              <w:t xml:space="preserve"> h</w:t>
            </w:r>
            <w:r>
              <w:t xml:space="preserve">ospital’s “Risk-adjusted Operative Mortality </w:t>
            </w:r>
            <w:r w:rsidRPr="00BC2D78">
              <w:t xml:space="preserve">rate” </w:t>
            </w:r>
            <w:r>
              <w:t>for AVR (report p. AV Replace-62</w:t>
            </w:r>
            <w:r w:rsidRPr="00BC2D78">
              <w:t xml:space="preserve"> or a page nearby</w:t>
            </w:r>
            <w:r>
              <w:t xml:space="preserve">) in </w:t>
            </w:r>
            <w:r w:rsidR="00933854">
              <w:t>AVR Q</w:t>
            </w:r>
            <w:r w:rsidR="001F54AA">
              <w:t>uestion 7</w:t>
            </w:r>
            <w:r w:rsidRPr="00BC2D78">
              <w:t>, respectively. These are your hospital’s actual operative mortality rates, standardized (risk-adjusted) to the STS all-hospital risk. Operative mortality includes in-hospital and 30-day post-operative mortality out-of-hospital.</w:t>
            </w:r>
          </w:p>
          <w:p w14:paraId="174D87D9" w14:textId="77777777" w:rsidR="006E50EF" w:rsidRPr="00BC2D78" w:rsidRDefault="006E50EF" w:rsidP="0070197E"/>
        </w:tc>
      </w:tr>
      <w:tr w:rsidR="006E50EF" w:rsidRPr="00BC2D78" w14:paraId="6A8793AA" w14:textId="77777777" w:rsidTr="0070197E">
        <w:tc>
          <w:tcPr>
            <w:tcW w:w="1809" w:type="dxa"/>
          </w:tcPr>
          <w:p w14:paraId="7500A11B" w14:textId="77777777" w:rsidR="006E50EF" w:rsidRPr="00BC2D78" w:rsidRDefault="006E50EF" w:rsidP="0070197E">
            <w:r>
              <w:rPr>
                <w:color w:val="000000"/>
                <w:lang w:eastAsia="ja-JP"/>
              </w:rPr>
              <w:t>Operative mortality, Risk-adjusted Rate for All STS Cohort (</w:t>
            </w:r>
            <w:r w:rsidRPr="00BC2D78">
              <w:rPr>
                <w:rFonts w:hint="eastAsia"/>
                <w:color w:val="000000"/>
                <w:lang w:eastAsia="ja-JP"/>
              </w:rPr>
              <w:t>Expected</w:t>
            </w:r>
            <w:r>
              <w:rPr>
                <w:color w:val="000000"/>
                <w:lang w:eastAsia="ja-JP"/>
              </w:rPr>
              <w:t>):</w:t>
            </w:r>
          </w:p>
        </w:tc>
        <w:tc>
          <w:tcPr>
            <w:tcW w:w="7767" w:type="dxa"/>
          </w:tcPr>
          <w:p w14:paraId="34318351" w14:textId="77777777" w:rsidR="006E50EF" w:rsidRPr="00BC2D78" w:rsidRDefault="006E50EF" w:rsidP="001F54AA">
            <w:pPr>
              <w:autoSpaceDE w:val="0"/>
              <w:autoSpaceDN w:val="0"/>
              <w:adjustRightInd w:val="0"/>
            </w:pPr>
            <w:r w:rsidRPr="00BC2D78">
              <w:t xml:space="preserve">Enter the </w:t>
            </w:r>
            <w:r w:rsidRPr="00BC2D78">
              <w:rPr>
                <w:u w:val="single"/>
              </w:rPr>
              <w:t>all-hospital</w:t>
            </w:r>
            <w:r>
              <w:t xml:space="preserve"> STS “</w:t>
            </w:r>
            <w:r w:rsidRPr="00BC2D78">
              <w:t xml:space="preserve">Risk-adjusted </w:t>
            </w:r>
            <w:r>
              <w:t xml:space="preserve">Operative Mortality rate” for </w:t>
            </w:r>
            <w:r w:rsidRPr="00BC2D78">
              <w:t>AVR operative mor</w:t>
            </w:r>
            <w:r>
              <w:t xml:space="preserve">tality (report p. AV Replace-62 </w:t>
            </w:r>
            <w:r w:rsidRPr="00BC2D78">
              <w:t>or a page nearby</w:t>
            </w:r>
            <w:r>
              <w:t>) in</w:t>
            </w:r>
            <w:r w:rsidR="00933854">
              <w:t xml:space="preserve"> AVR Q</w:t>
            </w:r>
            <w:r w:rsidR="001F54AA">
              <w:t>uestion 8</w:t>
            </w:r>
            <w:r w:rsidRPr="00BC2D78">
              <w:t>, respectively. These are the national expected operative mortality rates to which you hospita</w:t>
            </w:r>
            <w:r>
              <w:t xml:space="preserve">l’s actual standardized rate in </w:t>
            </w:r>
            <w:r w:rsidR="00933854">
              <w:t>AVR Q</w:t>
            </w:r>
            <w:r w:rsidR="001F54AA">
              <w:t>uestion 7</w:t>
            </w:r>
            <w:r w:rsidRPr="00BC2D78">
              <w:t xml:space="preserve"> will be compared. Operative mortality includes in-hospital and 30-day post-operative mortality out-of-hospital.</w:t>
            </w:r>
          </w:p>
        </w:tc>
      </w:tr>
    </w:tbl>
    <w:p w14:paraId="6E38C768" w14:textId="77777777" w:rsidR="00926CC5" w:rsidRDefault="00926CC5" w:rsidP="00CA5E4C">
      <w:pPr>
        <w:pStyle w:val="Heading4"/>
        <w:framePr w:wrap="notBeside"/>
      </w:pPr>
      <w:bookmarkStart w:id="108" w:name="_Toc383775005"/>
    </w:p>
    <w:p w14:paraId="1346DB24" w14:textId="77777777" w:rsidR="006E50EF" w:rsidRPr="005B7CB8" w:rsidRDefault="00926CC5" w:rsidP="005B7CB8">
      <w:pPr>
        <w:pStyle w:val="Heading44"/>
      </w:pPr>
      <w:r w:rsidRPr="005B7CB8">
        <w:t xml:space="preserve">Questions #9-13 </w:t>
      </w:r>
      <w:r w:rsidR="006E50EF" w:rsidRPr="005B7CB8">
        <w:t>Instructions for Regional Registries</w:t>
      </w:r>
      <w:bookmarkEnd w:id="108"/>
    </w:p>
    <w:p w14:paraId="2051BF62" w14:textId="77777777" w:rsidR="00926CC5" w:rsidRPr="00926CC5" w:rsidRDefault="00926CC5" w:rsidP="00926CC5"/>
    <w:tbl>
      <w:tblPr>
        <w:tblW w:w="0" w:type="auto"/>
        <w:tblLook w:val="01E0" w:firstRow="1" w:lastRow="1" w:firstColumn="1" w:lastColumn="1" w:noHBand="0" w:noVBand="0"/>
      </w:tblPr>
      <w:tblGrid>
        <w:gridCol w:w="1809"/>
        <w:gridCol w:w="7767"/>
      </w:tblGrid>
      <w:tr w:rsidR="00110457" w:rsidRPr="00BC2D78" w14:paraId="21F6A2D7" w14:textId="77777777" w:rsidTr="0070197E">
        <w:tc>
          <w:tcPr>
            <w:tcW w:w="1809" w:type="dxa"/>
          </w:tcPr>
          <w:p w14:paraId="7B27DB21" w14:textId="77777777" w:rsidR="00110457" w:rsidRDefault="00110457" w:rsidP="0070197E">
            <w:pPr>
              <w:rPr>
                <w:b/>
              </w:rPr>
            </w:pPr>
            <w:r w:rsidRPr="00BC2D78">
              <w:rPr>
                <w:rFonts w:hint="eastAsia"/>
                <w:b/>
                <w:lang w:eastAsia="ja-JP"/>
              </w:rPr>
              <w:t>Entity</w:t>
            </w:r>
            <w:r w:rsidRPr="00BC2D78">
              <w:rPr>
                <w:b/>
              </w:rPr>
              <w:t>:</w:t>
            </w:r>
          </w:p>
          <w:p w14:paraId="430E7A99" w14:textId="77777777" w:rsidR="0018516D" w:rsidRPr="00BC2D78" w:rsidRDefault="0018516D" w:rsidP="0070197E">
            <w:pPr>
              <w:rPr>
                <w:color w:val="000000"/>
                <w:lang w:eastAsia="ja-JP"/>
              </w:rPr>
            </w:pPr>
          </w:p>
        </w:tc>
        <w:tc>
          <w:tcPr>
            <w:tcW w:w="7767" w:type="dxa"/>
            <w:shd w:val="clear" w:color="auto" w:fill="auto"/>
          </w:tcPr>
          <w:p w14:paraId="1D8211EE" w14:textId="77777777" w:rsidR="00110457" w:rsidRPr="002E164B" w:rsidRDefault="00110457" w:rsidP="0070197E">
            <w:r w:rsidRPr="00BC2D78">
              <w:rPr>
                <w:rFonts w:hint="eastAsia"/>
                <w:b/>
                <w:lang w:eastAsia="ja-JP"/>
              </w:rPr>
              <w:t>NNECDSG (ME, NH, VT only)</w:t>
            </w:r>
          </w:p>
        </w:tc>
      </w:tr>
      <w:tr w:rsidR="006E50EF" w:rsidRPr="00BC2D78" w14:paraId="24EEAB59" w14:textId="77777777" w:rsidTr="0070197E">
        <w:tc>
          <w:tcPr>
            <w:tcW w:w="1809" w:type="dxa"/>
          </w:tcPr>
          <w:p w14:paraId="0DD1E19C" w14:textId="77777777" w:rsidR="006E50EF" w:rsidRPr="00BC2D78" w:rsidRDefault="006E50EF" w:rsidP="0070197E">
            <w:r w:rsidRPr="00BC2D78">
              <w:rPr>
                <w:rFonts w:hint="eastAsia"/>
                <w:color w:val="000000"/>
                <w:lang w:eastAsia="ja-JP"/>
              </w:rPr>
              <w:t>Observed mortality rate:</w:t>
            </w:r>
          </w:p>
        </w:tc>
        <w:tc>
          <w:tcPr>
            <w:tcW w:w="7767" w:type="dxa"/>
            <w:shd w:val="clear" w:color="auto" w:fill="auto"/>
          </w:tcPr>
          <w:p w14:paraId="47C8C66F" w14:textId="77777777" w:rsidR="006E50EF" w:rsidRDefault="006E50EF" w:rsidP="0070197E">
            <w:r w:rsidRPr="002E164B">
              <w:t>In-hospital mortality rate includes any post-operative death during their admission for the procedure. Repor</w:t>
            </w:r>
            <w:r w:rsidR="00731E37">
              <w:t>t this as a percentage, with one</w:t>
            </w:r>
            <w:r w:rsidRPr="002E164B">
              <w:t xml:space="preserve"> decimal-place precision. </w:t>
            </w:r>
          </w:p>
          <w:p w14:paraId="7C7162F7" w14:textId="77777777" w:rsidR="006E50EF" w:rsidRPr="00BC2D78" w:rsidRDefault="006E50EF" w:rsidP="0070197E"/>
        </w:tc>
      </w:tr>
      <w:tr w:rsidR="006E50EF" w:rsidRPr="00BC2D78" w14:paraId="0F235F05" w14:textId="77777777" w:rsidTr="0070197E">
        <w:tc>
          <w:tcPr>
            <w:tcW w:w="1809" w:type="dxa"/>
          </w:tcPr>
          <w:p w14:paraId="7330347E" w14:textId="77777777" w:rsidR="006E50EF" w:rsidRPr="00BC2D78" w:rsidRDefault="006E50EF" w:rsidP="0070197E">
            <w:r>
              <w:rPr>
                <w:color w:val="000000"/>
                <w:lang w:eastAsia="ja-JP"/>
              </w:rPr>
              <w:t>Risk-Adjusted e</w:t>
            </w:r>
            <w:r w:rsidRPr="00BC2D78">
              <w:rPr>
                <w:rFonts w:hint="eastAsia"/>
                <w:color w:val="000000"/>
                <w:lang w:eastAsia="ja-JP"/>
              </w:rPr>
              <w:t>xpected mortality rate:</w:t>
            </w:r>
          </w:p>
        </w:tc>
        <w:tc>
          <w:tcPr>
            <w:tcW w:w="7767" w:type="dxa"/>
            <w:shd w:val="clear" w:color="auto" w:fill="auto"/>
          </w:tcPr>
          <w:p w14:paraId="1B5ACAB3" w14:textId="77777777" w:rsidR="006E50EF" w:rsidRDefault="006E50EF" w:rsidP="0070197E">
            <w:r w:rsidRPr="002E164B">
              <w:t>In-hospital mortality rate includes any post-operative death during their admission for the procedure. This is the expected mortality rate based on all-hospital average mortality, but risk-adjusted for the severity of the hospital's patient severity for the hospital's reported cases. Report this as a percentage, with</w:t>
            </w:r>
            <w:r w:rsidR="00731E37">
              <w:t xml:space="preserve"> one</w:t>
            </w:r>
            <w:r w:rsidRPr="002E164B">
              <w:t xml:space="preserve"> decimal-place precision. In no event should statistical confidence intervals be used or reported.</w:t>
            </w:r>
          </w:p>
          <w:p w14:paraId="051EF180" w14:textId="77777777" w:rsidR="006E50EF" w:rsidRPr="002E164B" w:rsidRDefault="006E50EF" w:rsidP="0070197E"/>
        </w:tc>
      </w:tr>
    </w:tbl>
    <w:p w14:paraId="5B00FA0A" w14:textId="77777777" w:rsidR="006E50EF" w:rsidRPr="00BC2D78" w:rsidRDefault="006E50EF" w:rsidP="00C52666">
      <w:pPr>
        <w:jc w:val="both"/>
        <w:rPr>
          <w:lang w:eastAsia="ja-JP"/>
        </w:rPr>
      </w:pPr>
      <w:r w:rsidRPr="00BC2D78">
        <w:rPr>
          <w:lang w:eastAsia="ja-JP"/>
        </w:rPr>
        <w:br w:type="page"/>
      </w:r>
    </w:p>
    <w:p w14:paraId="4F852673" w14:textId="77777777" w:rsidR="006E50EF" w:rsidRPr="00BD1C23" w:rsidRDefault="006E50EF" w:rsidP="00954B73">
      <w:pPr>
        <w:pStyle w:val="Heading2"/>
      </w:pPr>
      <w:bookmarkStart w:id="109" w:name="_Toc233710575"/>
      <w:bookmarkStart w:id="110" w:name="_Toc383775010"/>
      <w:bookmarkStart w:id="111" w:name="_Toc447194998"/>
      <w:r w:rsidRPr="00BD1C23">
        <w:lastRenderedPageBreak/>
        <w:t>AAA</w:t>
      </w:r>
      <w:r w:rsidRPr="00BD1C23">
        <w:rPr>
          <w:rFonts w:hint="eastAsia"/>
        </w:rPr>
        <w:t xml:space="preserve"> </w:t>
      </w:r>
      <w:r>
        <w:t xml:space="preserve">Repair </w:t>
      </w:r>
      <w:r w:rsidRPr="00BD1C23">
        <w:rPr>
          <w:rFonts w:hint="eastAsia"/>
        </w:rPr>
        <w:t>Measure References</w:t>
      </w:r>
      <w:bookmarkEnd w:id="109"/>
      <w:bookmarkEnd w:id="110"/>
      <w:bookmarkEnd w:id="111"/>
    </w:p>
    <w:p w14:paraId="4220FB4B" w14:textId="77777777" w:rsidR="006E50EF" w:rsidRDefault="006E50EF" w:rsidP="00C52666">
      <w:pPr>
        <w:rPr>
          <w:lang w:eastAsia="ja-JP"/>
        </w:rPr>
      </w:pPr>
    </w:p>
    <w:p w14:paraId="06554D35" w14:textId="77777777" w:rsidR="006E50EF" w:rsidRPr="000A6A35" w:rsidRDefault="006E50EF" w:rsidP="007A44CB">
      <w:pPr>
        <w:pStyle w:val="Heading3"/>
        <w:rPr>
          <w:sz w:val="20"/>
        </w:rPr>
      </w:pPr>
      <w:bookmarkStart w:id="112" w:name="_Toc233710576"/>
      <w:bookmarkStart w:id="113" w:name="_Toc383775011"/>
      <w:bookmarkStart w:id="114" w:name="_Toc447194999"/>
      <w:bookmarkStart w:id="115" w:name="AAAVol"/>
      <w:r w:rsidRPr="000A6A35">
        <w:rPr>
          <w:rFonts w:hint="eastAsia"/>
        </w:rPr>
        <w:t>AAA Volume Standard</w:t>
      </w:r>
      <w:bookmarkEnd w:id="112"/>
      <w:bookmarkEnd w:id="113"/>
      <w:bookmarkEnd w:id="114"/>
    </w:p>
    <w:bookmarkEnd w:id="115"/>
    <w:p w14:paraId="117F9F62" w14:textId="77777777" w:rsidR="006E50EF" w:rsidRPr="00BC2D78" w:rsidRDefault="006E50EF" w:rsidP="00C52666"/>
    <w:p w14:paraId="68121DC2" w14:textId="77777777" w:rsidR="006E50EF" w:rsidRPr="00BC2D78" w:rsidRDefault="006E50EF" w:rsidP="00C52666">
      <w:pPr>
        <w:rPr>
          <w:lang w:eastAsia="ja-JP"/>
        </w:rPr>
      </w:pPr>
      <w:r w:rsidRPr="00BC2D78">
        <w:t xml:space="preserve">For AAA, there are two sets of ICD-9-CM codes for counting patients for each of these procedures. The first set of codes is for counting </w:t>
      </w:r>
      <w:r w:rsidRPr="00BC2D78">
        <w:rPr>
          <w:u w:val="single"/>
        </w:rPr>
        <w:t>all</w:t>
      </w:r>
      <w:r w:rsidRPr="00BC2D78">
        <w:t xml:space="preserve"> patients who have ha</w:t>
      </w:r>
      <w:r>
        <w:t>d the procedure (Question #</w:t>
      </w:r>
      <w:r w:rsidR="00BB41A9">
        <w:t>2</w:t>
      </w:r>
      <w:r>
        <w:t xml:space="preserve">). </w:t>
      </w:r>
      <w:r w:rsidRPr="00BC2D78">
        <w:t>The second set of codes for AAA is for counting patients who have had a non-emergent or non-ruptu</w:t>
      </w:r>
      <w:r>
        <w:t>red repair (AAA Question #</w:t>
      </w:r>
      <w:r w:rsidR="00BB41A9">
        <w:t>3</w:t>
      </w:r>
      <w:r>
        <w:t xml:space="preserv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1A0C8D4C" w14:textId="77777777" w:rsidR="006E50EF" w:rsidRPr="00BC2D78" w:rsidRDefault="006E50EF" w:rsidP="00C52666">
      <w:pPr>
        <w:rPr>
          <w:i/>
          <w:lang w:eastAsia="ja-JP"/>
        </w:rPr>
      </w:pPr>
    </w:p>
    <w:p w14:paraId="6E954CB6" w14:textId="77777777" w:rsidR="006E50EF" w:rsidRPr="006A3FDE"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w:t>
      </w:r>
      <w:r>
        <w:rPr>
          <w:i/>
          <w:color w:val="000000"/>
        </w:rPr>
        <w:t xml:space="preserve">hen calculating hospital volume: </w:t>
      </w:r>
      <w:r w:rsidRPr="00BC2D78">
        <w:rPr>
          <w:i/>
          <w:color w:val="000000"/>
        </w:rPr>
        <w:t xml:space="preserve">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70ACD37B" w14:textId="77777777" w:rsidR="006E50EF" w:rsidRPr="00FC3AEE" w:rsidRDefault="006E50EF" w:rsidP="00C52666">
      <w:pPr>
        <w:rPr>
          <w:b/>
        </w:rPr>
      </w:pPr>
    </w:p>
    <w:p w14:paraId="313A0F25" w14:textId="77777777" w:rsidR="006E50EF" w:rsidRPr="005B7CB8" w:rsidRDefault="00E445CB" w:rsidP="005B7CB8">
      <w:pPr>
        <w:pStyle w:val="Heading44"/>
      </w:pPr>
      <w:bookmarkStart w:id="116" w:name="_Toc383775012"/>
      <w:r w:rsidRPr="005B7CB8">
        <w:rPr>
          <w:rFonts w:hint="eastAsia"/>
        </w:rPr>
        <w:t>Q</w:t>
      </w:r>
      <w:r w:rsidRPr="005B7CB8">
        <w:t xml:space="preserve">uestion </w:t>
      </w:r>
      <w:r w:rsidR="00205B89" w:rsidRPr="005B7CB8">
        <w:t>#</w:t>
      </w:r>
      <w:r w:rsidRPr="005B7CB8">
        <w:t>2</w:t>
      </w:r>
      <w:r w:rsidR="006E50EF" w:rsidRPr="005B7CB8">
        <w:rPr>
          <w:rFonts w:hint="eastAsia"/>
        </w:rPr>
        <w:t>:</w:t>
      </w:r>
      <w:r w:rsidR="006E50EF" w:rsidRPr="005B7CB8">
        <w:t xml:space="preserve"> All patients undergoing procedure</w:t>
      </w:r>
      <w:bookmarkEnd w:id="116"/>
    </w:p>
    <w:p w14:paraId="1B63C2DA" w14:textId="77777777" w:rsidR="006E50EF" w:rsidRPr="00FC3AEE" w:rsidRDefault="006E50EF" w:rsidP="00C52666">
      <w:pPr>
        <w:rPr>
          <w:b/>
        </w:rPr>
      </w:pPr>
    </w:p>
    <w:p w14:paraId="5D36F8D0" w14:textId="77777777" w:rsidR="006E50EF" w:rsidRPr="00BC2D78" w:rsidRDefault="006E50EF" w:rsidP="00C52666">
      <w:r w:rsidRPr="00BC2D78">
        <w:rPr>
          <w:b/>
        </w:rPr>
        <w:t>Source</w:t>
      </w:r>
      <w:r w:rsidRPr="00BC2D78">
        <w:t>:  The Leapfrog Group</w:t>
      </w:r>
    </w:p>
    <w:p w14:paraId="20F438AD" w14:textId="77777777" w:rsidR="006E50EF" w:rsidRPr="00BC2D78" w:rsidRDefault="006E50EF" w:rsidP="00C52666"/>
    <w:p w14:paraId="542F1B04" w14:textId="77777777" w:rsidR="006E50EF" w:rsidRPr="00BC2D78" w:rsidRDefault="006E50EF" w:rsidP="00C52666">
      <w:r w:rsidRPr="00BC2D78">
        <w:t>Number of patients</w:t>
      </w:r>
      <w:r w:rsidR="00205B89">
        <w:t>, age 18 years and older,</w:t>
      </w:r>
      <w:r w:rsidRPr="00BC2D78">
        <w:t xml:space="preserve"> discharged with </w:t>
      </w:r>
      <w:r w:rsidR="00205B89">
        <w:t xml:space="preserve">the following </w:t>
      </w:r>
      <w:r w:rsidRPr="00BC2D78">
        <w:t xml:space="preserve">ICD-9-CM codes </w:t>
      </w:r>
      <w:r w:rsidR="00205B89">
        <w:t>in any procedure field:</w:t>
      </w:r>
    </w:p>
    <w:p w14:paraId="2E2C3DF3" w14:textId="77777777" w:rsidR="006E50EF" w:rsidRPr="00BC2D78" w:rsidRDefault="006E50EF" w:rsidP="00C52666"/>
    <w:p w14:paraId="7251506B" w14:textId="77777777" w:rsidR="006E50EF" w:rsidRPr="00FD6A76" w:rsidRDefault="006E50EF" w:rsidP="00C52666">
      <w:pPr>
        <w:rPr>
          <w:b/>
        </w:rPr>
      </w:pPr>
      <w:r w:rsidRPr="00FD6A76">
        <w:rPr>
          <w:b/>
        </w:rPr>
        <w:t>ICD-9-CM AAA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1794AF66" w14:textId="77777777" w:rsidTr="00BB41A9">
        <w:tc>
          <w:tcPr>
            <w:tcW w:w="1008" w:type="dxa"/>
          </w:tcPr>
          <w:p w14:paraId="3486FB1A" w14:textId="77777777" w:rsidR="006E50EF" w:rsidRPr="00BC2D78" w:rsidRDefault="006E50EF" w:rsidP="0070197E">
            <w:r w:rsidRPr="00BC2D78">
              <w:t>38.34</w:t>
            </w:r>
          </w:p>
        </w:tc>
        <w:tc>
          <w:tcPr>
            <w:tcW w:w="8568" w:type="dxa"/>
          </w:tcPr>
          <w:p w14:paraId="395BF361" w14:textId="77777777" w:rsidR="006E50EF" w:rsidRPr="00BC2D78" w:rsidRDefault="006E50EF" w:rsidP="0070197E">
            <w:r w:rsidRPr="00BC2D78">
              <w:t>Resection of aorta with anastomosis</w:t>
            </w:r>
          </w:p>
        </w:tc>
      </w:tr>
      <w:tr w:rsidR="006E50EF" w:rsidRPr="00BC2D78" w14:paraId="799A6C62" w14:textId="77777777" w:rsidTr="00BB41A9">
        <w:tc>
          <w:tcPr>
            <w:tcW w:w="1008" w:type="dxa"/>
          </w:tcPr>
          <w:p w14:paraId="3E19A9C1" w14:textId="77777777" w:rsidR="006E50EF" w:rsidRPr="00BC2D78" w:rsidRDefault="006E50EF" w:rsidP="0070197E">
            <w:r w:rsidRPr="00BC2D78">
              <w:t>38.44</w:t>
            </w:r>
          </w:p>
        </w:tc>
        <w:tc>
          <w:tcPr>
            <w:tcW w:w="8568" w:type="dxa"/>
          </w:tcPr>
          <w:p w14:paraId="799238D0" w14:textId="77777777" w:rsidR="006E50EF" w:rsidRPr="00BC2D78" w:rsidRDefault="006E50EF" w:rsidP="0070197E">
            <w:r w:rsidRPr="00BC2D78">
              <w:t>Resection of abdominal aorta with replacement</w:t>
            </w:r>
          </w:p>
        </w:tc>
      </w:tr>
      <w:tr w:rsidR="006E50EF" w:rsidRPr="00BC2D78" w14:paraId="20F678EE" w14:textId="77777777" w:rsidTr="00BB41A9">
        <w:tc>
          <w:tcPr>
            <w:tcW w:w="1008" w:type="dxa"/>
          </w:tcPr>
          <w:p w14:paraId="343CF04D" w14:textId="77777777" w:rsidR="006E50EF" w:rsidRPr="00BC2D78" w:rsidRDefault="006E50EF" w:rsidP="0070197E">
            <w:r w:rsidRPr="00BC2D78">
              <w:t>38.64</w:t>
            </w:r>
          </w:p>
        </w:tc>
        <w:tc>
          <w:tcPr>
            <w:tcW w:w="8568" w:type="dxa"/>
          </w:tcPr>
          <w:p w14:paraId="20DB87D3" w14:textId="77777777" w:rsidR="006E50EF" w:rsidRPr="00BC2D78" w:rsidRDefault="006E50EF" w:rsidP="0070197E">
            <w:r w:rsidRPr="00BC2D78">
              <w:t>Other excision of abdominal aorta</w:t>
            </w:r>
          </w:p>
        </w:tc>
      </w:tr>
      <w:tr w:rsidR="006E50EF" w:rsidRPr="00BC2D78" w14:paraId="098A107A" w14:textId="77777777" w:rsidTr="00BB41A9">
        <w:tc>
          <w:tcPr>
            <w:tcW w:w="1008" w:type="dxa"/>
          </w:tcPr>
          <w:p w14:paraId="2A89FCAF" w14:textId="77777777" w:rsidR="006E50EF" w:rsidRPr="00BC2D78" w:rsidRDefault="006E50EF" w:rsidP="0070197E">
            <w:r w:rsidRPr="00BC2D78">
              <w:t>39.25</w:t>
            </w:r>
          </w:p>
        </w:tc>
        <w:tc>
          <w:tcPr>
            <w:tcW w:w="8568" w:type="dxa"/>
          </w:tcPr>
          <w:p w14:paraId="0AAF7E39" w14:textId="77777777" w:rsidR="006E50EF" w:rsidRPr="00BC2D78" w:rsidRDefault="006E50EF" w:rsidP="0070197E">
            <w:r w:rsidRPr="00BC2D78">
              <w:t>Aorta-iliac-femoral bypass</w:t>
            </w:r>
          </w:p>
        </w:tc>
      </w:tr>
      <w:tr w:rsidR="006E50EF" w:rsidRPr="00BC2D78" w14:paraId="1CC469C6" w14:textId="77777777" w:rsidTr="00BB41A9">
        <w:tc>
          <w:tcPr>
            <w:tcW w:w="1008" w:type="dxa"/>
          </w:tcPr>
          <w:p w14:paraId="10A6BB8A" w14:textId="77777777" w:rsidR="006E50EF" w:rsidRPr="00BC2D78" w:rsidRDefault="006E50EF" w:rsidP="0070197E">
            <w:r w:rsidRPr="00BC2D78">
              <w:t>39.71</w:t>
            </w:r>
          </w:p>
        </w:tc>
        <w:tc>
          <w:tcPr>
            <w:tcW w:w="8568" w:type="dxa"/>
          </w:tcPr>
          <w:p w14:paraId="67755ED8" w14:textId="77777777" w:rsidR="006E50EF" w:rsidRPr="00BC2D78" w:rsidRDefault="006E50EF" w:rsidP="0070197E">
            <w:r w:rsidRPr="00BC2D78">
              <w:t>Endovascular implementation of graft in abdominal aorta</w:t>
            </w:r>
          </w:p>
        </w:tc>
      </w:tr>
    </w:tbl>
    <w:p w14:paraId="361A9A96" w14:textId="77777777" w:rsidR="006E50EF" w:rsidRPr="00BC2D78" w:rsidRDefault="006E50EF" w:rsidP="00C52666">
      <w:pPr>
        <w:rPr>
          <w:b/>
        </w:rPr>
      </w:pPr>
    </w:p>
    <w:p w14:paraId="35A9352C" w14:textId="77777777" w:rsidR="006E50EF" w:rsidRPr="00BC2D78" w:rsidRDefault="006E50EF" w:rsidP="00C52666">
      <w:pPr>
        <w:rPr>
          <w:b/>
        </w:rPr>
      </w:pPr>
      <w:r w:rsidRPr="00BC2D78">
        <w:rPr>
          <w:b/>
        </w:rPr>
        <w:t xml:space="preserve">Exclude cases:  </w:t>
      </w:r>
    </w:p>
    <w:p w14:paraId="3769BA2B" w14:textId="77777777" w:rsidR="006E50EF" w:rsidRPr="00BC2D78" w:rsidRDefault="006E50EF" w:rsidP="00C52666">
      <w:r w:rsidRPr="00BC2D78">
        <w:t xml:space="preserve">MDC    14 (pregnancy, childbirth, and puerperium) </w:t>
      </w:r>
    </w:p>
    <w:p w14:paraId="6E17CDA6" w14:textId="77777777" w:rsidR="006E50EF" w:rsidRPr="00BC2D78" w:rsidRDefault="006E50EF" w:rsidP="00C52666">
      <w:r w:rsidRPr="00BC2D78">
        <w:t>MDC    15 (newborns and other neonates)</w:t>
      </w:r>
    </w:p>
    <w:p w14:paraId="223944D4" w14:textId="77777777" w:rsidR="006E50EF" w:rsidRPr="00FC3AEE" w:rsidRDefault="006E50EF" w:rsidP="00577723">
      <w:pPr>
        <w:rPr>
          <w:b/>
        </w:rPr>
      </w:pPr>
      <w:bookmarkStart w:id="117" w:name="_Toc383775013"/>
    </w:p>
    <w:p w14:paraId="0A1245AC" w14:textId="77777777" w:rsidR="006E50EF" w:rsidRPr="005B7CB8" w:rsidRDefault="00E445CB" w:rsidP="005B7CB8">
      <w:pPr>
        <w:pStyle w:val="Heading44"/>
      </w:pPr>
      <w:r w:rsidRPr="005B7CB8">
        <w:rPr>
          <w:rFonts w:hint="eastAsia"/>
        </w:rPr>
        <w:t>Q</w:t>
      </w:r>
      <w:r w:rsidRPr="005B7CB8">
        <w:t xml:space="preserve">uestion </w:t>
      </w:r>
      <w:r w:rsidR="00205B89" w:rsidRPr="005B7CB8">
        <w:t>#</w:t>
      </w:r>
      <w:r w:rsidRPr="005B7CB8">
        <w:t xml:space="preserve">3: </w:t>
      </w:r>
      <w:r w:rsidR="006E50EF" w:rsidRPr="005B7CB8">
        <w:t>Patients with an unruptured AAA procedure</w:t>
      </w:r>
      <w:bookmarkEnd w:id="117"/>
    </w:p>
    <w:p w14:paraId="7A0783FD" w14:textId="77777777" w:rsidR="006E50EF" w:rsidRPr="005B7CB8" w:rsidRDefault="006E50EF" w:rsidP="005B7CB8">
      <w:pPr>
        <w:pStyle w:val="Heading44"/>
      </w:pPr>
    </w:p>
    <w:p w14:paraId="0D5F7D12" w14:textId="77777777" w:rsidR="006E50EF" w:rsidRPr="00BC2D78" w:rsidRDefault="006E50EF" w:rsidP="00C52666">
      <w:r w:rsidRPr="00BC2D78">
        <w:rPr>
          <w:b/>
        </w:rPr>
        <w:t>Source</w:t>
      </w:r>
      <w:r w:rsidRPr="00BC2D78">
        <w:t>:  The Leapfrog Group</w:t>
      </w:r>
    </w:p>
    <w:p w14:paraId="234DCE45" w14:textId="77777777" w:rsidR="006E50EF" w:rsidRPr="00BC2D78" w:rsidRDefault="006E50EF" w:rsidP="00C52666"/>
    <w:p w14:paraId="7AEEDF6A"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38FDE81C" w14:textId="77777777" w:rsidR="006E50EF" w:rsidRPr="00BC2D78" w:rsidRDefault="006E50EF" w:rsidP="00C52666"/>
    <w:p w14:paraId="7FBE44B9" w14:textId="77777777" w:rsidR="006E50EF" w:rsidRPr="00FD6A76" w:rsidRDefault="006E50EF" w:rsidP="00C52666">
      <w:pPr>
        <w:rPr>
          <w:b/>
        </w:rPr>
      </w:pPr>
      <w:r w:rsidRPr="00FD6A76">
        <w:rPr>
          <w:b/>
        </w:rPr>
        <w:t xml:space="preserve">ICD-9-CM AAA procedure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48360E09" w14:textId="77777777" w:rsidTr="00BB41A9">
        <w:tc>
          <w:tcPr>
            <w:tcW w:w="1008" w:type="dxa"/>
          </w:tcPr>
          <w:p w14:paraId="415F6325" w14:textId="77777777" w:rsidR="006E50EF" w:rsidRPr="00BC2D78" w:rsidRDefault="006E50EF" w:rsidP="0070197E">
            <w:r w:rsidRPr="00BC2D78">
              <w:t>38.34</w:t>
            </w:r>
          </w:p>
        </w:tc>
        <w:tc>
          <w:tcPr>
            <w:tcW w:w="8568" w:type="dxa"/>
          </w:tcPr>
          <w:p w14:paraId="036B58B0" w14:textId="77777777" w:rsidR="006E50EF" w:rsidRPr="00BC2D78" w:rsidRDefault="006E50EF" w:rsidP="0070197E">
            <w:r w:rsidRPr="00BC2D78">
              <w:t>Resection of aorta with anastomosis</w:t>
            </w:r>
          </w:p>
        </w:tc>
      </w:tr>
      <w:tr w:rsidR="006E50EF" w:rsidRPr="00BC2D78" w14:paraId="4BF33BC4" w14:textId="77777777" w:rsidTr="00BB41A9">
        <w:tc>
          <w:tcPr>
            <w:tcW w:w="1008" w:type="dxa"/>
          </w:tcPr>
          <w:p w14:paraId="5CC54EA7" w14:textId="77777777" w:rsidR="006E50EF" w:rsidRPr="00BC2D78" w:rsidRDefault="006E50EF" w:rsidP="0070197E">
            <w:r w:rsidRPr="00BC2D78">
              <w:t>38.44</w:t>
            </w:r>
          </w:p>
        </w:tc>
        <w:tc>
          <w:tcPr>
            <w:tcW w:w="8568" w:type="dxa"/>
          </w:tcPr>
          <w:p w14:paraId="18673F47" w14:textId="77777777" w:rsidR="006E50EF" w:rsidRPr="00BC2D78" w:rsidRDefault="006E50EF" w:rsidP="0070197E">
            <w:r w:rsidRPr="00BC2D78">
              <w:t>Resection of abdominal aorta with replacement</w:t>
            </w:r>
          </w:p>
        </w:tc>
      </w:tr>
      <w:tr w:rsidR="006E50EF" w:rsidRPr="00BC2D78" w14:paraId="5C488B00" w14:textId="77777777" w:rsidTr="00BB41A9">
        <w:tc>
          <w:tcPr>
            <w:tcW w:w="1008" w:type="dxa"/>
          </w:tcPr>
          <w:p w14:paraId="4D48B827" w14:textId="77777777" w:rsidR="006E50EF" w:rsidRPr="00BC2D78" w:rsidRDefault="006E50EF" w:rsidP="0070197E">
            <w:r w:rsidRPr="00BC2D78">
              <w:t>38.64</w:t>
            </w:r>
          </w:p>
        </w:tc>
        <w:tc>
          <w:tcPr>
            <w:tcW w:w="8568" w:type="dxa"/>
          </w:tcPr>
          <w:p w14:paraId="79CD83DC" w14:textId="77777777" w:rsidR="006E50EF" w:rsidRPr="00BC2D78" w:rsidRDefault="006E50EF" w:rsidP="0070197E">
            <w:r w:rsidRPr="00BC2D78">
              <w:t>Other excision of abdominal aorta</w:t>
            </w:r>
          </w:p>
        </w:tc>
      </w:tr>
      <w:tr w:rsidR="006E50EF" w:rsidRPr="00BC2D78" w14:paraId="1563CC13" w14:textId="77777777" w:rsidTr="00BB41A9">
        <w:tc>
          <w:tcPr>
            <w:tcW w:w="1008" w:type="dxa"/>
          </w:tcPr>
          <w:p w14:paraId="66097768" w14:textId="77777777" w:rsidR="006E50EF" w:rsidRPr="00BC2D78" w:rsidRDefault="006E50EF" w:rsidP="0070197E">
            <w:r w:rsidRPr="00BC2D78">
              <w:t>39.25</w:t>
            </w:r>
          </w:p>
        </w:tc>
        <w:tc>
          <w:tcPr>
            <w:tcW w:w="8568" w:type="dxa"/>
          </w:tcPr>
          <w:p w14:paraId="1436CD04" w14:textId="77777777" w:rsidR="006E50EF" w:rsidRPr="00BC2D78" w:rsidRDefault="006E50EF" w:rsidP="0070197E">
            <w:r w:rsidRPr="00BC2D78">
              <w:t>Aorta-iliac-femoral bypass</w:t>
            </w:r>
          </w:p>
        </w:tc>
      </w:tr>
      <w:tr w:rsidR="006E50EF" w:rsidRPr="00BC2D78" w14:paraId="0D5DB9E1" w14:textId="77777777" w:rsidTr="00BB41A9">
        <w:tc>
          <w:tcPr>
            <w:tcW w:w="1008" w:type="dxa"/>
          </w:tcPr>
          <w:p w14:paraId="3098C288" w14:textId="77777777" w:rsidR="006E50EF" w:rsidRPr="00BC2D78" w:rsidRDefault="006E50EF" w:rsidP="0070197E">
            <w:r w:rsidRPr="00BC2D78">
              <w:t>39.71</w:t>
            </w:r>
          </w:p>
        </w:tc>
        <w:tc>
          <w:tcPr>
            <w:tcW w:w="8568" w:type="dxa"/>
          </w:tcPr>
          <w:p w14:paraId="6F6B95C6" w14:textId="77777777" w:rsidR="006E50EF" w:rsidRPr="00BC2D78" w:rsidRDefault="006E50EF" w:rsidP="0070197E">
            <w:r w:rsidRPr="00BC2D78">
              <w:t>Endovascular implementation of graft in abdominal aorta</w:t>
            </w:r>
          </w:p>
        </w:tc>
      </w:tr>
    </w:tbl>
    <w:p w14:paraId="5FB0A469" w14:textId="77777777" w:rsidR="006E50EF" w:rsidRDefault="006E50EF" w:rsidP="00C52666"/>
    <w:p w14:paraId="16A0286A" w14:textId="77777777" w:rsidR="006E50EF" w:rsidRDefault="006E50EF" w:rsidP="006A3FDE">
      <w:pPr>
        <w:jc w:val="center"/>
        <w:rPr>
          <w:b/>
        </w:rPr>
      </w:pPr>
      <w:r w:rsidRPr="00BC2D78">
        <w:rPr>
          <w:b/>
        </w:rPr>
        <w:t>AND</w:t>
      </w:r>
    </w:p>
    <w:p w14:paraId="193B1CF0" w14:textId="77777777" w:rsidR="006E50EF" w:rsidRPr="00FD6A76" w:rsidRDefault="006E50EF" w:rsidP="00C52666">
      <w:pPr>
        <w:rPr>
          <w:b/>
        </w:rPr>
      </w:pPr>
      <w:r w:rsidRPr="00FD6A76">
        <w:rPr>
          <w:b/>
        </w:rPr>
        <w:t xml:space="preserve">ICD-9-CM Diagnosis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C494EAF" w14:textId="77777777" w:rsidTr="00BB41A9">
        <w:tc>
          <w:tcPr>
            <w:tcW w:w="1008" w:type="dxa"/>
          </w:tcPr>
          <w:p w14:paraId="0BD1E008" w14:textId="77777777" w:rsidR="006E50EF" w:rsidRPr="00BC2D78" w:rsidRDefault="006E50EF" w:rsidP="0070197E">
            <w:r w:rsidRPr="00BC2D78">
              <w:t>441.4</w:t>
            </w:r>
          </w:p>
        </w:tc>
        <w:tc>
          <w:tcPr>
            <w:tcW w:w="8568" w:type="dxa"/>
          </w:tcPr>
          <w:p w14:paraId="0D8C5944" w14:textId="77777777" w:rsidR="006E50EF" w:rsidRPr="00BC2D78" w:rsidRDefault="006E50EF" w:rsidP="0070197E">
            <w:r w:rsidRPr="00BC2D78">
              <w:t>Abdominal aneurysm without mention of rupture</w:t>
            </w:r>
          </w:p>
        </w:tc>
      </w:tr>
      <w:tr w:rsidR="006E50EF" w:rsidRPr="00BC2D78" w14:paraId="53BF33B1" w14:textId="77777777" w:rsidTr="00BB41A9">
        <w:tc>
          <w:tcPr>
            <w:tcW w:w="1008" w:type="dxa"/>
          </w:tcPr>
          <w:p w14:paraId="035C6645" w14:textId="77777777" w:rsidR="006E50EF" w:rsidRPr="00BC2D78" w:rsidRDefault="006E50EF" w:rsidP="0070197E">
            <w:r w:rsidRPr="00BC2D78">
              <w:t>441.9</w:t>
            </w:r>
          </w:p>
        </w:tc>
        <w:tc>
          <w:tcPr>
            <w:tcW w:w="8568" w:type="dxa"/>
          </w:tcPr>
          <w:p w14:paraId="0ACC1E9D" w14:textId="77777777" w:rsidR="006E50EF" w:rsidRPr="00BC2D78" w:rsidRDefault="006E50EF" w:rsidP="0070197E">
            <w:r w:rsidRPr="00BC2D78">
              <w:t>Aortic aneurysm of unspecified site without rupture</w:t>
            </w:r>
          </w:p>
        </w:tc>
      </w:tr>
    </w:tbl>
    <w:p w14:paraId="692EF227" w14:textId="77777777" w:rsidR="006E50EF" w:rsidRDefault="006E50EF" w:rsidP="00C52666"/>
    <w:p w14:paraId="490CAEBD" w14:textId="77777777" w:rsidR="006E50EF" w:rsidRPr="00BC2D78" w:rsidRDefault="006E50EF" w:rsidP="00C52666">
      <w:pPr>
        <w:rPr>
          <w:b/>
        </w:rPr>
      </w:pPr>
      <w:r w:rsidRPr="00BC2D78">
        <w:rPr>
          <w:b/>
        </w:rPr>
        <w:t>Exclude cases:</w:t>
      </w:r>
    </w:p>
    <w:p w14:paraId="06986A12" w14:textId="77777777" w:rsidR="006E50EF" w:rsidRPr="00BC2D78" w:rsidRDefault="006E50EF" w:rsidP="00C52666">
      <w:r w:rsidRPr="00BC2D78">
        <w:t xml:space="preserve">MDC    14 (pregnancy, childbirth, and puerperium) </w:t>
      </w:r>
    </w:p>
    <w:p w14:paraId="2029ED1D" w14:textId="77777777" w:rsidR="006E50EF" w:rsidRPr="00BC2D78" w:rsidRDefault="006E50EF" w:rsidP="00C52666">
      <w:r w:rsidRPr="00BC2D78">
        <w:t>MDC    15 (newborns and other neonates)</w:t>
      </w:r>
    </w:p>
    <w:p w14:paraId="037A2A56" w14:textId="77777777" w:rsidR="006E50EF" w:rsidRDefault="006E50EF" w:rsidP="00577723">
      <w:pPr>
        <w:rPr>
          <w:lang w:eastAsia="ja-JP"/>
        </w:rPr>
      </w:pPr>
    </w:p>
    <w:p w14:paraId="00B6CC95" w14:textId="77777777" w:rsidR="006E50EF" w:rsidRPr="00BC2D78" w:rsidRDefault="006E50EF" w:rsidP="00954B73">
      <w:pPr>
        <w:pStyle w:val="Heading2"/>
      </w:pPr>
      <w:bookmarkStart w:id="118" w:name="_Toc233710580"/>
      <w:bookmarkStart w:id="119" w:name="_Toc383775016"/>
      <w:bookmarkStart w:id="120" w:name="_Toc447195000"/>
      <w:r w:rsidRPr="00BC2D78">
        <w:lastRenderedPageBreak/>
        <w:t>Pancreatectomy</w:t>
      </w:r>
      <w:r w:rsidRPr="00BC2D78">
        <w:rPr>
          <w:rFonts w:hint="eastAsia"/>
        </w:rPr>
        <w:t xml:space="preserve"> Measure References</w:t>
      </w:r>
      <w:bookmarkEnd w:id="118"/>
      <w:bookmarkEnd w:id="119"/>
      <w:bookmarkEnd w:id="120"/>
    </w:p>
    <w:p w14:paraId="7FD33176" w14:textId="77777777" w:rsidR="006E50EF" w:rsidRPr="00BC2D78" w:rsidRDefault="006E50EF" w:rsidP="00C52666">
      <w:pPr>
        <w:rPr>
          <w:lang w:eastAsia="ja-JP"/>
        </w:rPr>
      </w:pPr>
    </w:p>
    <w:p w14:paraId="641D8B0E" w14:textId="77777777" w:rsidR="006E50EF" w:rsidRPr="00BC2D78" w:rsidRDefault="006E50EF" w:rsidP="007A44CB">
      <w:pPr>
        <w:pStyle w:val="Heading3"/>
      </w:pPr>
      <w:bookmarkStart w:id="121" w:name="_Toc233710581"/>
      <w:bookmarkStart w:id="122" w:name="_Toc383775017"/>
      <w:bookmarkStart w:id="123" w:name="_Toc447195001"/>
      <w:bookmarkStart w:id="124" w:name="PancVol"/>
      <w:r w:rsidRPr="00BC2D78">
        <w:t>Pancreatectomy</w:t>
      </w:r>
      <w:r w:rsidRPr="00BC2D78">
        <w:rPr>
          <w:rFonts w:hint="eastAsia"/>
        </w:rPr>
        <w:t xml:space="preserve"> Volume </w:t>
      </w:r>
      <w:r w:rsidRPr="00061D9E">
        <w:rPr>
          <w:rFonts w:hint="eastAsia"/>
        </w:rPr>
        <w:t>Standard</w:t>
      </w:r>
      <w:bookmarkEnd w:id="121"/>
      <w:bookmarkEnd w:id="122"/>
      <w:bookmarkEnd w:id="123"/>
    </w:p>
    <w:bookmarkEnd w:id="124"/>
    <w:p w14:paraId="5C6C81F5" w14:textId="77777777" w:rsidR="006E50EF" w:rsidRPr="00BC2D78" w:rsidRDefault="006E50EF" w:rsidP="00C52666"/>
    <w:p w14:paraId="49C28718" w14:textId="77777777" w:rsidR="006E50EF" w:rsidRPr="00BC2D78" w:rsidRDefault="006E50EF" w:rsidP="00C52666">
      <w:r w:rsidRPr="00BC2D78">
        <w:t xml:space="preserve">For Pancreatectomy, there are two sets of ICD-9-CM codes for counting patients for each of these procedures. The first set of codes is for counting </w:t>
      </w:r>
      <w:r w:rsidRPr="00BC2D78">
        <w:rPr>
          <w:u w:val="single"/>
        </w:rPr>
        <w:t>all</w:t>
      </w:r>
      <w:r w:rsidRPr="00BC2D78">
        <w:t xml:space="preserve"> patients who have had the procedure (Question #</w:t>
      </w:r>
      <w:r w:rsidR="00BB41A9">
        <w:t>2</w:t>
      </w:r>
      <w:r w:rsidRPr="00BC2D78">
        <w:t>).  The second set of codes for Pancreatectomy is for counting patients who have had the procedure and also had a diag</w:t>
      </w:r>
      <w:r>
        <w:t>nosis of cancer (Question #</w:t>
      </w:r>
      <w:r w:rsidR="00BB41A9">
        <w:t>3</w:t>
      </w:r>
      <w:r>
        <w:t xml:space="preserv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46C57D8F" w14:textId="77777777" w:rsidR="006E50EF" w:rsidRPr="00BC2D78" w:rsidRDefault="006E50EF" w:rsidP="00C52666">
      <w:pPr>
        <w:rPr>
          <w:i/>
          <w:lang w:eastAsia="ja-JP"/>
        </w:rPr>
      </w:pPr>
    </w:p>
    <w:p w14:paraId="216EA8A0" w14:textId="77777777" w:rsidR="006E50EF" w:rsidRPr="00BC2D78"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w:t>
      </w:r>
      <w:r>
        <w:rPr>
          <w:i/>
          <w:color w:val="000000"/>
        </w:rPr>
        <w:t>hen calculating hospital volume:</w:t>
      </w:r>
      <w:r w:rsidRPr="00BC2D78">
        <w:rPr>
          <w:i/>
          <w:color w:val="000000"/>
        </w:rPr>
        <w:t xml:space="preserve"> 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2D47B527" w14:textId="77777777" w:rsidR="006E50EF" w:rsidRPr="00BC2D78" w:rsidRDefault="006E50EF" w:rsidP="00C52666"/>
    <w:p w14:paraId="32FD6765" w14:textId="77777777" w:rsidR="006E50EF" w:rsidRPr="006A3FDE" w:rsidRDefault="006E50EF" w:rsidP="00C52666">
      <w:r w:rsidRPr="00BC2D78">
        <w:rPr>
          <w:rFonts w:hint="eastAsia"/>
          <w:lang w:eastAsia="ja-JP"/>
        </w:rPr>
        <w:t>T</w:t>
      </w:r>
      <w:r w:rsidRPr="00BC2D78">
        <w:t xml:space="preserve">he count for the volume measures can include emergent cases as well as “elective” scheduled cases. </w:t>
      </w:r>
    </w:p>
    <w:p w14:paraId="3E745972" w14:textId="77777777" w:rsidR="000A5D6B" w:rsidRPr="005B7CB8" w:rsidRDefault="000A5D6B" w:rsidP="005B7CB8">
      <w:pPr>
        <w:pStyle w:val="Heading44"/>
      </w:pPr>
      <w:bookmarkStart w:id="125" w:name="_Toc383775018"/>
    </w:p>
    <w:p w14:paraId="10983665" w14:textId="77777777" w:rsidR="00177E7B" w:rsidRPr="005B7CB8" w:rsidRDefault="00177E7B" w:rsidP="005B7CB8">
      <w:pPr>
        <w:pStyle w:val="Heading44"/>
      </w:pPr>
    </w:p>
    <w:p w14:paraId="3A6B7B36" w14:textId="77777777" w:rsidR="006E50EF" w:rsidRPr="005B7CB8" w:rsidRDefault="00E445CB" w:rsidP="005B7CB8">
      <w:pPr>
        <w:pStyle w:val="Heading44"/>
      </w:pPr>
      <w:r w:rsidRPr="005B7CB8">
        <w:rPr>
          <w:rFonts w:hint="eastAsia"/>
        </w:rPr>
        <w:t>Q</w:t>
      </w:r>
      <w:r w:rsidRPr="005B7CB8">
        <w:t xml:space="preserve">uestion </w:t>
      </w:r>
      <w:r w:rsidR="00205B89" w:rsidRPr="005B7CB8">
        <w:t>#</w:t>
      </w:r>
      <w:r w:rsidRPr="005B7CB8">
        <w:t>2:</w:t>
      </w:r>
      <w:r w:rsidR="006E50EF" w:rsidRPr="005B7CB8">
        <w:rPr>
          <w:rFonts w:hint="eastAsia"/>
        </w:rPr>
        <w:t xml:space="preserve"> </w:t>
      </w:r>
      <w:r w:rsidR="006E50EF" w:rsidRPr="005B7CB8">
        <w:t>All patients undergoing procedure</w:t>
      </w:r>
      <w:bookmarkEnd w:id="125"/>
      <w:r w:rsidR="006A3FDE" w:rsidRPr="005B7CB8">
        <w:br/>
      </w:r>
    </w:p>
    <w:p w14:paraId="48629B23" w14:textId="77777777" w:rsidR="006E50EF" w:rsidRPr="00BC2D78" w:rsidRDefault="006E50EF" w:rsidP="00C52666">
      <w:r w:rsidRPr="00BC2D78">
        <w:rPr>
          <w:b/>
        </w:rPr>
        <w:t>Source</w:t>
      </w:r>
      <w:r w:rsidRPr="00BC2D78">
        <w:t>:  The Leapfrog Group</w:t>
      </w:r>
    </w:p>
    <w:p w14:paraId="09E6635D" w14:textId="77777777" w:rsidR="006E50EF" w:rsidRPr="00BC2D78" w:rsidRDefault="006E50EF" w:rsidP="00C52666"/>
    <w:p w14:paraId="667E8B7F"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1FBA877E" w14:textId="77777777" w:rsidR="006E50EF" w:rsidRPr="00BC2D78" w:rsidRDefault="006E50EF" w:rsidP="00C52666"/>
    <w:p w14:paraId="51ECA605" w14:textId="77777777" w:rsidR="006E50EF" w:rsidRPr="005F63A3" w:rsidRDefault="006E50EF" w:rsidP="00C52666">
      <w:pPr>
        <w:rPr>
          <w:b/>
        </w:rPr>
      </w:pPr>
      <w:r w:rsidRPr="005F63A3">
        <w:rPr>
          <w:b/>
        </w:rPr>
        <w:t>ICD-9-CM pancreatic resection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FB27C9D" w14:textId="77777777" w:rsidTr="005D3AC7">
        <w:tc>
          <w:tcPr>
            <w:tcW w:w="1008" w:type="dxa"/>
          </w:tcPr>
          <w:p w14:paraId="7EA9DEF6" w14:textId="77777777" w:rsidR="006E50EF" w:rsidRPr="00BC2D78" w:rsidRDefault="006E50EF" w:rsidP="0070197E">
            <w:pPr>
              <w:rPr>
                <w:rFonts w:cs="Arial"/>
              </w:rPr>
            </w:pPr>
            <w:r w:rsidRPr="00BC2D78">
              <w:rPr>
                <w:rFonts w:cs="Arial"/>
              </w:rPr>
              <w:t>52.51</w:t>
            </w:r>
          </w:p>
        </w:tc>
        <w:tc>
          <w:tcPr>
            <w:tcW w:w="8568" w:type="dxa"/>
          </w:tcPr>
          <w:p w14:paraId="55DB78B4" w14:textId="77777777" w:rsidR="006E50EF" w:rsidRPr="000D505B" w:rsidRDefault="006E50EF" w:rsidP="0070197E">
            <w:pPr>
              <w:rPr>
                <w:rFonts w:cs="Arial"/>
                <w:bCs/>
              </w:rPr>
            </w:pPr>
            <w:r w:rsidRPr="00BC2D78">
              <w:rPr>
                <w:rFonts w:cs="Arial"/>
                <w:bCs/>
              </w:rPr>
              <w:t>Proximal pancreatectomy</w:t>
            </w:r>
          </w:p>
        </w:tc>
      </w:tr>
      <w:tr w:rsidR="006E50EF" w:rsidRPr="00BC2D78" w14:paraId="3B391ACB" w14:textId="77777777" w:rsidTr="005D3AC7">
        <w:tc>
          <w:tcPr>
            <w:tcW w:w="1008" w:type="dxa"/>
          </w:tcPr>
          <w:p w14:paraId="5D636A1A" w14:textId="77777777" w:rsidR="006E50EF" w:rsidRPr="00BC2D78" w:rsidRDefault="006E50EF" w:rsidP="0070197E">
            <w:pPr>
              <w:rPr>
                <w:rFonts w:cs="Arial"/>
              </w:rPr>
            </w:pPr>
            <w:r w:rsidRPr="00BC2D78">
              <w:rPr>
                <w:rFonts w:cs="Arial"/>
              </w:rPr>
              <w:t>52.53</w:t>
            </w:r>
          </w:p>
        </w:tc>
        <w:tc>
          <w:tcPr>
            <w:tcW w:w="8568" w:type="dxa"/>
          </w:tcPr>
          <w:p w14:paraId="49EA43D5" w14:textId="77777777" w:rsidR="006E50EF" w:rsidRPr="00BC2D78" w:rsidRDefault="006E50EF" w:rsidP="0070197E">
            <w:pPr>
              <w:rPr>
                <w:rFonts w:cs="Arial"/>
              </w:rPr>
            </w:pPr>
            <w:r w:rsidRPr="00BC2D78">
              <w:rPr>
                <w:rFonts w:cs="Arial"/>
                <w:bCs/>
              </w:rPr>
              <w:t>Radical subtotal pancreatectomy</w:t>
            </w:r>
          </w:p>
        </w:tc>
      </w:tr>
      <w:tr w:rsidR="006E50EF" w:rsidRPr="00BC2D78" w14:paraId="3FD494D7" w14:textId="77777777" w:rsidTr="005D3AC7">
        <w:tc>
          <w:tcPr>
            <w:tcW w:w="1008" w:type="dxa"/>
          </w:tcPr>
          <w:p w14:paraId="18C5C47A" w14:textId="77777777" w:rsidR="006E50EF" w:rsidRPr="00BC2D78" w:rsidRDefault="006E50EF" w:rsidP="0070197E">
            <w:r w:rsidRPr="00BC2D78">
              <w:t>52.6</w:t>
            </w:r>
          </w:p>
        </w:tc>
        <w:tc>
          <w:tcPr>
            <w:tcW w:w="8568" w:type="dxa"/>
          </w:tcPr>
          <w:p w14:paraId="760F30EB" w14:textId="77777777" w:rsidR="006E50EF" w:rsidRPr="00BC2D78" w:rsidRDefault="006E50EF" w:rsidP="0070197E">
            <w:r w:rsidRPr="00BC2D78">
              <w:t>Total Pancreatectomy</w:t>
            </w:r>
          </w:p>
        </w:tc>
      </w:tr>
      <w:tr w:rsidR="006E50EF" w:rsidRPr="00BC2D78" w14:paraId="702870AB" w14:textId="77777777" w:rsidTr="005D3AC7">
        <w:tc>
          <w:tcPr>
            <w:tcW w:w="1008" w:type="dxa"/>
          </w:tcPr>
          <w:p w14:paraId="595EE47B" w14:textId="77777777" w:rsidR="006E50EF" w:rsidRPr="00BC2D78" w:rsidRDefault="006E50EF" w:rsidP="0070197E">
            <w:r w:rsidRPr="00BC2D78">
              <w:t>52.7</w:t>
            </w:r>
          </w:p>
        </w:tc>
        <w:tc>
          <w:tcPr>
            <w:tcW w:w="8568" w:type="dxa"/>
          </w:tcPr>
          <w:p w14:paraId="28701D80" w14:textId="77777777" w:rsidR="006E50EF" w:rsidRPr="00BC2D78" w:rsidRDefault="006E50EF" w:rsidP="0070197E">
            <w:r w:rsidRPr="00BC2D78">
              <w:t>Radical Pancreaticoduodenectomy</w:t>
            </w:r>
          </w:p>
        </w:tc>
      </w:tr>
    </w:tbl>
    <w:p w14:paraId="5A7740AA" w14:textId="77777777" w:rsidR="00205B89" w:rsidRDefault="00205B89" w:rsidP="00CA5E4C">
      <w:pPr>
        <w:pStyle w:val="Heading4"/>
        <w:framePr w:wrap="notBeside"/>
      </w:pPr>
      <w:bookmarkStart w:id="126" w:name="_Toc383775019"/>
    </w:p>
    <w:p w14:paraId="2BF88D01" w14:textId="77777777" w:rsidR="006E50EF" w:rsidRPr="005B7CB8" w:rsidRDefault="000A5D6B" w:rsidP="005B7CB8">
      <w:pPr>
        <w:pStyle w:val="Heading44"/>
      </w:pPr>
      <w:r w:rsidRPr="005B7CB8">
        <w:br w:type="page"/>
      </w:r>
      <w:r w:rsidR="00E445CB" w:rsidRPr="005B7CB8">
        <w:rPr>
          <w:rFonts w:hint="eastAsia"/>
        </w:rPr>
        <w:lastRenderedPageBreak/>
        <w:t>Q</w:t>
      </w:r>
      <w:r w:rsidR="00E445CB" w:rsidRPr="005B7CB8">
        <w:t xml:space="preserve">uestion </w:t>
      </w:r>
      <w:r w:rsidR="00205B89" w:rsidRPr="005B7CB8">
        <w:t>#</w:t>
      </w:r>
      <w:r w:rsidR="00E445CB" w:rsidRPr="005B7CB8">
        <w:t xml:space="preserve">3: </w:t>
      </w:r>
      <w:r w:rsidR="006E50EF" w:rsidRPr="005B7CB8">
        <w:t>Select patients in Question #</w:t>
      </w:r>
      <w:r w:rsidR="005D3AC7" w:rsidRPr="005B7CB8">
        <w:t>2</w:t>
      </w:r>
      <w:r w:rsidR="006E50EF" w:rsidRPr="005B7CB8">
        <w:t xml:space="preserve"> with a diagnosis of duodenal, biliary, or pancreatic cancer</w:t>
      </w:r>
      <w:bookmarkEnd w:id="126"/>
    </w:p>
    <w:p w14:paraId="794631A2" w14:textId="77777777" w:rsidR="00E0722D" w:rsidRPr="005B7CB8" w:rsidRDefault="00E0722D" w:rsidP="005B7CB8">
      <w:pPr>
        <w:pStyle w:val="Heading44"/>
      </w:pPr>
    </w:p>
    <w:p w14:paraId="14EAFEA1" w14:textId="77777777" w:rsidR="006E50EF" w:rsidRPr="00BC2D78" w:rsidRDefault="006E50EF" w:rsidP="00C52666">
      <w:r w:rsidRPr="00BC2D78">
        <w:rPr>
          <w:b/>
        </w:rPr>
        <w:t>Source</w:t>
      </w:r>
      <w:r w:rsidRPr="00BC2D78">
        <w:t>:  The Leapfrog Group</w:t>
      </w:r>
    </w:p>
    <w:p w14:paraId="163713D3" w14:textId="77777777" w:rsidR="006E50EF" w:rsidRPr="00BC2D78" w:rsidRDefault="006E50EF" w:rsidP="00C52666">
      <w:pPr>
        <w:rPr>
          <w:b/>
        </w:rPr>
      </w:pPr>
    </w:p>
    <w:p w14:paraId="5A003501" w14:textId="77777777" w:rsidR="006E50EF" w:rsidRPr="00BC2D78" w:rsidRDefault="006E50EF" w:rsidP="00C52666">
      <w:r w:rsidRPr="00BC2D78">
        <w:t>Number of patients identified in Question #</w:t>
      </w:r>
      <w:r w:rsidR="005D3AC7">
        <w:t>2</w:t>
      </w:r>
      <w:r w:rsidRPr="00BC2D78">
        <w:t xml:space="preserve"> that also had an ICD-9-CM diagnosis cod</w:t>
      </w:r>
      <w:r w:rsidR="000A5D6B">
        <w:t>e of:</w:t>
      </w:r>
    </w:p>
    <w:p w14:paraId="54FE5FC6" w14:textId="77777777" w:rsidR="006E50EF" w:rsidRPr="00BC2D78" w:rsidRDefault="006E50EF" w:rsidP="00C52666"/>
    <w:p w14:paraId="3DAD04CC" w14:textId="77777777" w:rsidR="006E50EF" w:rsidRPr="005F63A3" w:rsidRDefault="006E50EF" w:rsidP="00C52666">
      <w:pPr>
        <w:rPr>
          <w:b/>
        </w:rPr>
      </w:pPr>
      <w:r w:rsidRPr="005F63A3">
        <w:rPr>
          <w:b/>
        </w:rPr>
        <w:t>ICD-9-CM duodenal, biliary, and pancreatic cancer diagnosis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
        <w:gridCol w:w="8568"/>
      </w:tblGrid>
      <w:tr w:rsidR="006E50EF" w:rsidRPr="00BC2D78" w14:paraId="00FAB4B5" w14:textId="77777777" w:rsidTr="005D3AC7">
        <w:tc>
          <w:tcPr>
            <w:tcW w:w="1008" w:type="dxa"/>
            <w:shd w:val="clear" w:color="auto" w:fill="FFFFFF"/>
          </w:tcPr>
          <w:p w14:paraId="319DE618" w14:textId="77777777" w:rsidR="006E50EF" w:rsidRPr="00BC2D78" w:rsidRDefault="006E50EF" w:rsidP="0070197E">
            <w:r w:rsidRPr="00BC2D78">
              <w:t>152.0</w:t>
            </w:r>
          </w:p>
        </w:tc>
        <w:tc>
          <w:tcPr>
            <w:tcW w:w="8568" w:type="dxa"/>
            <w:shd w:val="clear" w:color="auto" w:fill="FFFFFF"/>
          </w:tcPr>
          <w:p w14:paraId="1190F459" w14:textId="77777777" w:rsidR="006E50EF" w:rsidRPr="00BC2D78" w:rsidRDefault="006E50EF" w:rsidP="0070197E">
            <w:r w:rsidRPr="00BC2D78">
              <w:rPr>
                <w:rFonts w:cs="Arial"/>
              </w:rPr>
              <w:t>Malignant neoplasm of duodenum</w:t>
            </w:r>
          </w:p>
        </w:tc>
      </w:tr>
      <w:tr w:rsidR="006E50EF" w:rsidRPr="00BC2D78" w14:paraId="57E636CC" w14:textId="77777777" w:rsidTr="005D3AC7">
        <w:tc>
          <w:tcPr>
            <w:tcW w:w="1008" w:type="dxa"/>
            <w:shd w:val="clear" w:color="auto" w:fill="FFFFFF"/>
          </w:tcPr>
          <w:p w14:paraId="2CF323F9" w14:textId="77777777" w:rsidR="006E50EF" w:rsidRPr="00BC2D78" w:rsidRDefault="006E50EF" w:rsidP="0070197E">
            <w:r w:rsidRPr="00BC2D78">
              <w:t>152.1</w:t>
            </w:r>
          </w:p>
        </w:tc>
        <w:tc>
          <w:tcPr>
            <w:tcW w:w="8568" w:type="dxa"/>
            <w:shd w:val="clear" w:color="auto" w:fill="FFFFFF"/>
          </w:tcPr>
          <w:p w14:paraId="06B7E559" w14:textId="77777777" w:rsidR="006E50EF" w:rsidRPr="00BC2D78" w:rsidRDefault="006E50EF" w:rsidP="0070197E">
            <w:r w:rsidRPr="00BC2D78">
              <w:rPr>
                <w:rFonts w:cs="Arial"/>
              </w:rPr>
              <w:t>Malignant neoplasm of jejunum</w:t>
            </w:r>
          </w:p>
        </w:tc>
      </w:tr>
      <w:tr w:rsidR="006E50EF" w:rsidRPr="00BC2D78" w14:paraId="27C9C6BB" w14:textId="77777777" w:rsidTr="005D3AC7">
        <w:tc>
          <w:tcPr>
            <w:tcW w:w="1008" w:type="dxa"/>
            <w:shd w:val="clear" w:color="auto" w:fill="FFFFFF"/>
          </w:tcPr>
          <w:p w14:paraId="35D11FCA" w14:textId="77777777" w:rsidR="006E50EF" w:rsidRPr="00BC2D78" w:rsidRDefault="006E50EF" w:rsidP="0070197E">
            <w:r w:rsidRPr="00BC2D78">
              <w:t>152.2</w:t>
            </w:r>
          </w:p>
        </w:tc>
        <w:tc>
          <w:tcPr>
            <w:tcW w:w="8568" w:type="dxa"/>
            <w:shd w:val="clear" w:color="auto" w:fill="FFFFFF"/>
          </w:tcPr>
          <w:p w14:paraId="32BD6B4A" w14:textId="77777777" w:rsidR="006E50EF" w:rsidRPr="00BC2D78" w:rsidRDefault="006E50EF" w:rsidP="0070197E">
            <w:r w:rsidRPr="00BC2D78">
              <w:rPr>
                <w:rFonts w:cs="Arial"/>
              </w:rPr>
              <w:t>Malignant neoplasm of ileum</w:t>
            </w:r>
          </w:p>
        </w:tc>
      </w:tr>
      <w:tr w:rsidR="006E50EF" w:rsidRPr="00BC2D78" w14:paraId="1D1C39E3" w14:textId="77777777" w:rsidTr="005D3AC7">
        <w:tc>
          <w:tcPr>
            <w:tcW w:w="1008" w:type="dxa"/>
            <w:shd w:val="clear" w:color="auto" w:fill="FFFFFF"/>
          </w:tcPr>
          <w:p w14:paraId="02D9CD67" w14:textId="77777777" w:rsidR="006E50EF" w:rsidRPr="00BC2D78" w:rsidRDefault="006E50EF" w:rsidP="0070197E">
            <w:r w:rsidRPr="00BC2D78">
              <w:t>152.3</w:t>
            </w:r>
          </w:p>
        </w:tc>
        <w:tc>
          <w:tcPr>
            <w:tcW w:w="8568" w:type="dxa"/>
            <w:shd w:val="clear" w:color="auto" w:fill="FFFFFF"/>
          </w:tcPr>
          <w:p w14:paraId="78A9973F" w14:textId="77777777" w:rsidR="006E50EF" w:rsidRPr="00BC2D78" w:rsidRDefault="006E50EF" w:rsidP="0070197E">
            <w:pPr>
              <w:rPr>
                <w:rFonts w:cs="Arial"/>
              </w:rPr>
            </w:pPr>
            <w:r w:rsidRPr="00BC2D78">
              <w:rPr>
                <w:rFonts w:cs="Arial"/>
              </w:rPr>
              <w:t>Malignant neoplasm of meckel's diverticulum</w:t>
            </w:r>
          </w:p>
        </w:tc>
      </w:tr>
      <w:tr w:rsidR="006E50EF" w:rsidRPr="00BC2D78" w14:paraId="5968F51A" w14:textId="77777777" w:rsidTr="005D3AC7">
        <w:tc>
          <w:tcPr>
            <w:tcW w:w="1008" w:type="dxa"/>
            <w:shd w:val="clear" w:color="auto" w:fill="FFFFFF"/>
          </w:tcPr>
          <w:p w14:paraId="5EE57688" w14:textId="77777777" w:rsidR="006E50EF" w:rsidRPr="00BC2D78" w:rsidRDefault="006E50EF" w:rsidP="0070197E">
            <w:r w:rsidRPr="00BC2D78">
              <w:t>152.8</w:t>
            </w:r>
          </w:p>
        </w:tc>
        <w:tc>
          <w:tcPr>
            <w:tcW w:w="8568" w:type="dxa"/>
            <w:shd w:val="clear" w:color="auto" w:fill="FFFFFF"/>
          </w:tcPr>
          <w:p w14:paraId="24011AAC" w14:textId="77777777" w:rsidR="006E50EF" w:rsidRPr="00BC2D78" w:rsidRDefault="006E50EF" w:rsidP="0070197E">
            <w:pPr>
              <w:rPr>
                <w:rFonts w:cs="Arial"/>
                <w:bCs/>
              </w:rPr>
            </w:pPr>
            <w:r w:rsidRPr="00BC2D78">
              <w:rPr>
                <w:rFonts w:cs="Arial"/>
              </w:rPr>
              <w:t>Malignant neoplasm of other specified sites of small intestine</w:t>
            </w:r>
          </w:p>
        </w:tc>
      </w:tr>
      <w:tr w:rsidR="006E50EF" w:rsidRPr="00BC2D78" w14:paraId="23B24025" w14:textId="77777777" w:rsidTr="005D3AC7">
        <w:tc>
          <w:tcPr>
            <w:tcW w:w="1008" w:type="dxa"/>
            <w:shd w:val="clear" w:color="auto" w:fill="FFFFFF"/>
          </w:tcPr>
          <w:p w14:paraId="2A8FBE43" w14:textId="77777777" w:rsidR="006E50EF" w:rsidRPr="00BC2D78" w:rsidRDefault="006E50EF" w:rsidP="0070197E">
            <w:r w:rsidRPr="00BC2D78">
              <w:t>152.9</w:t>
            </w:r>
          </w:p>
        </w:tc>
        <w:tc>
          <w:tcPr>
            <w:tcW w:w="8568" w:type="dxa"/>
            <w:shd w:val="clear" w:color="auto" w:fill="FFFFFF"/>
          </w:tcPr>
          <w:p w14:paraId="6782E5AE" w14:textId="77777777" w:rsidR="006E50EF" w:rsidRPr="00BC2D78" w:rsidRDefault="006E50EF" w:rsidP="0070197E">
            <w:pPr>
              <w:rPr>
                <w:rFonts w:cs="Arial"/>
                <w:bCs/>
              </w:rPr>
            </w:pPr>
            <w:r w:rsidRPr="00BC2D78">
              <w:rPr>
                <w:rFonts w:cs="Arial"/>
              </w:rPr>
              <w:t>Malignant neoplasm of small intestine unspecified site</w:t>
            </w:r>
          </w:p>
        </w:tc>
      </w:tr>
      <w:tr w:rsidR="006E50EF" w:rsidRPr="00BC2D78" w14:paraId="6D7B861C" w14:textId="77777777" w:rsidTr="005D3AC7">
        <w:tc>
          <w:tcPr>
            <w:tcW w:w="1008" w:type="dxa"/>
            <w:shd w:val="clear" w:color="auto" w:fill="FFFFFF"/>
          </w:tcPr>
          <w:p w14:paraId="08538F8E" w14:textId="77777777" w:rsidR="006E50EF" w:rsidRPr="00BC2D78" w:rsidRDefault="006E50EF" w:rsidP="0070197E">
            <w:r w:rsidRPr="00BC2D78">
              <w:t>156.0</w:t>
            </w:r>
          </w:p>
        </w:tc>
        <w:tc>
          <w:tcPr>
            <w:tcW w:w="8568" w:type="dxa"/>
            <w:shd w:val="clear" w:color="auto" w:fill="FFFFFF"/>
          </w:tcPr>
          <w:p w14:paraId="08B6F256" w14:textId="77777777" w:rsidR="006E50EF" w:rsidRPr="00BC2D78" w:rsidRDefault="006E50EF" w:rsidP="0070197E">
            <w:pPr>
              <w:rPr>
                <w:rFonts w:cs="Arial"/>
              </w:rPr>
            </w:pPr>
            <w:r w:rsidRPr="00BC2D78">
              <w:rPr>
                <w:rFonts w:cs="Arial"/>
              </w:rPr>
              <w:t>Malignant neoplasm of gallbladder</w:t>
            </w:r>
          </w:p>
        </w:tc>
      </w:tr>
      <w:tr w:rsidR="006E50EF" w:rsidRPr="00BC2D78" w14:paraId="1B4ACD89" w14:textId="77777777" w:rsidTr="005D3AC7">
        <w:tc>
          <w:tcPr>
            <w:tcW w:w="1008" w:type="dxa"/>
            <w:shd w:val="clear" w:color="auto" w:fill="FFFFFF"/>
          </w:tcPr>
          <w:p w14:paraId="36D4DB34" w14:textId="77777777" w:rsidR="006E50EF" w:rsidRPr="00BC2D78" w:rsidRDefault="006E50EF" w:rsidP="0070197E">
            <w:pPr>
              <w:rPr>
                <w:rFonts w:cs="Arial"/>
              </w:rPr>
            </w:pPr>
            <w:r w:rsidRPr="00BC2D78">
              <w:rPr>
                <w:rFonts w:cs="Arial"/>
              </w:rPr>
              <w:t>156.1</w:t>
            </w:r>
          </w:p>
        </w:tc>
        <w:tc>
          <w:tcPr>
            <w:tcW w:w="8568" w:type="dxa"/>
            <w:shd w:val="clear" w:color="auto" w:fill="FFFFFF"/>
          </w:tcPr>
          <w:p w14:paraId="1EEA3D9F" w14:textId="77777777" w:rsidR="006E50EF" w:rsidRPr="00BC2D78" w:rsidRDefault="006E50EF" w:rsidP="0070197E">
            <w:pPr>
              <w:rPr>
                <w:rFonts w:cs="Arial"/>
              </w:rPr>
            </w:pPr>
            <w:r w:rsidRPr="00BC2D78">
              <w:rPr>
                <w:rFonts w:cs="Arial"/>
              </w:rPr>
              <w:t>Malignant neoplasm of extrahepatic bile ducts</w:t>
            </w:r>
          </w:p>
        </w:tc>
      </w:tr>
      <w:tr w:rsidR="006E50EF" w:rsidRPr="00BC2D78" w14:paraId="6027D412" w14:textId="77777777" w:rsidTr="005D3AC7">
        <w:tc>
          <w:tcPr>
            <w:tcW w:w="1008" w:type="dxa"/>
            <w:shd w:val="clear" w:color="auto" w:fill="FFFFFF"/>
          </w:tcPr>
          <w:p w14:paraId="1FBBD345" w14:textId="77777777" w:rsidR="006E50EF" w:rsidRPr="00BC2D78" w:rsidRDefault="006E50EF" w:rsidP="0070197E">
            <w:pPr>
              <w:rPr>
                <w:rFonts w:cs="Arial"/>
              </w:rPr>
            </w:pPr>
            <w:r w:rsidRPr="00BC2D78">
              <w:rPr>
                <w:rFonts w:cs="Arial"/>
              </w:rPr>
              <w:t>156.2</w:t>
            </w:r>
          </w:p>
        </w:tc>
        <w:tc>
          <w:tcPr>
            <w:tcW w:w="8568" w:type="dxa"/>
            <w:shd w:val="clear" w:color="auto" w:fill="FFFFFF"/>
          </w:tcPr>
          <w:p w14:paraId="03A4B106" w14:textId="77777777" w:rsidR="006E50EF" w:rsidRPr="00BC2D78" w:rsidRDefault="006E50EF" w:rsidP="0070197E">
            <w:pPr>
              <w:rPr>
                <w:rFonts w:cs="Arial"/>
              </w:rPr>
            </w:pPr>
            <w:r w:rsidRPr="00BC2D78">
              <w:rPr>
                <w:rFonts w:cs="Arial"/>
              </w:rPr>
              <w:t>Malignant neoplasm of ampulla of vater</w:t>
            </w:r>
          </w:p>
        </w:tc>
      </w:tr>
      <w:tr w:rsidR="006E50EF" w:rsidRPr="00BC2D78" w14:paraId="2DB24AAC" w14:textId="77777777" w:rsidTr="005D3AC7">
        <w:trPr>
          <w:trHeight w:val="80"/>
        </w:trPr>
        <w:tc>
          <w:tcPr>
            <w:tcW w:w="1008" w:type="dxa"/>
            <w:shd w:val="clear" w:color="auto" w:fill="FFFFFF"/>
          </w:tcPr>
          <w:p w14:paraId="72FFACC6" w14:textId="77777777" w:rsidR="006E50EF" w:rsidRPr="00BC2D78" w:rsidRDefault="006E50EF" w:rsidP="0070197E">
            <w:pPr>
              <w:rPr>
                <w:rFonts w:cs="Arial"/>
              </w:rPr>
            </w:pPr>
            <w:r w:rsidRPr="00BC2D78">
              <w:rPr>
                <w:rFonts w:cs="Arial"/>
              </w:rPr>
              <w:t>156.8</w:t>
            </w:r>
          </w:p>
        </w:tc>
        <w:tc>
          <w:tcPr>
            <w:tcW w:w="8568" w:type="dxa"/>
            <w:shd w:val="clear" w:color="auto" w:fill="FFFFFF"/>
          </w:tcPr>
          <w:p w14:paraId="559419E5" w14:textId="77777777" w:rsidR="006E50EF" w:rsidRPr="00BC2D78" w:rsidRDefault="006E50EF" w:rsidP="0070197E">
            <w:pPr>
              <w:rPr>
                <w:rFonts w:cs="Arial"/>
              </w:rPr>
            </w:pPr>
            <w:r w:rsidRPr="00BC2D78">
              <w:rPr>
                <w:rFonts w:cs="Arial"/>
              </w:rPr>
              <w:t>Malignant neoplasm of other specified sites of gallbladder and extrahepatic bile ducts</w:t>
            </w:r>
          </w:p>
        </w:tc>
      </w:tr>
      <w:tr w:rsidR="006E50EF" w:rsidRPr="00BC2D78" w14:paraId="779B388C" w14:textId="77777777" w:rsidTr="005D3AC7">
        <w:tc>
          <w:tcPr>
            <w:tcW w:w="1008" w:type="dxa"/>
            <w:shd w:val="clear" w:color="auto" w:fill="FFFFFF"/>
          </w:tcPr>
          <w:p w14:paraId="2BE77237" w14:textId="77777777" w:rsidR="006E50EF" w:rsidRPr="00BC2D78" w:rsidRDefault="006E50EF" w:rsidP="0070197E">
            <w:pPr>
              <w:rPr>
                <w:rFonts w:cs="Arial"/>
              </w:rPr>
            </w:pPr>
            <w:r w:rsidRPr="00BC2D78">
              <w:rPr>
                <w:rFonts w:cs="Arial"/>
              </w:rPr>
              <w:t>156.9</w:t>
            </w:r>
          </w:p>
        </w:tc>
        <w:tc>
          <w:tcPr>
            <w:tcW w:w="8568" w:type="dxa"/>
            <w:shd w:val="clear" w:color="auto" w:fill="FFFFFF"/>
          </w:tcPr>
          <w:p w14:paraId="691577A1" w14:textId="77777777" w:rsidR="006E50EF" w:rsidRPr="00BC2D78" w:rsidRDefault="006E50EF" w:rsidP="0070197E">
            <w:pPr>
              <w:rPr>
                <w:rFonts w:cs="Arial"/>
              </w:rPr>
            </w:pPr>
            <w:r w:rsidRPr="00BC2D78">
              <w:rPr>
                <w:rFonts w:cs="Arial"/>
              </w:rPr>
              <w:t>Malignant neoplasm of biliary tract part unspecified site</w:t>
            </w:r>
          </w:p>
        </w:tc>
      </w:tr>
      <w:tr w:rsidR="006E50EF" w:rsidRPr="00BC2D78" w14:paraId="5FEF3ED4" w14:textId="77777777" w:rsidTr="005D3AC7">
        <w:tc>
          <w:tcPr>
            <w:tcW w:w="1008" w:type="dxa"/>
            <w:shd w:val="clear" w:color="auto" w:fill="FFFFFF"/>
          </w:tcPr>
          <w:p w14:paraId="18D543A1" w14:textId="77777777" w:rsidR="006E50EF" w:rsidRPr="00BC2D78" w:rsidRDefault="006E50EF" w:rsidP="0070197E">
            <w:pPr>
              <w:rPr>
                <w:rFonts w:cs="Arial"/>
              </w:rPr>
            </w:pPr>
            <w:r w:rsidRPr="00BC2D78">
              <w:rPr>
                <w:rFonts w:cs="Arial"/>
              </w:rPr>
              <w:t>157.0</w:t>
            </w:r>
          </w:p>
        </w:tc>
        <w:tc>
          <w:tcPr>
            <w:tcW w:w="8568" w:type="dxa"/>
            <w:shd w:val="clear" w:color="auto" w:fill="FFFFFF"/>
          </w:tcPr>
          <w:p w14:paraId="48903933" w14:textId="77777777" w:rsidR="006E50EF" w:rsidRPr="00BC2D78" w:rsidRDefault="006E50EF" w:rsidP="0070197E">
            <w:pPr>
              <w:rPr>
                <w:rFonts w:cs="Arial"/>
              </w:rPr>
            </w:pPr>
            <w:r w:rsidRPr="00BC2D78">
              <w:rPr>
                <w:rFonts w:cs="Arial"/>
              </w:rPr>
              <w:t>Malignant neoplasm of head of pancreas</w:t>
            </w:r>
          </w:p>
        </w:tc>
      </w:tr>
      <w:tr w:rsidR="006E50EF" w:rsidRPr="00BC2D78" w14:paraId="4D109B9C" w14:textId="77777777" w:rsidTr="005D3AC7">
        <w:tc>
          <w:tcPr>
            <w:tcW w:w="1008" w:type="dxa"/>
            <w:shd w:val="clear" w:color="auto" w:fill="FFFFFF"/>
          </w:tcPr>
          <w:p w14:paraId="784A3B08" w14:textId="77777777" w:rsidR="006E50EF" w:rsidRPr="00BC2D78" w:rsidRDefault="006E50EF" w:rsidP="0070197E">
            <w:pPr>
              <w:rPr>
                <w:rFonts w:cs="Arial"/>
              </w:rPr>
            </w:pPr>
            <w:r w:rsidRPr="00BC2D78">
              <w:rPr>
                <w:rFonts w:cs="Arial"/>
              </w:rPr>
              <w:t>157.1</w:t>
            </w:r>
          </w:p>
        </w:tc>
        <w:tc>
          <w:tcPr>
            <w:tcW w:w="8568" w:type="dxa"/>
            <w:shd w:val="clear" w:color="auto" w:fill="FFFFFF"/>
          </w:tcPr>
          <w:p w14:paraId="52C790F3" w14:textId="77777777" w:rsidR="006E50EF" w:rsidRPr="00BC2D78" w:rsidRDefault="006E50EF" w:rsidP="0070197E">
            <w:pPr>
              <w:rPr>
                <w:rFonts w:cs="Arial"/>
              </w:rPr>
            </w:pPr>
            <w:r w:rsidRPr="00BC2D78">
              <w:rPr>
                <w:rFonts w:cs="Arial"/>
              </w:rPr>
              <w:t>Malignant neoplasm of body of pancreas</w:t>
            </w:r>
          </w:p>
        </w:tc>
      </w:tr>
      <w:tr w:rsidR="006E50EF" w:rsidRPr="00BC2D78" w14:paraId="11C0E477" w14:textId="77777777" w:rsidTr="005D3AC7">
        <w:tc>
          <w:tcPr>
            <w:tcW w:w="1008" w:type="dxa"/>
            <w:shd w:val="clear" w:color="auto" w:fill="FFFFFF"/>
          </w:tcPr>
          <w:p w14:paraId="112E87A4" w14:textId="77777777" w:rsidR="006E50EF" w:rsidRPr="00BC2D78" w:rsidRDefault="006E50EF" w:rsidP="0070197E">
            <w:pPr>
              <w:rPr>
                <w:rFonts w:cs="Arial"/>
              </w:rPr>
            </w:pPr>
            <w:r w:rsidRPr="00BC2D78">
              <w:rPr>
                <w:rFonts w:cs="Arial"/>
              </w:rPr>
              <w:t>157.2</w:t>
            </w:r>
          </w:p>
        </w:tc>
        <w:tc>
          <w:tcPr>
            <w:tcW w:w="8568" w:type="dxa"/>
            <w:shd w:val="clear" w:color="auto" w:fill="FFFFFF"/>
          </w:tcPr>
          <w:p w14:paraId="41165B7F" w14:textId="77777777" w:rsidR="006E50EF" w:rsidRPr="00BC2D78" w:rsidRDefault="006E50EF" w:rsidP="0070197E">
            <w:pPr>
              <w:rPr>
                <w:rFonts w:cs="Arial"/>
              </w:rPr>
            </w:pPr>
            <w:r w:rsidRPr="00BC2D78">
              <w:rPr>
                <w:rFonts w:cs="Arial"/>
              </w:rPr>
              <w:t>Malignant neoplasm of tail of pancreas</w:t>
            </w:r>
          </w:p>
        </w:tc>
      </w:tr>
      <w:tr w:rsidR="006E50EF" w:rsidRPr="00BC2D78" w14:paraId="1A7AEEA0" w14:textId="77777777" w:rsidTr="005D3AC7">
        <w:tc>
          <w:tcPr>
            <w:tcW w:w="1008" w:type="dxa"/>
            <w:shd w:val="clear" w:color="auto" w:fill="FFFFFF"/>
          </w:tcPr>
          <w:p w14:paraId="30096E17" w14:textId="77777777" w:rsidR="006E50EF" w:rsidRPr="00BC2D78" w:rsidRDefault="006E50EF" w:rsidP="0070197E">
            <w:pPr>
              <w:rPr>
                <w:rFonts w:cs="Arial"/>
              </w:rPr>
            </w:pPr>
            <w:r w:rsidRPr="00BC2D78">
              <w:rPr>
                <w:rFonts w:cs="Arial"/>
              </w:rPr>
              <w:t>157.3</w:t>
            </w:r>
          </w:p>
        </w:tc>
        <w:tc>
          <w:tcPr>
            <w:tcW w:w="8568" w:type="dxa"/>
            <w:shd w:val="clear" w:color="auto" w:fill="FFFFFF"/>
          </w:tcPr>
          <w:p w14:paraId="74D13F6B" w14:textId="77777777" w:rsidR="006E50EF" w:rsidRPr="00BC2D78" w:rsidRDefault="006E50EF" w:rsidP="0070197E">
            <w:pPr>
              <w:rPr>
                <w:rFonts w:cs="Arial"/>
              </w:rPr>
            </w:pPr>
            <w:r w:rsidRPr="00BC2D78">
              <w:rPr>
                <w:rFonts w:cs="Arial"/>
              </w:rPr>
              <w:t>Malignant neoplasm of pancreatic duct</w:t>
            </w:r>
          </w:p>
        </w:tc>
      </w:tr>
      <w:tr w:rsidR="006E50EF" w:rsidRPr="00BC2D78" w14:paraId="3914C0C2" w14:textId="77777777" w:rsidTr="005D3AC7">
        <w:tc>
          <w:tcPr>
            <w:tcW w:w="1008" w:type="dxa"/>
            <w:shd w:val="clear" w:color="auto" w:fill="FFFFFF"/>
          </w:tcPr>
          <w:p w14:paraId="79212240" w14:textId="77777777" w:rsidR="006E50EF" w:rsidRPr="00BC2D78" w:rsidRDefault="006E50EF" w:rsidP="0070197E">
            <w:pPr>
              <w:rPr>
                <w:rFonts w:cs="Arial"/>
              </w:rPr>
            </w:pPr>
            <w:r w:rsidRPr="00BC2D78">
              <w:rPr>
                <w:rFonts w:cs="Arial"/>
              </w:rPr>
              <w:t>157.4</w:t>
            </w:r>
          </w:p>
        </w:tc>
        <w:tc>
          <w:tcPr>
            <w:tcW w:w="8568" w:type="dxa"/>
            <w:shd w:val="clear" w:color="auto" w:fill="FFFFFF"/>
          </w:tcPr>
          <w:p w14:paraId="072BDEF3" w14:textId="77777777" w:rsidR="006E50EF" w:rsidRPr="00BC2D78" w:rsidRDefault="006E50EF" w:rsidP="0070197E">
            <w:pPr>
              <w:rPr>
                <w:rFonts w:cs="Arial"/>
              </w:rPr>
            </w:pPr>
            <w:r w:rsidRPr="00BC2D78">
              <w:rPr>
                <w:rFonts w:cs="Arial"/>
              </w:rPr>
              <w:t>Malignant neoplasm of islets of langerhans</w:t>
            </w:r>
          </w:p>
        </w:tc>
      </w:tr>
      <w:tr w:rsidR="006E50EF" w:rsidRPr="00BC2D78" w14:paraId="0CAA4E56" w14:textId="77777777" w:rsidTr="005D3AC7">
        <w:tc>
          <w:tcPr>
            <w:tcW w:w="1008" w:type="dxa"/>
            <w:shd w:val="clear" w:color="auto" w:fill="FFFFFF"/>
          </w:tcPr>
          <w:p w14:paraId="6C3399F5" w14:textId="77777777" w:rsidR="006E50EF" w:rsidRPr="00BC2D78" w:rsidRDefault="006E50EF" w:rsidP="0070197E">
            <w:pPr>
              <w:rPr>
                <w:rFonts w:cs="Arial"/>
              </w:rPr>
            </w:pPr>
            <w:r w:rsidRPr="00BC2D78">
              <w:rPr>
                <w:rFonts w:cs="Arial"/>
              </w:rPr>
              <w:t>157.8</w:t>
            </w:r>
          </w:p>
        </w:tc>
        <w:tc>
          <w:tcPr>
            <w:tcW w:w="8568" w:type="dxa"/>
            <w:shd w:val="clear" w:color="auto" w:fill="FFFFFF"/>
          </w:tcPr>
          <w:p w14:paraId="12A630C9" w14:textId="77777777" w:rsidR="006E50EF" w:rsidRPr="00BC2D78" w:rsidRDefault="006E50EF" w:rsidP="0070197E">
            <w:pPr>
              <w:rPr>
                <w:rFonts w:cs="Arial"/>
              </w:rPr>
            </w:pPr>
            <w:r w:rsidRPr="00BC2D78">
              <w:rPr>
                <w:rFonts w:cs="Arial"/>
              </w:rPr>
              <w:t>Malignant neoplasm of other specified sites of pancreas</w:t>
            </w:r>
          </w:p>
        </w:tc>
      </w:tr>
      <w:tr w:rsidR="006E50EF" w:rsidRPr="00BC2D78" w14:paraId="653A4031" w14:textId="77777777" w:rsidTr="005D3AC7">
        <w:tc>
          <w:tcPr>
            <w:tcW w:w="1008" w:type="dxa"/>
            <w:shd w:val="clear" w:color="auto" w:fill="FFFFFF"/>
          </w:tcPr>
          <w:p w14:paraId="7C8BFF5F" w14:textId="77777777" w:rsidR="006E50EF" w:rsidRPr="00BC2D78" w:rsidRDefault="006E50EF" w:rsidP="0070197E">
            <w:pPr>
              <w:rPr>
                <w:rFonts w:cs="Arial"/>
              </w:rPr>
            </w:pPr>
            <w:r w:rsidRPr="00BC2D78">
              <w:rPr>
                <w:rFonts w:cs="Arial"/>
              </w:rPr>
              <w:t>157.9</w:t>
            </w:r>
          </w:p>
        </w:tc>
        <w:tc>
          <w:tcPr>
            <w:tcW w:w="8568" w:type="dxa"/>
            <w:shd w:val="clear" w:color="auto" w:fill="FFFFFF"/>
          </w:tcPr>
          <w:p w14:paraId="21D0E051" w14:textId="77777777" w:rsidR="006E50EF" w:rsidRPr="00BC2D78" w:rsidRDefault="006E50EF" w:rsidP="0070197E">
            <w:pPr>
              <w:rPr>
                <w:rFonts w:cs="Arial"/>
              </w:rPr>
            </w:pPr>
            <w:r w:rsidRPr="00BC2D78">
              <w:rPr>
                <w:rFonts w:cs="Arial"/>
              </w:rPr>
              <w:t>Malignant neoplasm of pancreas part unspecified</w:t>
            </w:r>
          </w:p>
        </w:tc>
      </w:tr>
    </w:tbl>
    <w:p w14:paraId="06BD7D8F" w14:textId="77777777" w:rsidR="006E50EF" w:rsidRPr="00BC2D78" w:rsidRDefault="006E50EF" w:rsidP="00C52666">
      <w:pPr>
        <w:rPr>
          <w:lang w:eastAsia="ja-JP"/>
        </w:rPr>
      </w:pPr>
    </w:p>
    <w:p w14:paraId="2E867DB0" w14:textId="77777777" w:rsidR="006E50EF" w:rsidRPr="00BC2D78" w:rsidRDefault="006E50EF" w:rsidP="00C52666">
      <w:pPr>
        <w:rPr>
          <w:lang w:eastAsia="ja-JP"/>
        </w:rPr>
      </w:pPr>
    </w:p>
    <w:p w14:paraId="78909F40" w14:textId="77777777" w:rsidR="006E50EF" w:rsidRPr="00BC2D78" w:rsidRDefault="006E50EF" w:rsidP="00C52666">
      <w:pPr>
        <w:rPr>
          <w:lang w:eastAsia="ja-JP"/>
        </w:rPr>
      </w:pPr>
      <w:r w:rsidRPr="00BC2D78">
        <w:rPr>
          <w:lang w:eastAsia="ja-JP"/>
        </w:rPr>
        <w:br w:type="page"/>
      </w:r>
    </w:p>
    <w:p w14:paraId="5F3A640B" w14:textId="77777777" w:rsidR="006E50EF" w:rsidRPr="00BC2D78" w:rsidRDefault="006E50EF" w:rsidP="00954B73">
      <w:pPr>
        <w:pStyle w:val="Heading2"/>
      </w:pPr>
      <w:bookmarkStart w:id="127" w:name="_Toc233710584"/>
      <w:bookmarkStart w:id="128" w:name="_Toc383775022"/>
      <w:bookmarkStart w:id="129" w:name="_Toc447195002"/>
      <w:r w:rsidRPr="00BC2D78">
        <w:lastRenderedPageBreak/>
        <w:t>Esophagectomy</w:t>
      </w:r>
      <w:r w:rsidRPr="00BC2D78">
        <w:rPr>
          <w:rFonts w:hint="eastAsia"/>
        </w:rPr>
        <w:t xml:space="preserve"> Measure References</w:t>
      </w:r>
      <w:bookmarkEnd w:id="127"/>
      <w:bookmarkEnd w:id="128"/>
      <w:bookmarkEnd w:id="129"/>
    </w:p>
    <w:p w14:paraId="5E1CD555" w14:textId="77777777" w:rsidR="006E50EF" w:rsidRDefault="006E50EF" w:rsidP="00C52666">
      <w:pPr>
        <w:rPr>
          <w:lang w:eastAsia="ja-JP"/>
        </w:rPr>
      </w:pPr>
    </w:p>
    <w:p w14:paraId="133107D5" w14:textId="77777777" w:rsidR="006E50EF" w:rsidRPr="00BC2D78" w:rsidRDefault="006E50EF" w:rsidP="00C52666">
      <w:pPr>
        <w:rPr>
          <w:lang w:eastAsia="ja-JP"/>
        </w:rPr>
      </w:pPr>
    </w:p>
    <w:p w14:paraId="5B0623B6" w14:textId="77777777" w:rsidR="006E50EF" w:rsidRPr="00BC2D78" w:rsidRDefault="006E50EF" w:rsidP="007A44CB">
      <w:pPr>
        <w:pStyle w:val="Heading3"/>
      </w:pPr>
      <w:bookmarkStart w:id="130" w:name="_Toc233710585"/>
      <w:bookmarkStart w:id="131" w:name="_Toc383775023"/>
      <w:bookmarkStart w:id="132" w:name="_Toc447195003"/>
      <w:bookmarkStart w:id="133" w:name="EsophVol"/>
      <w:r w:rsidRPr="00BC2D78">
        <w:t>Esophagectomy</w:t>
      </w:r>
      <w:r w:rsidRPr="00BC2D78">
        <w:rPr>
          <w:rFonts w:hint="eastAsia"/>
        </w:rPr>
        <w:t xml:space="preserve"> Volume Standard</w:t>
      </w:r>
      <w:bookmarkEnd w:id="130"/>
      <w:bookmarkEnd w:id="131"/>
      <w:bookmarkEnd w:id="132"/>
    </w:p>
    <w:bookmarkEnd w:id="133"/>
    <w:p w14:paraId="1594D2D7" w14:textId="77777777" w:rsidR="006E50EF" w:rsidRPr="00BC2D78" w:rsidRDefault="006E50EF" w:rsidP="00C52666"/>
    <w:p w14:paraId="09692DCB" w14:textId="77777777" w:rsidR="006E50EF" w:rsidRPr="00BC2D78" w:rsidRDefault="006E50EF" w:rsidP="00C52666">
      <w:r w:rsidRPr="00BC2D78">
        <w:t xml:space="preserve">For Esophagectomy, there are two sets of ICD-9-CM codes for counting patients for each of these procedures. The first set of codes is for counting </w:t>
      </w:r>
      <w:r w:rsidRPr="00BC2D78">
        <w:rPr>
          <w:u w:val="single"/>
        </w:rPr>
        <w:t>all</w:t>
      </w:r>
      <w:r w:rsidRPr="00BC2D78">
        <w:t xml:space="preserve"> patients who have had the procedure (Question #</w:t>
      </w:r>
      <w:r w:rsidR="005D3AC7">
        <w:t>2</w:t>
      </w:r>
      <w:r w:rsidRPr="00BC2D78">
        <w:t>).  The second set of codes for Esophagectomy are for counting patients who have had the procedure and also had a diagnosis of cancer (Question #</w:t>
      </w:r>
      <w:r w:rsidR="005D3AC7">
        <w:t>3</w:t>
      </w:r>
      <w:r w:rsidRPr="00BC2D78">
        <w:t xml:space="preserve">).  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230E7441" w14:textId="77777777" w:rsidR="006E50EF" w:rsidRPr="00BC2D78" w:rsidRDefault="006E50EF" w:rsidP="00C52666">
      <w:pPr>
        <w:rPr>
          <w:i/>
          <w:lang w:eastAsia="ja-JP"/>
        </w:rPr>
      </w:pPr>
    </w:p>
    <w:p w14:paraId="7C8E9B3B" w14:textId="77777777" w:rsidR="006E50EF" w:rsidRPr="00BC2D78"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the each specification</w:t>
      </w:r>
      <w:r w:rsidRPr="00BC2D78">
        <w:rPr>
          <w:i/>
          <w:color w:val="000000"/>
        </w:rPr>
        <w:t xml:space="preserve">. When calculating hospital volumes, 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Additionally, presence or absence of certain diagnosis codes may further determine whether the patient qualifies to be counted.</w:t>
      </w:r>
    </w:p>
    <w:p w14:paraId="05E61A6D" w14:textId="77777777" w:rsidR="006E50EF" w:rsidRPr="00BC2D78" w:rsidRDefault="006E50EF" w:rsidP="00C52666">
      <w:pPr>
        <w:rPr>
          <w:lang w:eastAsia="ja-JP"/>
        </w:rPr>
      </w:pPr>
      <w:r w:rsidRPr="00BC2D78">
        <w:rPr>
          <w:rFonts w:hint="eastAsia"/>
          <w:lang w:eastAsia="ja-JP"/>
        </w:rPr>
        <w:t xml:space="preserve"> </w:t>
      </w:r>
    </w:p>
    <w:p w14:paraId="679081F7" w14:textId="77777777" w:rsidR="006E50EF" w:rsidRPr="00BC2D78" w:rsidRDefault="006E50EF" w:rsidP="00C52666">
      <w:r w:rsidRPr="00BC2D78">
        <w:rPr>
          <w:rFonts w:hint="eastAsia"/>
          <w:lang w:eastAsia="ja-JP"/>
        </w:rPr>
        <w:t>T</w:t>
      </w:r>
      <w:r w:rsidRPr="00BC2D78">
        <w:t xml:space="preserve">he count for the volume measures can include emergent cases as well as “elective” scheduled cases. </w:t>
      </w:r>
    </w:p>
    <w:p w14:paraId="2DD6CDAD" w14:textId="77777777" w:rsidR="006E50EF" w:rsidRDefault="006E50EF" w:rsidP="00C52666">
      <w:pPr>
        <w:rPr>
          <w:b/>
        </w:rPr>
      </w:pPr>
    </w:p>
    <w:p w14:paraId="249D43BC" w14:textId="77777777" w:rsidR="006E50EF" w:rsidRPr="005B7CB8" w:rsidRDefault="006E50EF" w:rsidP="005B7CB8">
      <w:pPr>
        <w:pStyle w:val="Heading44"/>
      </w:pPr>
    </w:p>
    <w:p w14:paraId="403C4DA0" w14:textId="77777777" w:rsidR="006E50EF" w:rsidRPr="005B7CB8" w:rsidRDefault="00E445CB" w:rsidP="005B7CB8">
      <w:pPr>
        <w:pStyle w:val="Heading44"/>
      </w:pPr>
      <w:bookmarkStart w:id="134" w:name="_Toc383775024"/>
      <w:r w:rsidRPr="005B7CB8">
        <w:rPr>
          <w:rFonts w:hint="eastAsia"/>
        </w:rPr>
        <w:t>Q</w:t>
      </w:r>
      <w:r w:rsidRPr="005B7CB8">
        <w:t xml:space="preserve">uestion </w:t>
      </w:r>
      <w:r w:rsidR="000A5D6B" w:rsidRPr="005B7CB8">
        <w:t>#</w:t>
      </w:r>
      <w:r w:rsidRPr="005B7CB8">
        <w:t>2:</w:t>
      </w:r>
      <w:r w:rsidR="006E50EF" w:rsidRPr="005B7CB8">
        <w:rPr>
          <w:rFonts w:hint="eastAsia"/>
        </w:rPr>
        <w:t xml:space="preserve"> </w:t>
      </w:r>
      <w:r w:rsidR="006E50EF" w:rsidRPr="005B7CB8">
        <w:t>All patients undergoing procedure</w:t>
      </w:r>
      <w:bookmarkEnd w:id="134"/>
    </w:p>
    <w:p w14:paraId="647AD428" w14:textId="77777777" w:rsidR="006E50EF" w:rsidRPr="00BC2D78" w:rsidRDefault="00E0722D" w:rsidP="00C52666">
      <w:r>
        <w:rPr>
          <w:b/>
        </w:rPr>
        <w:br/>
      </w:r>
      <w:r w:rsidR="006E50EF" w:rsidRPr="00BC2D78">
        <w:rPr>
          <w:b/>
        </w:rPr>
        <w:t>Source</w:t>
      </w:r>
      <w:r w:rsidR="006E50EF" w:rsidRPr="00BC2D78">
        <w:t>:  The Leapfrog Group</w:t>
      </w:r>
    </w:p>
    <w:p w14:paraId="5729E4FC" w14:textId="77777777" w:rsidR="006E50EF" w:rsidRPr="00BC2D78" w:rsidRDefault="006E50EF" w:rsidP="00C52666"/>
    <w:p w14:paraId="7D428B4F"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7CE747E3" w14:textId="77777777" w:rsidR="006E50EF" w:rsidRPr="00BC2D78" w:rsidRDefault="006E50EF" w:rsidP="00C52666"/>
    <w:p w14:paraId="4FBDC8C6" w14:textId="77777777" w:rsidR="006E50EF" w:rsidRPr="000A5D6B" w:rsidRDefault="006E50EF" w:rsidP="00C52666">
      <w:pPr>
        <w:rPr>
          <w:b/>
        </w:rPr>
      </w:pPr>
      <w:r w:rsidRPr="000A5D6B">
        <w:rPr>
          <w:b/>
        </w:rPr>
        <w:t>ICD-9-CM esophageal resection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27B1964B" w14:textId="77777777" w:rsidTr="005D3AC7">
        <w:tc>
          <w:tcPr>
            <w:tcW w:w="1008" w:type="dxa"/>
          </w:tcPr>
          <w:p w14:paraId="3ECC30C4" w14:textId="77777777" w:rsidR="006E50EF" w:rsidRDefault="006E50EF" w:rsidP="0070197E">
            <w:r>
              <w:t>42.4</w:t>
            </w:r>
          </w:p>
          <w:p w14:paraId="3A77AB11" w14:textId="77777777" w:rsidR="006E50EF" w:rsidRPr="00BC2D78" w:rsidRDefault="006E50EF" w:rsidP="0070197E">
            <w:r w:rsidRPr="00BC2D78">
              <w:t>42.4</w:t>
            </w:r>
            <w:r>
              <w:t>0</w:t>
            </w:r>
          </w:p>
        </w:tc>
        <w:tc>
          <w:tcPr>
            <w:tcW w:w="8568" w:type="dxa"/>
          </w:tcPr>
          <w:p w14:paraId="1BEA792E" w14:textId="77777777" w:rsidR="006E50EF" w:rsidRDefault="006E50EF" w:rsidP="0070197E">
            <w:r>
              <w:rPr>
                <w:shd w:val="clear" w:color="auto" w:fill="FFFFFF"/>
              </w:rPr>
              <w:t>Excision of esophagus</w:t>
            </w:r>
          </w:p>
          <w:p w14:paraId="0D379090" w14:textId="77777777" w:rsidR="006E50EF" w:rsidRPr="00BC2D78" w:rsidRDefault="006E50EF" w:rsidP="0070197E">
            <w:r w:rsidRPr="00BC2D78">
              <w:t>Esophagectomy, not otherwise specified</w:t>
            </w:r>
          </w:p>
        </w:tc>
      </w:tr>
      <w:tr w:rsidR="006E50EF" w:rsidRPr="00BC2D78" w14:paraId="2CC2BE7E" w14:textId="77777777" w:rsidTr="005D3AC7">
        <w:tc>
          <w:tcPr>
            <w:tcW w:w="1008" w:type="dxa"/>
          </w:tcPr>
          <w:p w14:paraId="62DF74A4" w14:textId="77777777" w:rsidR="006E50EF" w:rsidRPr="00BC2D78" w:rsidRDefault="006E50EF" w:rsidP="0070197E">
            <w:r w:rsidRPr="00BC2D78">
              <w:t>42.41</w:t>
            </w:r>
          </w:p>
        </w:tc>
        <w:tc>
          <w:tcPr>
            <w:tcW w:w="8568" w:type="dxa"/>
          </w:tcPr>
          <w:p w14:paraId="318A96AA" w14:textId="77777777" w:rsidR="006E50EF" w:rsidRPr="00BC2D78" w:rsidRDefault="006E50EF" w:rsidP="0070197E">
            <w:r w:rsidRPr="00BC2D78">
              <w:t>Partial esophagectomy</w:t>
            </w:r>
          </w:p>
        </w:tc>
      </w:tr>
      <w:tr w:rsidR="006E50EF" w:rsidRPr="00BC2D78" w14:paraId="0DD1F7E3" w14:textId="77777777" w:rsidTr="005D3AC7">
        <w:tc>
          <w:tcPr>
            <w:tcW w:w="1008" w:type="dxa"/>
          </w:tcPr>
          <w:p w14:paraId="4612AD3B" w14:textId="77777777" w:rsidR="006E50EF" w:rsidRPr="00BC2D78" w:rsidRDefault="006E50EF" w:rsidP="0070197E">
            <w:r w:rsidRPr="00BC2D78">
              <w:t>42.42</w:t>
            </w:r>
          </w:p>
        </w:tc>
        <w:tc>
          <w:tcPr>
            <w:tcW w:w="8568" w:type="dxa"/>
          </w:tcPr>
          <w:p w14:paraId="558C98E2" w14:textId="77777777" w:rsidR="006E50EF" w:rsidRPr="00BC2D78" w:rsidRDefault="006E50EF" w:rsidP="0070197E">
            <w:r w:rsidRPr="00BC2D78">
              <w:t>Total esophagectomy</w:t>
            </w:r>
          </w:p>
        </w:tc>
      </w:tr>
      <w:tr w:rsidR="006E50EF" w:rsidRPr="00BC2D78" w14:paraId="0BF768CE" w14:textId="77777777" w:rsidTr="005D3AC7">
        <w:tc>
          <w:tcPr>
            <w:tcW w:w="1008" w:type="dxa"/>
          </w:tcPr>
          <w:p w14:paraId="4B1F7484" w14:textId="77777777" w:rsidR="006E50EF" w:rsidRPr="00BC2D78" w:rsidRDefault="006E50EF" w:rsidP="0070197E">
            <w:r w:rsidRPr="00BC2D78">
              <w:t>43.99</w:t>
            </w:r>
          </w:p>
        </w:tc>
        <w:tc>
          <w:tcPr>
            <w:tcW w:w="8568" w:type="dxa"/>
          </w:tcPr>
          <w:p w14:paraId="10C5B683" w14:textId="77777777" w:rsidR="006E50EF" w:rsidRPr="00BC2D78" w:rsidRDefault="006E50EF" w:rsidP="0070197E">
            <w:pPr>
              <w:rPr>
                <w:rFonts w:cs="Arial"/>
              </w:rPr>
            </w:pPr>
            <w:r w:rsidRPr="00BC2D78">
              <w:rPr>
                <w:rFonts w:cs="Arial"/>
                <w:bCs/>
              </w:rPr>
              <w:t>Other total gastrectomy</w:t>
            </w:r>
          </w:p>
        </w:tc>
      </w:tr>
    </w:tbl>
    <w:p w14:paraId="2D7C5691" w14:textId="77777777" w:rsidR="006E50EF" w:rsidRDefault="006E50EF" w:rsidP="00C52666">
      <w:pPr>
        <w:rPr>
          <w:b/>
        </w:rPr>
      </w:pPr>
    </w:p>
    <w:p w14:paraId="1611C734" w14:textId="77777777" w:rsidR="00E0722D" w:rsidRPr="00BC2D78" w:rsidRDefault="00E0722D" w:rsidP="00C52666">
      <w:pPr>
        <w:rPr>
          <w:b/>
        </w:rPr>
      </w:pPr>
    </w:p>
    <w:p w14:paraId="4313D727" w14:textId="77777777" w:rsidR="006E50EF" w:rsidRPr="005B7CB8" w:rsidRDefault="00E445CB" w:rsidP="005B7CB8">
      <w:pPr>
        <w:pStyle w:val="Heading44"/>
      </w:pPr>
      <w:bookmarkStart w:id="135" w:name="_Toc383775025"/>
      <w:r w:rsidRPr="005B7CB8">
        <w:rPr>
          <w:rFonts w:hint="eastAsia"/>
        </w:rPr>
        <w:t>Q</w:t>
      </w:r>
      <w:r w:rsidRPr="005B7CB8">
        <w:t xml:space="preserve">uestion </w:t>
      </w:r>
      <w:r w:rsidR="000A5D6B" w:rsidRPr="005B7CB8">
        <w:t>#</w:t>
      </w:r>
      <w:r w:rsidRPr="005B7CB8">
        <w:t>3</w:t>
      </w:r>
      <w:r w:rsidR="006E50EF" w:rsidRPr="005B7CB8">
        <w:rPr>
          <w:rFonts w:hint="eastAsia"/>
        </w:rPr>
        <w:t xml:space="preserve">: </w:t>
      </w:r>
      <w:r w:rsidR="006E50EF" w:rsidRPr="005B7CB8">
        <w:t>Select patients in Question #</w:t>
      </w:r>
      <w:r w:rsidR="005D3AC7" w:rsidRPr="005B7CB8">
        <w:t>2</w:t>
      </w:r>
      <w:r w:rsidR="006E50EF" w:rsidRPr="005B7CB8">
        <w:t xml:space="preserve"> with a diagnosis of esophageal cancer</w:t>
      </w:r>
      <w:bookmarkEnd w:id="135"/>
    </w:p>
    <w:p w14:paraId="6B31D506" w14:textId="77777777" w:rsidR="006E50EF" w:rsidRPr="00BC2D78" w:rsidRDefault="00E0722D" w:rsidP="00C52666">
      <w:r>
        <w:rPr>
          <w:b/>
        </w:rPr>
        <w:br/>
      </w:r>
      <w:r w:rsidR="006E50EF" w:rsidRPr="00BC2D78">
        <w:rPr>
          <w:b/>
        </w:rPr>
        <w:t>Source</w:t>
      </w:r>
      <w:r w:rsidR="006E50EF" w:rsidRPr="00BC2D78">
        <w:t>:  The Leapfrog Group</w:t>
      </w:r>
    </w:p>
    <w:p w14:paraId="71C6298F" w14:textId="77777777" w:rsidR="006E50EF" w:rsidRPr="00BC2D78" w:rsidRDefault="006E50EF" w:rsidP="00C52666">
      <w:pPr>
        <w:rPr>
          <w:b/>
        </w:rPr>
      </w:pPr>
    </w:p>
    <w:p w14:paraId="5A353FD2" w14:textId="77777777" w:rsidR="006E50EF" w:rsidRPr="00BC2D78" w:rsidRDefault="006E50EF" w:rsidP="00C52666">
      <w:r w:rsidRPr="00BC2D78">
        <w:t>Number of patients identified in Question #</w:t>
      </w:r>
      <w:r w:rsidR="005D3AC7">
        <w:t>2</w:t>
      </w:r>
      <w:r w:rsidRPr="00BC2D78">
        <w:t xml:space="preserve"> that also had an ICD-9-</w:t>
      </w:r>
      <w:r w:rsidR="000A5D6B">
        <w:t>CM diagnosis code of:</w:t>
      </w:r>
    </w:p>
    <w:p w14:paraId="47DE3248" w14:textId="77777777" w:rsidR="006E50EF" w:rsidRPr="00BC2D78" w:rsidRDefault="006E50EF" w:rsidP="00C52666"/>
    <w:p w14:paraId="323BC993" w14:textId="77777777" w:rsidR="006E50EF" w:rsidRPr="000A5D6B" w:rsidRDefault="006E50EF" w:rsidP="00C52666">
      <w:pPr>
        <w:rPr>
          <w:b/>
          <w:lang w:val="fr-FR"/>
        </w:rPr>
      </w:pPr>
      <w:r w:rsidRPr="000A5D6B">
        <w:rPr>
          <w:b/>
          <w:lang w:val="fr-FR"/>
        </w:rPr>
        <w:t>ICD-9-CM esophageal cancer diagnosis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04DDFD9F" w14:textId="77777777" w:rsidTr="005D3AC7">
        <w:tc>
          <w:tcPr>
            <w:tcW w:w="1008" w:type="dxa"/>
          </w:tcPr>
          <w:p w14:paraId="3AB0E8F0" w14:textId="77777777" w:rsidR="006E50EF" w:rsidRPr="00BC2D78" w:rsidRDefault="006E50EF" w:rsidP="0070197E">
            <w:r w:rsidRPr="00BC2D78">
              <w:t>150.0</w:t>
            </w:r>
          </w:p>
        </w:tc>
        <w:tc>
          <w:tcPr>
            <w:tcW w:w="8568" w:type="dxa"/>
          </w:tcPr>
          <w:p w14:paraId="2FE5258A" w14:textId="77777777" w:rsidR="006E50EF" w:rsidRPr="00BC2D78" w:rsidRDefault="006E50EF" w:rsidP="0070197E">
            <w:r w:rsidRPr="00BC2D78">
              <w:t>Malignant neoplasm of cervical esophagus</w:t>
            </w:r>
          </w:p>
        </w:tc>
      </w:tr>
      <w:tr w:rsidR="006E50EF" w:rsidRPr="00BC2D78" w14:paraId="06BC0D0A" w14:textId="77777777" w:rsidTr="005D3AC7">
        <w:tc>
          <w:tcPr>
            <w:tcW w:w="1008" w:type="dxa"/>
          </w:tcPr>
          <w:p w14:paraId="5357721C" w14:textId="77777777" w:rsidR="006E50EF" w:rsidRPr="00BC2D78" w:rsidRDefault="006E50EF" w:rsidP="0070197E">
            <w:r w:rsidRPr="00BC2D78">
              <w:t>150.1</w:t>
            </w:r>
          </w:p>
        </w:tc>
        <w:tc>
          <w:tcPr>
            <w:tcW w:w="8568" w:type="dxa"/>
          </w:tcPr>
          <w:p w14:paraId="5CC18299" w14:textId="77777777" w:rsidR="006E50EF" w:rsidRPr="00BC2D78" w:rsidRDefault="006E50EF" w:rsidP="0070197E">
            <w:r w:rsidRPr="00BC2D78">
              <w:t>Malignant neoplasm of thoracic esophagus</w:t>
            </w:r>
          </w:p>
        </w:tc>
      </w:tr>
      <w:tr w:rsidR="006E50EF" w:rsidRPr="00BC2D78" w14:paraId="142E3224" w14:textId="77777777" w:rsidTr="005D3AC7">
        <w:tc>
          <w:tcPr>
            <w:tcW w:w="1008" w:type="dxa"/>
          </w:tcPr>
          <w:p w14:paraId="774CE9DC" w14:textId="77777777" w:rsidR="006E50EF" w:rsidRPr="00BC2D78" w:rsidRDefault="006E50EF" w:rsidP="0070197E">
            <w:r w:rsidRPr="00BC2D78">
              <w:t>150.2</w:t>
            </w:r>
          </w:p>
        </w:tc>
        <w:tc>
          <w:tcPr>
            <w:tcW w:w="8568" w:type="dxa"/>
          </w:tcPr>
          <w:p w14:paraId="5CB483B9" w14:textId="77777777" w:rsidR="006E50EF" w:rsidRPr="00BC2D78" w:rsidRDefault="006E50EF" w:rsidP="0070197E">
            <w:r w:rsidRPr="00BC2D78">
              <w:t>Malignant neoplasm of abdominal esophagus</w:t>
            </w:r>
          </w:p>
        </w:tc>
      </w:tr>
      <w:tr w:rsidR="006E50EF" w:rsidRPr="00BC2D78" w14:paraId="680343BB" w14:textId="77777777" w:rsidTr="005D3AC7">
        <w:tc>
          <w:tcPr>
            <w:tcW w:w="1008" w:type="dxa"/>
          </w:tcPr>
          <w:p w14:paraId="4B465210" w14:textId="77777777" w:rsidR="006E50EF" w:rsidRPr="00BC2D78" w:rsidRDefault="006E50EF" w:rsidP="0070197E">
            <w:r w:rsidRPr="00BC2D78">
              <w:t>150.3</w:t>
            </w:r>
          </w:p>
        </w:tc>
        <w:tc>
          <w:tcPr>
            <w:tcW w:w="8568" w:type="dxa"/>
          </w:tcPr>
          <w:p w14:paraId="63C7187C" w14:textId="77777777" w:rsidR="006E50EF" w:rsidRPr="00BC2D78" w:rsidRDefault="006E50EF" w:rsidP="0070197E">
            <w:pPr>
              <w:rPr>
                <w:rFonts w:cs="Arial"/>
              </w:rPr>
            </w:pPr>
            <w:r w:rsidRPr="00BC2D78">
              <w:t>Malignant neoplasm of upper third of esophagus</w:t>
            </w:r>
          </w:p>
        </w:tc>
      </w:tr>
      <w:tr w:rsidR="006E50EF" w:rsidRPr="00BC2D78" w14:paraId="7B7BF418" w14:textId="77777777" w:rsidTr="005D3AC7">
        <w:tc>
          <w:tcPr>
            <w:tcW w:w="1008" w:type="dxa"/>
          </w:tcPr>
          <w:p w14:paraId="604A5258" w14:textId="77777777" w:rsidR="006E50EF" w:rsidRPr="00BC2D78" w:rsidRDefault="006E50EF" w:rsidP="0070197E">
            <w:r w:rsidRPr="00BC2D78">
              <w:t>150.4</w:t>
            </w:r>
          </w:p>
        </w:tc>
        <w:tc>
          <w:tcPr>
            <w:tcW w:w="8568" w:type="dxa"/>
          </w:tcPr>
          <w:p w14:paraId="1E45EC03" w14:textId="77777777" w:rsidR="006E50EF" w:rsidRPr="00BC2D78" w:rsidRDefault="006E50EF" w:rsidP="0070197E">
            <w:pPr>
              <w:rPr>
                <w:rFonts w:cs="Arial"/>
                <w:bCs/>
              </w:rPr>
            </w:pPr>
            <w:r w:rsidRPr="00BC2D78">
              <w:t>Malignant neoplasm of middle third of esophagus</w:t>
            </w:r>
          </w:p>
        </w:tc>
      </w:tr>
      <w:tr w:rsidR="006E50EF" w:rsidRPr="00BC2D78" w14:paraId="15DE3FE2" w14:textId="77777777" w:rsidTr="005D3AC7">
        <w:tc>
          <w:tcPr>
            <w:tcW w:w="1008" w:type="dxa"/>
          </w:tcPr>
          <w:p w14:paraId="5D504815" w14:textId="77777777" w:rsidR="006E50EF" w:rsidRPr="00BC2D78" w:rsidRDefault="006E50EF" w:rsidP="0070197E">
            <w:r w:rsidRPr="00BC2D78">
              <w:t>150.5</w:t>
            </w:r>
          </w:p>
        </w:tc>
        <w:tc>
          <w:tcPr>
            <w:tcW w:w="8568" w:type="dxa"/>
          </w:tcPr>
          <w:p w14:paraId="6BEA4822" w14:textId="77777777" w:rsidR="006E50EF" w:rsidRPr="00BC2D78" w:rsidRDefault="006E50EF" w:rsidP="0070197E">
            <w:pPr>
              <w:rPr>
                <w:rFonts w:cs="Arial"/>
                <w:bCs/>
              </w:rPr>
            </w:pPr>
            <w:r w:rsidRPr="00BC2D78">
              <w:t>Malignant neoplasm of lower third of esophagus</w:t>
            </w:r>
          </w:p>
        </w:tc>
      </w:tr>
      <w:tr w:rsidR="006E50EF" w:rsidRPr="00BC2D78" w14:paraId="01DB7056" w14:textId="77777777" w:rsidTr="005D3AC7">
        <w:tc>
          <w:tcPr>
            <w:tcW w:w="1008" w:type="dxa"/>
          </w:tcPr>
          <w:p w14:paraId="0A457A93" w14:textId="77777777" w:rsidR="006E50EF" w:rsidRPr="00BC2D78" w:rsidRDefault="006E50EF" w:rsidP="0070197E">
            <w:r w:rsidRPr="00BC2D78">
              <w:t>150.8</w:t>
            </w:r>
          </w:p>
        </w:tc>
        <w:tc>
          <w:tcPr>
            <w:tcW w:w="8568" w:type="dxa"/>
          </w:tcPr>
          <w:p w14:paraId="267C1918" w14:textId="77777777" w:rsidR="006E50EF" w:rsidRPr="00BC2D78" w:rsidRDefault="006E50EF" w:rsidP="0070197E">
            <w:pPr>
              <w:rPr>
                <w:rFonts w:cs="Arial"/>
                <w:bCs/>
              </w:rPr>
            </w:pPr>
            <w:r w:rsidRPr="00BC2D78">
              <w:t>Malignant neoplasm of other specified part of esophagus</w:t>
            </w:r>
          </w:p>
        </w:tc>
      </w:tr>
      <w:tr w:rsidR="006E50EF" w:rsidRPr="00BC2D78" w14:paraId="51D2918A" w14:textId="77777777" w:rsidTr="005D3AC7">
        <w:tc>
          <w:tcPr>
            <w:tcW w:w="1008" w:type="dxa"/>
          </w:tcPr>
          <w:p w14:paraId="5A7132B6" w14:textId="77777777" w:rsidR="006E50EF" w:rsidRPr="00BC2D78" w:rsidRDefault="006E50EF" w:rsidP="0070197E">
            <w:r w:rsidRPr="00BC2D78">
              <w:t>150.9</w:t>
            </w:r>
          </w:p>
        </w:tc>
        <w:tc>
          <w:tcPr>
            <w:tcW w:w="8568" w:type="dxa"/>
          </w:tcPr>
          <w:p w14:paraId="43B3550C" w14:textId="77777777" w:rsidR="006E50EF" w:rsidRPr="00BC2D78" w:rsidRDefault="006E50EF" w:rsidP="0070197E">
            <w:pPr>
              <w:rPr>
                <w:rFonts w:cs="Arial"/>
                <w:bCs/>
              </w:rPr>
            </w:pPr>
            <w:r w:rsidRPr="00BC2D78">
              <w:t>Malignant neoplasm of esophagus unspecified site</w:t>
            </w:r>
          </w:p>
        </w:tc>
      </w:tr>
      <w:tr w:rsidR="006E50EF" w:rsidRPr="00BC2D78" w14:paraId="0315F395" w14:textId="77777777" w:rsidTr="005D3AC7">
        <w:tc>
          <w:tcPr>
            <w:tcW w:w="1008" w:type="dxa"/>
          </w:tcPr>
          <w:p w14:paraId="16262F5B" w14:textId="77777777" w:rsidR="006E50EF" w:rsidRPr="00BC2D78" w:rsidRDefault="006E50EF" w:rsidP="0070197E">
            <w:r w:rsidRPr="00BC2D78">
              <w:t>151.0</w:t>
            </w:r>
          </w:p>
        </w:tc>
        <w:tc>
          <w:tcPr>
            <w:tcW w:w="8568" w:type="dxa"/>
          </w:tcPr>
          <w:p w14:paraId="51F36FD4" w14:textId="77777777" w:rsidR="006E50EF" w:rsidRPr="00BC2D78" w:rsidRDefault="006E50EF" w:rsidP="0070197E">
            <w:r w:rsidRPr="00BC2D78">
              <w:rPr>
                <w:rFonts w:cs="Arial"/>
              </w:rPr>
              <w:t>Malignant neoplasm of cardio-esophageal junction</w:t>
            </w:r>
          </w:p>
        </w:tc>
      </w:tr>
    </w:tbl>
    <w:p w14:paraId="7C2E4D41" w14:textId="77777777" w:rsidR="006E50EF" w:rsidRDefault="006E50EF">
      <w:pPr>
        <w:rPr>
          <w:lang w:eastAsia="ja-JP"/>
        </w:rPr>
      </w:pPr>
    </w:p>
    <w:p w14:paraId="1756A450" w14:textId="77777777" w:rsidR="006E50EF" w:rsidRDefault="006E50EF">
      <w:pPr>
        <w:rPr>
          <w:lang w:eastAsia="ja-JP"/>
        </w:rPr>
      </w:pPr>
    </w:p>
    <w:p w14:paraId="71EA589E" w14:textId="77777777" w:rsidR="00920EF6" w:rsidRDefault="00920EF6" w:rsidP="00FE54C0">
      <w:pPr>
        <w:pStyle w:val="SectionHeader"/>
        <w:rPr>
          <w:color w:val="A6A6A6" w:themeColor="background1" w:themeShade="A6"/>
        </w:rPr>
        <w:sectPr w:rsidR="00920EF6" w:rsidSect="008733FC">
          <w:headerReference w:type="default" r:id="rId74"/>
          <w:endnotePr>
            <w:numFmt w:val="decimal"/>
          </w:endnotePr>
          <w:type w:val="continuous"/>
          <w:pgSz w:w="12240" w:h="15840"/>
          <w:pgMar w:top="1080" w:right="1440" w:bottom="1080" w:left="1440" w:header="720" w:footer="720" w:gutter="0"/>
          <w:cols w:space="720"/>
          <w:docGrid w:linePitch="272"/>
        </w:sectPr>
      </w:pPr>
      <w:bookmarkStart w:id="136" w:name="_Toc414267243"/>
    </w:p>
    <w:p w14:paraId="46569125" w14:textId="77777777" w:rsidR="00C524A2" w:rsidRDefault="00C524A2" w:rsidP="00FE54C0">
      <w:pPr>
        <w:pStyle w:val="SectionHeader"/>
        <w:rPr>
          <w:color w:val="A6A6A6" w:themeColor="background1" w:themeShade="A6"/>
        </w:rPr>
      </w:pPr>
    </w:p>
    <w:p w14:paraId="020B1A14" w14:textId="77777777" w:rsidR="006E50EF" w:rsidRDefault="00573AD5" w:rsidP="00FE54C0">
      <w:pPr>
        <w:pStyle w:val="SectionHeader"/>
        <w:rPr>
          <w:color w:val="A6A6A6" w:themeColor="background1" w:themeShade="A6"/>
        </w:rPr>
      </w:pPr>
      <w:bookmarkStart w:id="137" w:name="_Toc447195004"/>
      <w:r>
        <w:rPr>
          <w:color w:val="A6A6A6" w:themeColor="background1" w:themeShade="A6"/>
        </w:rPr>
        <w:t>Page Intentionally Left Blank</w:t>
      </w:r>
      <w:bookmarkEnd w:id="136"/>
      <w:bookmarkEnd w:id="137"/>
    </w:p>
    <w:p w14:paraId="7EF41860" w14:textId="77777777" w:rsidR="00573AD5" w:rsidRDefault="00573AD5">
      <w:pPr>
        <w:rPr>
          <w:b/>
          <w:snapToGrid w:val="0"/>
          <w:color w:val="A6A6A6" w:themeColor="background1" w:themeShade="A6"/>
          <w:sz w:val="40"/>
          <w:szCs w:val="40"/>
          <w:lang w:eastAsia="ja-JP"/>
        </w:rPr>
      </w:pPr>
      <w:r>
        <w:rPr>
          <w:color w:val="A6A6A6" w:themeColor="background1" w:themeShade="A6"/>
        </w:rPr>
        <w:br w:type="page"/>
      </w:r>
    </w:p>
    <w:p w14:paraId="75581409" w14:textId="77777777" w:rsidR="00920EF6" w:rsidRDefault="00920EF6" w:rsidP="00FE54C0">
      <w:pPr>
        <w:pStyle w:val="SectionHeader"/>
        <w:rPr>
          <w:color w:val="A6A6A6" w:themeColor="background1" w:themeShade="A6"/>
        </w:rPr>
        <w:sectPr w:rsidR="00920EF6" w:rsidSect="008733FC">
          <w:headerReference w:type="default" r:id="rId75"/>
          <w:endnotePr>
            <w:numFmt w:val="decimal"/>
          </w:endnotePr>
          <w:type w:val="continuous"/>
          <w:pgSz w:w="12240" w:h="15840"/>
          <w:pgMar w:top="1080" w:right="1440" w:bottom="1080" w:left="1440" w:header="720" w:footer="720" w:gutter="0"/>
          <w:cols w:space="720"/>
          <w:docGrid w:linePitch="272"/>
        </w:sectPr>
      </w:pPr>
    </w:p>
    <w:p w14:paraId="4F058319" w14:textId="77777777" w:rsidR="00573AD5" w:rsidRPr="00573AD5" w:rsidRDefault="00573AD5" w:rsidP="00FE54C0">
      <w:pPr>
        <w:pStyle w:val="SectionHeader"/>
        <w:rPr>
          <w:color w:val="A6A6A6" w:themeColor="background1" w:themeShade="A6"/>
        </w:rPr>
      </w:pPr>
    </w:p>
    <w:p w14:paraId="21832A3B" w14:textId="77777777" w:rsidR="006E50EF" w:rsidRDefault="006E50EF" w:rsidP="00FE54C0">
      <w:pPr>
        <w:pStyle w:val="SectionHeader"/>
      </w:pPr>
    </w:p>
    <w:p w14:paraId="3FF7CC3C" w14:textId="77777777" w:rsidR="006E50EF" w:rsidRDefault="006E50EF" w:rsidP="00FE54C0">
      <w:pPr>
        <w:pStyle w:val="SectionHeader"/>
      </w:pPr>
    </w:p>
    <w:p w14:paraId="2062F97C" w14:textId="77777777" w:rsidR="006E50EF" w:rsidRDefault="006E50EF" w:rsidP="00FE54C0">
      <w:pPr>
        <w:pStyle w:val="SectionHeader"/>
      </w:pPr>
    </w:p>
    <w:p w14:paraId="1009BBCD" w14:textId="77777777" w:rsidR="006E50EF" w:rsidRDefault="006E50EF" w:rsidP="00FE54C0">
      <w:pPr>
        <w:pStyle w:val="SectionHeader"/>
      </w:pPr>
    </w:p>
    <w:p w14:paraId="60767253" w14:textId="77777777" w:rsidR="006E50EF" w:rsidRDefault="006E50EF" w:rsidP="00FE54C0">
      <w:pPr>
        <w:pStyle w:val="SectionHeader"/>
      </w:pPr>
    </w:p>
    <w:p w14:paraId="3B0CC59A" w14:textId="77777777" w:rsidR="006E50EF" w:rsidRDefault="006E50EF" w:rsidP="00FE54C0">
      <w:pPr>
        <w:pStyle w:val="SectionHeader"/>
      </w:pPr>
    </w:p>
    <w:p w14:paraId="74056A8D" w14:textId="77777777" w:rsidR="006E50EF" w:rsidRDefault="006E50EF" w:rsidP="00FE54C0">
      <w:pPr>
        <w:pStyle w:val="SectionHeader"/>
      </w:pPr>
    </w:p>
    <w:p w14:paraId="0ED5999D" w14:textId="77777777" w:rsidR="006E50EF" w:rsidRDefault="006E50EF" w:rsidP="00FE54C0">
      <w:pPr>
        <w:pStyle w:val="SectionHeader"/>
      </w:pPr>
    </w:p>
    <w:p w14:paraId="3372CF36" w14:textId="77777777" w:rsidR="006E50EF" w:rsidRDefault="006E50EF" w:rsidP="00FE54C0">
      <w:pPr>
        <w:pStyle w:val="SectionHeader"/>
      </w:pPr>
    </w:p>
    <w:p w14:paraId="568426C7" w14:textId="77777777" w:rsidR="006E50EF" w:rsidRDefault="006E50EF" w:rsidP="00FE54C0">
      <w:pPr>
        <w:pStyle w:val="SectionHeader"/>
      </w:pPr>
      <w:bookmarkStart w:id="138" w:name="_Toc447195005"/>
      <w:bookmarkStart w:id="139" w:name="Sect4"/>
      <w:r>
        <w:t>SECTION 4: MATERNITY CARE</w:t>
      </w:r>
      <w:bookmarkEnd w:id="138"/>
    </w:p>
    <w:bookmarkEnd w:id="139"/>
    <w:p w14:paraId="26D08A2B" w14:textId="77777777" w:rsidR="006E50EF" w:rsidRDefault="006E50EF" w:rsidP="00FE54C0">
      <w:pPr>
        <w:pStyle w:val="SectionHeader"/>
      </w:pPr>
    </w:p>
    <w:p w14:paraId="29516059" w14:textId="77777777" w:rsidR="006E50EF" w:rsidRDefault="006E50EF" w:rsidP="00A828BA">
      <w:r>
        <w:t xml:space="preserve">This section includes questions and reference information for Section 4 Maternity Care. Please carefully review the questions, </w:t>
      </w:r>
      <w:r w:rsidR="00B94757">
        <w:t>endnotes</w:t>
      </w:r>
      <w:r>
        <w:t>, and reference information (e.g.</w:t>
      </w:r>
      <w:r w:rsidR="000B77D0">
        <w:t>,</w:t>
      </w:r>
      <w:r>
        <w:t xml:space="preserve"> measure specifications, notes, and frequen</w:t>
      </w:r>
      <w:r w:rsidR="000B77D0">
        <w:t>tl</w:t>
      </w:r>
      <w:r>
        <w:t xml:space="preserve">y asked questions) before you begin. Failure to review the reference information could result in inaccurate responses. </w:t>
      </w:r>
    </w:p>
    <w:p w14:paraId="31EA102C" w14:textId="77777777" w:rsidR="006E50EF" w:rsidRDefault="006E50EF" w:rsidP="00FE54C0">
      <w:pPr>
        <w:pStyle w:val="SectionHeader"/>
      </w:pPr>
    </w:p>
    <w:p w14:paraId="7B7B39A7" w14:textId="77777777" w:rsidR="006E50EF" w:rsidRPr="007849B0" w:rsidRDefault="006E50EF" w:rsidP="007849B0">
      <w:pPr>
        <w:rPr>
          <w:b/>
          <w:snapToGrid w:val="0"/>
          <w:sz w:val="40"/>
          <w:szCs w:val="40"/>
        </w:rPr>
      </w:pPr>
      <w:r>
        <w:br w:type="page"/>
      </w:r>
    </w:p>
    <w:p w14:paraId="415FBB6C" w14:textId="77777777" w:rsidR="006E50EF" w:rsidRDefault="006E50EF" w:rsidP="002C3E94">
      <w:pPr>
        <w:pStyle w:val="Title"/>
        <w:rPr>
          <w:snapToGrid w:val="0"/>
          <w:color w:val="000000"/>
        </w:rPr>
      </w:pPr>
      <w:bookmarkStart w:id="140" w:name="_Toc447195006"/>
      <w:r w:rsidRPr="009F3288">
        <w:rPr>
          <w:snapToGrid w:val="0"/>
        </w:rPr>
        <w:lastRenderedPageBreak/>
        <w:t xml:space="preserve">Section 4: </w:t>
      </w:r>
      <w:r>
        <w:rPr>
          <w:snapToGrid w:val="0"/>
        </w:rPr>
        <w:t>201</w:t>
      </w:r>
      <w:r w:rsidR="009D5FFF">
        <w:rPr>
          <w:snapToGrid w:val="0"/>
        </w:rPr>
        <w:t>6</w:t>
      </w:r>
      <w:r>
        <w:rPr>
          <w:snapToGrid w:val="0"/>
        </w:rPr>
        <w:t xml:space="preserve"> </w:t>
      </w:r>
      <w:r>
        <w:rPr>
          <w:snapToGrid w:val="0"/>
          <w:color w:val="000000"/>
        </w:rPr>
        <w:t>Maternity Care</w:t>
      </w:r>
      <w:bookmarkEnd w:id="140"/>
    </w:p>
    <w:p w14:paraId="10A5EC8A" w14:textId="77777777" w:rsidR="006E50EF" w:rsidRDefault="006E50EF">
      <w:pPr>
        <w:pStyle w:val="BodyText3"/>
        <w:rPr>
          <w:b/>
          <w:snapToGrid w:val="0"/>
          <w:color w:val="auto"/>
        </w:rPr>
      </w:pPr>
    </w:p>
    <w:p w14:paraId="4870167D" w14:textId="77777777" w:rsidR="006E50EF" w:rsidRPr="00F57BAB" w:rsidRDefault="006E50EF">
      <w:pPr>
        <w:pStyle w:val="BodyText3"/>
        <w:rPr>
          <w:snapToGrid w:val="0"/>
          <w:color w:val="auto"/>
        </w:rPr>
      </w:pPr>
      <w:r w:rsidRPr="00F57BAB">
        <w:rPr>
          <w:b/>
          <w:snapToGrid w:val="0"/>
          <w:color w:val="auto"/>
        </w:rPr>
        <w:t>Link to Maternity Care Fact Sheet:</w:t>
      </w:r>
      <w:r w:rsidR="00E03E77">
        <w:rPr>
          <w:b/>
          <w:snapToGrid w:val="0"/>
          <w:color w:val="auto"/>
        </w:rPr>
        <w:t xml:space="preserve"> </w:t>
      </w:r>
      <w:hyperlink r:id="rId76" w:history="1">
        <w:r w:rsidR="00E03E77" w:rsidRPr="00EE24D9">
          <w:rPr>
            <w:rStyle w:val="Hyperlink"/>
          </w:rPr>
          <w:t>http://leapfroggroup.org/ratings-reports/survey-content</w:t>
        </w:r>
      </w:hyperlink>
      <w:r w:rsidRPr="00F57BAB">
        <w:rPr>
          <w:b/>
          <w:snapToGrid w:val="0"/>
          <w:color w:val="auto"/>
        </w:rPr>
        <w:t xml:space="preserve"> </w:t>
      </w:r>
    </w:p>
    <w:p w14:paraId="0F1BA7A2" w14:textId="77777777" w:rsidR="006E50EF" w:rsidRPr="00F57BAB" w:rsidRDefault="006E50EF">
      <w:pPr>
        <w:pStyle w:val="BodyText3"/>
        <w:rPr>
          <w:b/>
          <w:snapToGrid w:val="0"/>
          <w:color w:val="FF0000"/>
        </w:rPr>
      </w:pPr>
    </w:p>
    <w:p w14:paraId="32FAACBF" w14:textId="77777777" w:rsidR="00755C15" w:rsidRPr="00F57BAB" w:rsidRDefault="006E50EF">
      <w:pPr>
        <w:pStyle w:val="BodyText3"/>
        <w:rPr>
          <w:b/>
          <w:snapToGrid w:val="0"/>
          <w:color w:val="FF0000"/>
        </w:rPr>
      </w:pPr>
      <w:r w:rsidRPr="00F57BAB">
        <w:rPr>
          <w:b/>
          <w:snapToGrid w:val="0"/>
          <w:color w:val="FF0000"/>
        </w:rPr>
        <w:t xml:space="preserve">Adult and Pediatric Hospitals that did not deliver newborns during the reporting period should respond “No” to question </w:t>
      </w:r>
      <w:r w:rsidR="003C672D" w:rsidRPr="00F57BAB">
        <w:rPr>
          <w:b/>
          <w:snapToGrid w:val="0"/>
          <w:color w:val="FF0000"/>
        </w:rPr>
        <w:t>#</w:t>
      </w:r>
      <w:r w:rsidR="00121C3B" w:rsidRPr="00F57BAB">
        <w:rPr>
          <w:b/>
          <w:snapToGrid w:val="0"/>
          <w:color w:val="FF0000"/>
        </w:rPr>
        <w:t>2</w:t>
      </w:r>
      <w:r w:rsidRPr="00F57BAB">
        <w:rPr>
          <w:b/>
          <w:snapToGrid w:val="0"/>
          <w:color w:val="FF0000"/>
        </w:rPr>
        <w:t>, and then skip the remainder of the section. The hospital will be shown as “Does Not Apply.”</w:t>
      </w:r>
    </w:p>
    <w:p w14:paraId="55C1EC62" w14:textId="77777777" w:rsidR="006E50EF" w:rsidRPr="00F57BAB" w:rsidRDefault="006E50EF">
      <w:pPr>
        <w:pStyle w:val="BodyText3"/>
      </w:pPr>
    </w:p>
    <w:p w14:paraId="0B965302" w14:textId="77777777" w:rsidR="006E50EF" w:rsidRPr="00F57BAB" w:rsidRDefault="006E50EF">
      <w:pPr>
        <w:pStyle w:val="BodyText3"/>
      </w:pPr>
      <w:r w:rsidRPr="00F57BAB">
        <w:t xml:space="preserve">This section of the survey addresses the care provided by a hospital for newborn deliveries. </w:t>
      </w:r>
    </w:p>
    <w:p w14:paraId="20FB1A51" w14:textId="77777777" w:rsidR="006E50EF" w:rsidRPr="00F57BAB" w:rsidRDefault="006E50EF">
      <w:r w:rsidRPr="00F57BAB">
        <w:t>Hospital performance in this section is measured by evidence-based outcome and process measures.</w:t>
      </w:r>
      <w:r w:rsidRPr="00F57BAB">
        <w:br/>
      </w:r>
    </w:p>
    <w:p w14:paraId="5C2D5DCE" w14:textId="77777777" w:rsidR="006E50EF" w:rsidRPr="00F57BAB" w:rsidRDefault="006E50EF">
      <w:pPr>
        <w:rPr>
          <w:b/>
          <w:snapToGrid w:val="0"/>
          <w:color w:val="000000"/>
        </w:rPr>
      </w:pPr>
    </w:p>
    <w:p w14:paraId="53749382" w14:textId="77777777" w:rsidR="006E50EF" w:rsidRPr="00F57BAB" w:rsidRDefault="006E50EF">
      <w:pPr>
        <w:rPr>
          <w:b/>
        </w:rPr>
      </w:pPr>
      <w:r w:rsidRPr="00F57BAB">
        <w:rPr>
          <w:b/>
        </w:rPr>
        <w:t>Each hospital fully meeting the standards for Maternity Care:</w:t>
      </w:r>
    </w:p>
    <w:p w14:paraId="3A4BBCBE" w14:textId="77777777" w:rsidR="006E50EF" w:rsidRPr="00F57BAB" w:rsidRDefault="006E50EF">
      <w:pPr>
        <w:rPr>
          <w:b/>
        </w:rPr>
      </w:pPr>
    </w:p>
    <w:p w14:paraId="069488B0"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5.0% </w:t>
      </w:r>
      <w:r w:rsidRPr="00F57BAB">
        <w:rPr>
          <w:snapToGrid w:val="0"/>
          <w:color w:val="000000"/>
        </w:rPr>
        <w:t>target for performance on the nationally-endorsed “Elective Deliveries Before 39 Weeks Gestation” outcome measure</w:t>
      </w:r>
    </w:p>
    <w:p w14:paraId="0B4C7C3E"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23.9% </w:t>
      </w:r>
      <w:r w:rsidRPr="00F57BAB">
        <w:rPr>
          <w:snapToGrid w:val="0"/>
          <w:color w:val="000000"/>
        </w:rPr>
        <w:t>target for performance on the nationally-endorsed “NTSV Cesarean Section” outcome measure</w:t>
      </w:r>
    </w:p>
    <w:p w14:paraId="104701C3"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5.0% </w:t>
      </w:r>
      <w:r w:rsidRPr="00F57BAB">
        <w:rPr>
          <w:snapToGrid w:val="0"/>
          <w:color w:val="000000"/>
        </w:rPr>
        <w:t>target for performance on the nationally-endorsed “Incidence of Episiotomy” outcome measure</w:t>
      </w:r>
    </w:p>
    <w:p w14:paraId="0F1B41E7" w14:textId="77777777" w:rsidR="006E50EF" w:rsidRPr="00F57BAB" w:rsidRDefault="006E50EF" w:rsidP="00ED58C1">
      <w:pPr>
        <w:numPr>
          <w:ilvl w:val="0"/>
          <w:numId w:val="18"/>
        </w:numPr>
        <w:rPr>
          <w:snapToGrid w:val="0"/>
          <w:color w:val="000000"/>
        </w:rPr>
      </w:pPr>
      <w:r w:rsidRPr="00F57BAB">
        <w:rPr>
          <w:snapToGrid w:val="0"/>
          <w:color w:val="000000"/>
        </w:rPr>
        <w:t xml:space="preserve">Meets or exceeds an 80% target for both process measures of care </w:t>
      </w:r>
    </w:p>
    <w:p w14:paraId="23BBE6E7" w14:textId="77777777" w:rsidR="006E50EF" w:rsidRPr="00F57BAB" w:rsidRDefault="006E50EF" w:rsidP="006E368B">
      <w:pPr>
        <w:pStyle w:val="BodyText3"/>
        <w:rPr>
          <w:b/>
        </w:rPr>
      </w:pPr>
    </w:p>
    <w:p w14:paraId="7A95F74B" w14:textId="77777777" w:rsidR="006E50EF" w:rsidRPr="00F57BAB" w:rsidRDefault="006E50EF" w:rsidP="006E368B">
      <w:pPr>
        <w:pStyle w:val="BodyText3"/>
        <w:rPr>
          <w:b/>
        </w:rPr>
      </w:pPr>
    </w:p>
    <w:p w14:paraId="663CEE1B" w14:textId="77777777" w:rsidR="006E50EF" w:rsidRDefault="006E50EF" w:rsidP="006E368B">
      <w:pPr>
        <w:pStyle w:val="BodyText3"/>
        <w:rPr>
          <w:b/>
        </w:rPr>
      </w:pPr>
      <w:r w:rsidRPr="00F57BAB">
        <w:rPr>
          <w:b/>
        </w:rPr>
        <w:t xml:space="preserve">Each hospital fully meeting the High-Risk Deliveries standard: </w:t>
      </w:r>
    </w:p>
    <w:p w14:paraId="4A87775F" w14:textId="77777777" w:rsidR="00922CF8" w:rsidRPr="00F57BAB" w:rsidRDefault="00922CF8" w:rsidP="006E368B">
      <w:pPr>
        <w:pStyle w:val="BodyText3"/>
        <w:rPr>
          <w:b/>
        </w:rPr>
      </w:pPr>
    </w:p>
    <w:p w14:paraId="49FB5120" w14:textId="77777777" w:rsidR="006E50EF" w:rsidRPr="00AD3571" w:rsidRDefault="006E50EF" w:rsidP="00ED58C1">
      <w:pPr>
        <w:pStyle w:val="BodyText3"/>
        <w:numPr>
          <w:ilvl w:val="0"/>
          <w:numId w:val="33"/>
        </w:numPr>
      </w:pPr>
      <w:r w:rsidRPr="00F57BAB">
        <w:t xml:space="preserve">Achieves favorable hospital volume characteristics for high-risk deliveries by admitting 50 or more very-low birth-weight newborns/year to its NICU or achieves favorable outcomes for high-risk deliveries as measured by the Vermont Oxford Network. </w:t>
      </w:r>
      <w:r w:rsidRPr="00F57BAB">
        <w:br/>
      </w:r>
      <w:r w:rsidRPr="00AD3571">
        <w:rPr>
          <w:b/>
        </w:rPr>
        <w:t xml:space="preserve">and </w:t>
      </w:r>
    </w:p>
    <w:p w14:paraId="49641BC1" w14:textId="77777777" w:rsidR="006E50EF" w:rsidRDefault="006E50EF" w:rsidP="00ED58C1">
      <w:pPr>
        <w:pStyle w:val="BodyText3"/>
        <w:numPr>
          <w:ilvl w:val="0"/>
          <w:numId w:val="33"/>
        </w:numPr>
      </w:pPr>
      <w:r w:rsidRPr="00F57BAB">
        <w:t>Achieves 80% or higher adherence to nationally endorsed process measure</w:t>
      </w:r>
      <w:r w:rsidR="00EF3374" w:rsidRPr="00F57BAB">
        <w:t>s</w:t>
      </w:r>
      <w:r w:rsidR="006520C1" w:rsidRPr="00F57BAB">
        <w:t xml:space="preserve"> of quality.</w:t>
      </w:r>
    </w:p>
    <w:p w14:paraId="2089A0DE" w14:textId="77777777" w:rsidR="008A41A3" w:rsidRDefault="008A41A3" w:rsidP="00AD3571">
      <w:pPr>
        <w:pStyle w:val="BodyText3"/>
      </w:pPr>
    </w:p>
    <w:p w14:paraId="5AED31C0" w14:textId="77777777" w:rsidR="00AD3571" w:rsidRPr="00AD3571" w:rsidRDefault="00AD3571" w:rsidP="00AD3571">
      <w:pPr>
        <w:rPr>
          <w:b/>
        </w:rPr>
      </w:pPr>
      <w:r w:rsidRPr="00AD3571">
        <w:rPr>
          <w:b/>
        </w:rPr>
        <w:t xml:space="preserve">More information about the 2016 Leapfrog Hospital Survey Scoring Algorithms is available at: </w:t>
      </w:r>
      <w:hyperlink r:id="rId77" w:history="1">
        <w:r w:rsidR="006A71AB" w:rsidRPr="000421AE">
          <w:rPr>
            <w:rStyle w:val="Hyperlink"/>
          </w:rPr>
          <w:t>http://leapfroggroup.org/survey-materials/scoring-and-results</w:t>
        </w:r>
      </w:hyperlink>
      <w:r w:rsidR="006A71AB">
        <w:t xml:space="preserve"> </w:t>
      </w:r>
    </w:p>
    <w:p w14:paraId="589A6911" w14:textId="77777777" w:rsidR="008A41A3" w:rsidRPr="00AD3571" w:rsidRDefault="008A41A3" w:rsidP="00AD3571">
      <w:pPr>
        <w:pStyle w:val="BodyText3"/>
        <w:rPr>
          <w:b/>
        </w:rPr>
      </w:pPr>
    </w:p>
    <w:p w14:paraId="36BD949B" w14:textId="77777777" w:rsidR="008A41A3" w:rsidRDefault="008A41A3" w:rsidP="008A41A3">
      <w:pPr>
        <w:pStyle w:val="BodyText3"/>
        <w:ind w:left="360"/>
      </w:pPr>
    </w:p>
    <w:p w14:paraId="21FAD993" w14:textId="77777777" w:rsidR="008A41A3" w:rsidRDefault="008A41A3" w:rsidP="008A41A3">
      <w:pPr>
        <w:pStyle w:val="BodyText3"/>
        <w:ind w:left="360"/>
      </w:pPr>
    </w:p>
    <w:p w14:paraId="2F799905" w14:textId="77777777" w:rsidR="008A41A3" w:rsidRDefault="008A41A3" w:rsidP="008A41A3">
      <w:pPr>
        <w:pStyle w:val="BodyText3"/>
        <w:ind w:left="360"/>
      </w:pPr>
    </w:p>
    <w:p w14:paraId="66F02CA1" w14:textId="77777777" w:rsidR="008A41A3" w:rsidRDefault="008A41A3" w:rsidP="008A41A3">
      <w:pPr>
        <w:pStyle w:val="BodyText3"/>
        <w:ind w:left="360"/>
      </w:pPr>
    </w:p>
    <w:p w14:paraId="26ED1832" w14:textId="77777777" w:rsidR="008A41A3" w:rsidRDefault="008A41A3" w:rsidP="008A41A3">
      <w:pPr>
        <w:pStyle w:val="BodyText3"/>
        <w:ind w:left="360"/>
      </w:pPr>
    </w:p>
    <w:p w14:paraId="70C60BBB" w14:textId="77777777" w:rsidR="008A41A3" w:rsidRDefault="008A41A3" w:rsidP="008A41A3">
      <w:pPr>
        <w:pStyle w:val="BodyText3"/>
        <w:ind w:left="360"/>
      </w:pPr>
    </w:p>
    <w:p w14:paraId="78BCEF67" w14:textId="77777777" w:rsidR="008A41A3" w:rsidRDefault="008A41A3" w:rsidP="008A41A3">
      <w:pPr>
        <w:pStyle w:val="BodyText3"/>
        <w:ind w:left="360"/>
      </w:pPr>
    </w:p>
    <w:p w14:paraId="033946F8" w14:textId="77777777" w:rsidR="008A41A3" w:rsidRDefault="008A41A3" w:rsidP="008A41A3">
      <w:pPr>
        <w:pStyle w:val="BodyText3"/>
        <w:ind w:left="360"/>
      </w:pPr>
    </w:p>
    <w:p w14:paraId="47645802" w14:textId="77777777" w:rsidR="008A41A3" w:rsidRDefault="008A41A3" w:rsidP="008A41A3">
      <w:pPr>
        <w:pStyle w:val="BodyText3"/>
        <w:ind w:left="360"/>
      </w:pPr>
    </w:p>
    <w:p w14:paraId="6F911C3E" w14:textId="77777777" w:rsidR="008A41A3" w:rsidRDefault="008A41A3" w:rsidP="008A41A3">
      <w:pPr>
        <w:pStyle w:val="BodyText3"/>
        <w:ind w:left="360"/>
      </w:pPr>
    </w:p>
    <w:p w14:paraId="2CF56D5C" w14:textId="77777777" w:rsidR="008A41A3" w:rsidRDefault="008A41A3" w:rsidP="008A41A3">
      <w:pPr>
        <w:pStyle w:val="BodyText3"/>
        <w:ind w:left="360"/>
      </w:pPr>
    </w:p>
    <w:p w14:paraId="5E713F8E" w14:textId="77777777" w:rsidR="008A41A3" w:rsidRDefault="008A41A3" w:rsidP="008A41A3">
      <w:pPr>
        <w:pStyle w:val="BodyText3"/>
        <w:ind w:left="360"/>
      </w:pPr>
    </w:p>
    <w:p w14:paraId="39A02252" w14:textId="77777777" w:rsidR="008A41A3" w:rsidRDefault="008A41A3" w:rsidP="008A41A3">
      <w:pPr>
        <w:pStyle w:val="BodyText3"/>
        <w:ind w:left="360"/>
      </w:pPr>
    </w:p>
    <w:p w14:paraId="4F5187AB" w14:textId="77777777" w:rsidR="008A41A3" w:rsidRDefault="008A41A3" w:rsidP="008A41A3">
      <w:pPr>
        <w:pStyle w:val="BodyText3"/>
        <w:ind w:left="360"/>
      </w:pPr>
    </w:p>
    <w:p w14:paraId="05CE89D6" w14:textId="77777777" w:rsidR="008A41A3" w:rsidRDefault="008A41A3" w:rsidP="008A41A3">
      <w:pPr>
        <w:pStyle w:val="BodyText3"/>
        <w:ind w:left="360"/>
      </w:pPr>
    </w:p>
    <w:p w14:paraId="5F8A7AA2" w14:textId="77777777" w:rsidR="008A41A3" w:rsidRDefault="008A41A3" w:rsidP="008A41A3">
      <w:pPr>
        <w:pStyle w:val="BodyText3"/>
        <w:ind w:left="360"/>
      </w:pPr>
    </w:p>
    <w:p w14:paraId="5E8F72EA" w14:textId="77777777" w:rsidR="006E50EF" w:rsidRDefault="006E50EF" w:rsidP="00E21246">
      <w:pPr>
        <w:rPr>
          <w:snapToGrid w:val="0"/>
          <w:color w:val="000000"/>
        </w:rPr>
      </w:pPr>
    </w:p>
    <w:p w14:paraId="40386196" w14:textId="77777777" w:rsidR="006E50EF" w:rsidRDefault="006E50EF" w:rsidP="00954B73">
      <w:pPr>
        <w:pStyle w:val="Heading2"/>
        <w:rPr>
          <w:snapToGrid w:val="0"/>
        </w:rPr>
      </w:pPr>
      <w:r>
        <w:rPr>
          <w:snapToGrid w:val="0"/>
        </w:rPr>
        <w:br w:type="page"/>
      </w:r>
      <w:bookmarkStart w:id="141" w:name="_Toc447195007"/>
      <w:r w:rsidR="009D5FFF">
        <w:rPr>
          <w:snapToGrid w:val="0"/>
        </w:rPr>
        <w:lastRenderedPageBreak/>
        <w:t xml:space="preserve">4A </w:t>
      </w:r>
      <w:r>
        <w:rPr>
          <w:snapToGrid w:val="0"/>
        </w:rPr>
        <w:t>Maternity Care</w:t>
      </w:r>
      <w:bookmarkEnd w:id="141"/>
    </w:p>
    <w:p w14:paraId="4E048485" w14:textId="77777777" w:rsidR="006E50EF" w:rsidRDefault="006E50EF">
      <w:pPr>
        <w:rPr>
          <w:b/>
          <w:snapToGrid w:val="0"/>
        </w:rPr>
      </w:pPr>
    </w:p>
    <w:tbl>
      <w:tblPr>
        <w:tblW w:w="0" w:type="auto"/>
        <w:tblBorders>
          <w:top w:val="single" w:sz="24" w:space="0" w:color="auto"/>
        </w:tblBorders>
        <w:tblLayout w:type="fixed"/>
        <w:tblLook w:val="0000" w:firstRow="0" w:lastRow="0" w:firstColumn="0" w:lastColumn="0" w:noHBand="0" w:noVBand="0"/>
      </w:tblPr>
      <w:tblGrid>
        <w:gridCol w:w="7128"/>
        <w:gridCol w:w="2866"/>
      </w:tblGrid>
      <w:tr w:rsidR="006E50EF" w14:paraId="4433711F" w14:textId="77777777">
        <w:trPr>
          <w:cantSplit/>
        </w:trPr>
        <w:tc>
          <w:tcPr>
            <w:tcW w:w="9468" w:type="dxa"/>
            <w:gridSpan w:val="2"/>
            <w:tcBorders>
              <w:top w:val="single" w:sz="24" w:space="0" w:color="auto"/>
            </w:tcBorders>
          </w:tcPr>
          <w:p w14:paraId="1E5CB1AB" w14:textId="77777777" w:rsidR="006E50EF" w:rsidRDefault="006E50EF">
            <w:pPr>
              <w:rPr>
                <w:b/>
                <w:snapToGrid w:val="0"/>
              </w:rPr>
            </w:pPr>
          </w:p>
          <w:p w14:paraId="6518AE4F" w14:textId="77777777" w:rsidR="002F0AD7" w:rsidRDefault="006F1537" w:rsidP="006F1537">
            <w:pPr>
              <w:rPr>
                <w:snapToGrid w:val="0"/>
              </w:rPr>
            </w:pPr>
            <w:r>
              <w:rPr>
                <w:b/>
                <w:snapToGrid w:val="0"/>
              </w:rPr>
              <w:t xml:space="preserve">Specifications: </w:t>
            </w:r>
            <w:r>
              <w:rPr>
                <w:snapToGrid w:val="0"/>
              </w:rPr>
              <w:t xml:space="preserve">See </w:t>
            </w:r>
            <w:hyperlink w:anchor="_Maternity_Care_Volume_1" w:history="1">
              <w:r w:rsidR="00E71183" w:rsidRPr="00E71183">
                <w:rPr>
                  <w:rStyle w:val="Hyperlink"/>
                  <w:b/>
                  <w:i/>
                  <w:snapToGrid w:val="0"/>
                </w:rPr>
                <w:t>Maternity Care Volume</w:t>
              </w:r>
            </w:hyperlink>
            <w:r>
              <w:rPr>
                <w:snapToGrid w:val="0"/>
              </w:rPr>
              <w:t xml:space="preserve"> in the Maternity Care Reference Information on </w:t>
            </w:r>
            <w:r w:rsidRPr="00605199">
              <w:rPr>
                <w:snapToGrid w:val="0"/>
              </w:rPr>
              <w:t>page 6</w:t>
            </w:r>
            <w:r w:rsidR="008434B7" w:rsidRPr="00605199">
              <w:rPr>
                <w:snapToGrid w:val="0"/>
              </w:rPr>
              <w:t>4</w:t>
            </w:r>
            <w:r w:rsidRPr="00605199">
              <w:rPr>
                <w:snapToGrid w:val="0"/>
              </w:rPr>
              <w:t>.</w:t>
            </w:r>
            <w:r>
              <w:rPr>
                <w:snapToGrid w:val="0"/>
              </w:rPr>
              <w:t xml:space="preserve"> </w:t>
            </w:r>
          </w:p>
          <w:p w14:paraId="08384BFF" w14:textId="77777777" w:rsidR="002F0AD7" w:rsidRDefault="002F0AD7" w:rsidP="006F1537">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2F0AD7" w14:paraId="650F2331" w14:textId="77777777" w:rsidTr="009B47B8">
              <w:trPr>
                <w:jc w:val="center"/>
              </w:trPr>
              <w:tc>
                <w:tcPr>
                  <w:tcW w:w="9800" w:type="dxa"/>
                </w:tcPr>
                <w:p w14:paraId="72C83BB1" w14:textId="77777777" w:rsidR="002F0AD7" w:rsidRPr="00A86269" w:rsidRDefault="002F0AD7" w:rsidP="006561E3">
                  <w:pPr>
                    <w:spacing w:before="120"/>
                    <w:rPr>
                      <w:b/>
                      <w:snapToGrid w:val="0"/>
                    </w:rPr>
                  </w:pPr>
                  <w:r w:rsidRPr="00A86269">
                    <w:rPr>
                      <w:b/>
                      <w:snapToGrid w:val="0"/>
                    </w:rPr>
                    <w:t xml:space="preserve">Reporting Time Period: 9 months </w:t>
                  </w:r>
                </w:p>
                <w:p w14:paraId="06A6EF23" w14:textId="77777777" w:rsidR="009B47B8" w:rsidRPr="009B47B8" w:rsidRDefault="002F0AD7" w:rsidP="00ED58C1">
                  <w:pPr>
                    <w:pStyle w:val="ListParagraph"/>
                    <w:numPr>
                      <w:ilvl w:val="0"/>
                      <w:numId w:val="79"/>
                    </w:numPr>
                    <w:rPr>
                      <w:i/>
                      <w:snapToGrid w:val="0"/>
                    </w:rPr>
                  </w:pPr>
                  <w:r w:rsidRPr="00A86269">
                    <w:rPr>
                      <w:snapToGrid w:val="0"/>
                    </w:rPr>
                    <w:t>S</w:t>
                  </w:r>
                  <w:r w:rsidR="009B47B8">
                    <w:rPr>
                      <w:snapToGrid w:val="0"/>
                    </w:rPr>
                    <w:t xml:space="preserve">urveys submitted prior to </w:t>
                  </w:r>
                  <w:r w:rsidR="009B47B8" w:rsidRPr="002F0AD7">
                    <w:rPr>
                      <w:snapToGrid w:val="0"/>
                    </w:rPr>
                    <w:t>September 1, 2016</w:t>
                  </w:r>
                  <w:r w:rsidR="009B47B8">
                    <w:rPr>
                      <w:snapToGrid w:val="0"/>
                    </w:rPr>
                    <w:t>: 01/01/2015 – 09/30/2015</w:t>
                  </w:r>
                </w:p>
                <w:p w14:paraId="4D30D2AD" w14:textId="77777777" w:rsidR="002F0AD7" w:rsidRPr="009B47B8" w:rsidRDefault="009B47B8" w:rsidP="006561E3">
                  <w:pPr>
                    <w:pStyle w:val="ListParagraph"/>
                    <w:numPr>
                      <w:ilvl w:val="0"/>
                      <w:numId w:val="79"/>
                    </w:numPr>
                    <w:spacing w:after="120"/>
                    <w:rPr>
                      <w:i/>
                      <w:snapToGrid w:val="0"/>
                    </w:rPr>
                  </w:pPr>
                  <w:r w:rsidRPr="002F0AD7">
                    <w:rPr>
                      <w:snapToGrid w:val="0"/>
                    </w:rPr>
                    <w:t>Surveys (re)submitted on or</w:t>
                  </w:r>
                  <w:r w:rsidRPr="00A86269">
                    <w:rPr>
                      <w:snapToGrid w:val="0"/>
                    </w:rPr>
                    <w:t xml:space="preserve"> </w:t>
                  </w:r>
                  <w:r>
                    <w:rPr>
                      <w:snapToGrid w:val="0"/>
                    </w:rPr>
                    <w:t xml:space="preserve">after </w:t>
                  </w:r>
                  <w:r w:rsidR="002F0AD7" w:rsidRPr="00A86269">
                    <w:rPr>
                      <w:snapToGrid w:val="0"/>
                    </w:rPr>
                    <w:t xml:space="preserve">September 1, 2016: </w:t>
                  </w:r>
                  <w:r>
                    <w:rPr>
                      <w:snapToGrid w:val="0"/>
                    </w:rPr>
                    <w:t>10/01/2015 – 06/30/2016</w:t>
                  </w:r>
                </w:p>
              </w:tc>
            </w:tr>
          </w:tbl>
          <w:p w14:paraId="10C601AB" w14:textId="77777777" w:rsidR="006E50EF" w:rsidRPr="002F0AD7" w:rsidRDefault="006E50EF" w:rsidP="002F0AD7">
            <w:pPr>
              <w:rPr>
                <w:b/>
                <w:snapToGrid w:val="0"/>
              </w:rPr>
            </w:pPr>
          </w:p>
          <w:p w14:paraId="173AC20F" w14:textId="77777777" w:rsidR="00653966" w:rsidRPr="00A00EC0" w:rsidRDefault="00653966" w:rsidP="00653966">
            <w:pPr>
              <w:pStyle w:val="ListParagraph"/>
              <w:rPr>
                <w:b/>
                <w:snapToGrid w:val="0"/>
              </w:rPr>
            </w:pPr>
          </w:p>
        </w:tc>
      </w:tr>
      <w:tr w:rsidR="00C35DF0" w14:paraId="3E72B3DA" w14:textId="77777777" w:rsidTr="007A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8" w:type="dxa"/>
            <w:vAlign w:val="center"/>
          </w:tcPr>
          <w:p w14:paraId="04878A88" w14:textId="77777777" w:rsidR="00C35DF0" w:rsidRPr="00F57BAB" w:rsidRDefault="00770D72" w:rsidP="00ED58C1">
            <w:pPr>
              <w:pStyle w:val="ListParagraph"/>
              <w:numPr>
                <w:ilvl w:val="0"/>
                <w:numId w:val="56"/>
              </w:numPr>
              <w:rPr>
                <w:snapToGrid w:val="0"/>
                <w:color w:val="000000"/>
              </w:rPr>
            </w:pPr>
            <w:r>
              <w:rPr>
                <w:snapToGrid w:val="0"/>
                <w:color w:val="000000"/>
              </w:rPr>
              <w:t>9-month r</w:t>
            </w:r>
            <w:r w:rsidR="00C35DF0" w:rsidRPr="00F57BAB">
              <w:rPr>
                <w:snapToGrid w:val="0"/>
                <w:color w:val="000000"/>
              </w:rPr>
              <w:t xml:space="preserve">eporting </w:t>
            </w:r>
            <w:r w:rsidR="007A4221">
              <w:rPr>
                <w:snapToGrid w:val="0"/>
                <w:color w:val="000000"/>
              </w:rPr>
              <w:t>time period used</w:t>
            </w:r>
            <w:r w:rsidR="002C725C" w:rsidRPr="00F57BAB">
              <w:rPr>
                <w:snapToGrid w:val="0"/>
                <w:color w:val="000000"/>
              </w:rPr>
              <w:t>:</w:t>
            </w:r>
          </w:p>
        </w:tc>
        <w:tc>
          <w:tcPr>
            <w:tcW w:w="2866" w:type="dxa"/>
          </w:tcPr>
          <w:p w14:paraId="5EDA35D5" w14:textId="77777777" w:rsidR="00922CF8" w:rsidRPr="00A86269" w:rsidRDefault="007A4221" w:rsidP="00ED58C1">
            <w:pPr>
              <w:pStyle w:val="ListParagraph"/>
              <w:numPr>
                <w:ilvl w:val="0"/>
                <w:numId w:val="51"/>
              </w:numPr>
              <w:rPr>
                <w:i/>
              </w:rPr>
            </w:pPr>
            <w:r w:rsidRPr="00A86269">
              <w:rPr>
                <w:snapToGrid w:val="0"/>
              </w:rPr>
              <w:t>01/01/2015 - 09/30/2015</w:t>
            </w:r>
          </w:p>
          <w:p w14:paraId="74500F95" w14:textId="77777777" w:rsidR="00C35DF0" w:rsidRPr="00922CF8" w:rsidRDefault="007A4221" w:rsidP="00ED58C1">
            <w:pPr>
              <w:pStyle w:val="ListParagraph"/>
              <w:numPr>
                <w:ilvl w:val="0"/>
                <w:numId w:val="51"/>
              </w:numPr>
              <w:rPr>
                <w:i/>
              </w:rPr>
            </w:pPr>
            <w:r w:rsidRPr="00A86269">
              <w:rPr>
                <w:snapToGrid w:val="0"/>
              </w:rPr>
              <w:t>10/01/2015 – 06/30/2016</w:t>
            </w:r>
          </w:p>
        </w:tc>
      </w:tr>
      <w:tr w:rsidR="00C35DF0" w14:paraId="078EAE44" w14:textId="77777777" w:rsidTr="000F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8" w:type="dxa"/>
            <w:vAlign w:val="center"/>
          </w:tcPr>
          <w:p w14:paraId="516A7B40" w14:textId="77777777" w:rsidR="00412C7E" w:rsidRPr="00412C7E" w:rsidRDefault="00C35DF0" w:rsidP="006561E3">
            <w:pPr>
              <w:pStyle w:val="ListParagraph"/>
              <w:numPr>
                <w:ilvl w:val="0"/>
                <w:numId w:val="56"/>
              </w:numPr>
              <w:spacing w:before="120"/>
              <w:rPr>
                <w:snapToGrid w:val="0"/>
                <w:color w:val="000000"/>
              </w:rPr>
            </w:pPr>
            <w:r w:rsidRPr="00F57BAB">
              <w:rPr>
                <w:snapToGrid w:val="0"/>
                <w:color w:val="000000"/>
              </w:rPr>
              <w:t xml:space="preserve">Did the hospital deliver newborn babies during the reporting period? </w:t>
            </w:r>
            <w:r w:rsidRPr="00F57BAB">
              <w:rPr>
                <w:snapToGrid w:val="0"/>
                <w:color w:val="000000"/>
              </w:rPr>
              <w:br/>
            </w:r>
          </w:p>
          <w:p w14:paraId="7D0723E8" w14:textId="77777777" w:rsidR="00C35DF0" w:rsidRPr="00F57BAB" w:rsidRDefault="003933E4" w:rsidP="006561E3">
            <w:pPr>
              <w:pStyle w:val="ListParagraph"/>
              <w:spacing w:after="120"/>
              <w:ind w:left="360"/>
              <w:rPr>
                <w:snapToGrid w:val="0"/>
                <w:color w:val="000000"/>
              </w:rPr>
            </w:pPr>
            <w:r>
              <w:rPr>
                <w:i/>
                <w:snapToGrid w:val="0"/>
                <w:color w:val="000000"/>
              </w:rPr>
              <w:t>If “no</w:t>
            </w:r>
            <w:r w:rsidR="00A4418C">
              <w:rPr>
                <w:i/>
                <w:snapToGrid w:val="0"/>
                <w:color w:val="000000"/>
              </w:rPr>
              <w:t>,</w:t>
            </w:r>
            <w:r>
              <w:rPr>
                <w:i/>
                <w:snapToGrid w:val="0"/>
                <w:color w:val="000000"/>
              </w:rPr>
              <w:t xml:space="preserve">” </w:t>
            </w:r>
            <w:r w:rsidR="00C35DF0" w:rsidRPr="00F57BAB">
              <w:rPr>
                <w:i/>
                <w:snapToGrid w:val="0"/>
                <w:color w:val="000000"/>
              </w:rPr>
              <w:t>pleas</w:t>
            </w:r>
            <w:r>
              <w:rPr>
                <w:i/>
                <w:snapToGrid w:val="0"/>
                <w:color w:val="000000"/>
              </w:rPr>
              <w:t>e skip remaining questions for S</w:t>
            </w:r>
            <w:r w:rsidR="00C35DF0" w:rsidRPr="00F57BAB">
              <w:rPr>
                <w:i/>
                <w:snapToGrid w:val="0"/>
                <w:color w:val="000000"/>
              </w:rPr>
              <w:t xml:space="preserve">ection 4 including </w:t>
            </w:r>
            <w:r w:rsidR="002C725C" w:rsidRPr="00F57BAB">
              <w:rPr>
                <w:i/>
                <w:snapToGrid w:val="0"/>
                <w:color w:val="000000"/>
              </w:rPr>
              <w:t xml:space="preserve">all </w:t>
            </w:r>
            <w:r w:rsidR="00C35DF0" w:rsidRPr="00F57BAB">
              <w:rPr>
                <w:i/>
                <w:snapToGrid w:val="0"/>
                <w:color w:val="000000"/>
              </w:rPr>
              <w:t>subsections; hospital will be scored as “Does not apply.” Otherwi</w:t>
            </w:r>
            <w:r w:rsidR="002C725C" w:rsidRPr="00F57BAB">
              <w:rPr>
                <w:i/>
                <w:snapToGrid w:val="0"/>
                <w:color w:val="000000"/>
              </w:rPr>
              <w:t xml:space="preserve">se, continue on to question </w:t>
            </w:r>
            <w:r w:rsidR="003C672D" w:rsidRPr="00F57BAB">
              <w:rPr>
                <w:i/>
                <w:snapToGrid w:val="0"/>
                <w:color w:val="000000"/>
              </w:rPr>
              <w:t>#</w:t>
            </w:r>
            <w:r w:rsidR="005C4F59" w:rsidRPr="00F57BAB">
              <w:rPr>
                <w:i/>
                <w:snapToGrid w:val="0"/>
                <w:color w:val="000000"/>
              </w:rPr>
              <w:t>3</w:t>
            </w:r>
            <w:r w:rsidR="00C35DF0" w:rsidRPr="00F57BAB">
              <w:rPr>
                <w:i/>
                <w:snapToGrid w:val="0"/>
                <w:color w:val="000000"/>
              </w:rPr>
              <w:t xml:space="preserve">. </w:t>
            </w:r>
          </w:p>
        </w:tc>
        <w:tc>
          <w:tcPr>
            <w:tcW w:w="2340" w:type="dxa"/>
          </w:tcPr>
          <w:p w14:paraId="15F97D6F" w14:textId="77777777" w:rsidR="00C35DF0" w:rsidRDefault="00C35DF0">
            <w:pPr>
              <w:jc w:val="center"/>
              <w:rPr>
                <w:i/>
                <w:snapToGrid w:val="0"/>
              </w:rPr>
            </w:pPr>
            <w:r>
              <w:rPr>
                <w:i/>
                <w:snapToGrid w:val="0"/>
              </w:rPr>
              <w:br/>
              <w:t>Yes</w:t>
            </w:r>
          </w:p>
          <w:p w14:paraId="1F4DD26F" w14:textId="77777777" w:rsidR="00C35DF0" w:rsidRDefault="00C35DF0">
            <w:pPr>
              <w:jc w:val="center"/>
              <w:rPr>
                <w:i/>
                <w:snapToGrid w:val="0"/>
              </w:rPr>
            </w:pPr>
            <w:r>
              <w:rPr>
                <w:i/>
                <w:snapToGrid w:val="0"/>
              </w:rPr>
              <w:t>No</w:t>
            </w:r>
          </w:p>
        </w:tc>
      </w:tr>
      <w:tr w:rsidR="00C35DF0" w14:paraId="5931C29A" w14:textId="77777777" w:rsidTr="00922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trPr>
        <w:tc>
          <w:tcPr>
            <w:tcW w:w="7128" w:type="dxa"/>
            <w:vAlign w:val="center"/>
          </w:tcPr>
          <w:p w14:paraId="07C01430" w14:textId="77777777" w:rsidR="005C4F59" w:rsidRDefault="00C35DF0" w:rsidP="00ED58C1">
            <w:pPr>
              <w:numPr>
                <w:ilvl w:val="0"/>
                <w:numId w:val="56"/>
              </w:numPr>
              <w:rPr>
                <w:snapToGrid w:val="0"/>
                <w:color w:val="000000"/>
              </w:rPr>
            </w:pPr>
            <w:r>
              <w:rPr>
                <w:snapToGrid w:val="0"/>
                <w:color w:val="000000"/>
              </w:rPr>
              <w:t>Total number of live births at this hospital location for the Reporting Time Period</w:t>
            </w:r>
            <w:r w:rsidR="00C46D49">
              <w:rPr>
                <w:snapToGrid w:val="0"/>
                <w:color w:val="000000"/>
              </w:rPr>
              <w:t>.</w:t>
            </w:r>
          </w:p>
          <w:p w14:paraId="6ED332BA" w14:textId="77777777" w:rsidR="00C46D49" w:rsidRPr="00A00EC0" w:rsidRDefault="00C46D49" w:rsidP="00C46D49">
            <w:pPr>
              <w:ind w:left="360"/>
              <w:rPr>
                <w:snapToGrid w:val="0"/>
                <w:color w:val="000000"/>
              </w:rPr>
            </w:pPr>
          </w:p>
          <w:p w14:paraId="374DF9BD" w14:textId="77777777" w:rsidR="00C35DF0" w:rsidRPr="00922CF8" w:rsidRDefault="00C35DF0" w:rsidP="00922CF8">
            <w:pPr>
              <w:ind w:left="360"/>
              <w:rPr>
                <w:i/>
              </w:rPr>
            </w:pPr>
            <w:r w:rsidRPr="00893071">
              <w:rPr>
                <w:i/>
              </w:rPr>
              <w:t>If fewer than 10 cases</w:t>
            </w:r>
            <w:r w:rsidR="003933E4">
              <w:rPr>
                <w:i/>
              </w:rPr>
              <w:t>, skip remaining questions for S</w:t>
            </w:r>
            <w:r w:rsidRPr="00893071">
              <w:rPr>
                <w:i/>
              </w:rPr>
              <w:t>ection</w:t>
            </w:r>
            <w:r w:rsidR="005C4F59">
              <w:rPr>
                <w:i/>
              </w:rPr>
              <w:t xml:space="preserve"> 4 including all</w:t>
            </w:r>
            <w:r>
              <w:rPr>
                <w:i/>
              </w:rPr>
              <w:t xml:space="preserve"> subsections</w:t>
            </w:r>
            <w:r w:rsidR="005C4F59">
              <w:rPr>
                <w:i/>
              </w:rPr>
              <w:t xml:space="preserve">. </w:t>
            </w:r>
            <w:r w:rsidRPr="00893071">
              <w:rPr>
                <w:i/>
              </w:rPr>
              <w:t>Otherwise</w:t>
            </w:r>
            <w:r w:rsidR="000F78C3">
              <w:rPr>
                <w:i/>
              </w:rPr>
              <w:t>,</w:t>
            </w:r>
            <w:r w:rsidRPr="00893071">
              <w:rPr>
                <w:i/>
              </w:rPr>
              <w:t xml:space="preserve"> continue to </w:t>
            </w:r>
            <w:r w:rsidR="000F78C3">
              <w:rPr>
                <w:i/>
              </w:rPr>
              <w:t>Section 4</w:t>
            </w:r>
            <w:r w:rsidR="009D5FFF">
              <w:rPr>
                <w:i/>
              </w:rPr>
              <w:t>B</w:t>
            </w:r>
            <w:r w:rsidR="00483C6C">
              <w:rPr>
                <w:i/>
              </w:rPr>
              <w:t>.</w:t>
            </w:r>
          </w:p>
        </w:tc>
        <w:tc>
          <w:tcPr>
            <w:tcW w:w="2340" w:type="dxa"/>
            <w:vAlign w:val="center"/>
          </w:tcPr>
          <w:p w14:paraId="45729E5A" w14:textId="77777777" w:rsidR="00C35DF0" w:rsidRDefault="00C35DF0" w:rsidP="00922CF8">
            <w:pPr>
              <w:jc w:val="center"/>
              <w:rPr>
                <w:i/>
                <w:snapToGrid w:val="0"/>
              </w:rPr>
            </w:pPr>
            <w:r>
              <w:rPr>
                <w:i/>
                <w:snapToGrid w:val="0"/>
              </w:rPr>
              <w:t>______</w:t>
            </w:r>
          </w:p>
        </w:tc>
      </w:tr>
    </w:tbl>
    <w:p w14:paraId="65037AF7" w14:textId="77777777" w:rsidR="00650210" w:rsidRDefault="00650210">
      <w:pPr>
        <w:rPr>
          <w:i/>
        </w:rPr>
      </w:pPr>
    </w:p>
    <w:p w14:paraId="51913A95" w14:textId="77777777" w:rsidR="006E50EF" w:rsidRDefault="00650210">
      <w:pPr>
        <w:rPr>
          <w:i/>
        </w:rPr>
      </w:pPr>
      <w:r>
        <w:rPr>
          <w:i/>
        </w:rPr>
        <w:br w:type="page"/>
      </w:r>
    </w:p>
    <w:p w14:paraId="4B8152B3" w14:textId="77777777" w:rsidR="006E50EF" w:rsidRDefault="006E50EF"/>
    <w:tbl>
      <w:tblPr>
        <w:tblW w:w="9994" w:type="dxa"/>
        <w:jc w:val="center"/>
        <w:tblBorders>
          <w:top w:val="single" w:sz="24" w:space="0" w:color="auto"/>
        </w:tblBorders>
        <w:tblLayout w:type="fixed"/>
        <w:tblLook w:val="0000" w:firstRow="0" w:lastRow="0" w:firstColumn="0" w:lastColumn="0" w:noHBand="0" w:noVBand="0"/>
      </w:tblPr>
      <w:tblGrid>
        <w:gridCol w:w="6987"/>
        <w:gridCol w:w="3007"/>
      </w:tblGrid>
      <w:tr w:rsidR="006E50EF" w:rsidRPr="00C2502E" w14:paraId="00BB9CFF" w14:textId="77777777" w:rsidTr="00D14BCA">
        <w:trPr>
          <w:cantSplit/>
          <w:jc w:val="center"/>
        </w:trPr>
        <w:tc>
          <w:tcPr>
            <w:tcW w:w="9468" w:type="dxa"/>
            <w:gridSpan w:val="2"/>
            <w:tcBorders>
              <w:top w:val="single" w:sz="24" w:space="0" w:color="auto"/>
              <w:bottom w:val="single" w:sz="4" w:space="0" w:color="auto"/>
            </w:tcBorders>
          </w:tcPr>
          <w:p w14:paraId="3B4E7E6F" w14:textId="77777777" w:rsidR="006E50EF" w:rsidRPr="00362B11" w:rsidRDefault="006E50EF">
            <w:r w:rsidRPr="00362B11">
              <w:br w:type="page"/>
            </w:r>
            <w:r w:rsidRPr="00362B11">
              <w:br w:type="page"/>
            </w:r>
          </w:p>
          <w:p w14:paraId="4D554742" w14:textId="77777777" w:rsidR="006E50EF" w:rsidRPr="00362B11" w:rsidRDefault="006E50EF" w:rsidP="00954B73">
            <w:pPr>
              <w:pStyle w:val="Heading2"/>
              <w:rPr>
                <w:snapToGrid w:val="0"/>
              </w:rPr>
            </w:pPr>
            <w:bookmarkStart w:id="142" w:name="_Toc447195008"/>
            <w:r w:rsidRPr="00362B11">
              <w:rPr>
                <w:snapToGrid w:val="0"/>
              </w:rPr>
              <w:t>4</w:t>
            </w:r>
            <w:r w:rsidR="009D5FFF">
              <w:rPr>
                <w:snapToGrid w:val="0"/>
              </w:rPr>
              <w:t>B</w:t>
            </w:r>
            <w:r w:rsidRPr="00362B11">
              <w:rPr>
                <w:snapToGrid w:val="0"/>
              </w:rPr>
              <w:t>: Early Elective Deliveries</w:t>
            </w:r>
            <w:bookmarkEnd w:id="142"/>
            <w:r w:rsidRPr="00362B11">
              <w:rPr>
                <w:snapToGrid w:val="0"/>
              </w:rPr>
              <w:t xml:space="preserve"> </w:t>
            </w:r>
          </w:p>
          <w:p w14:paraId="5B9B8E22" w14:textId="77777777" w:rsidR="006E50EF" w:rsidRPr="00362B11" w:rsidRDefault="006E50EF">
            <w:pPr>
              <w:rPr>
                <w:b/>
                <w:snapToGrid w:val="0"/>
              </w:rPr>
            </w:pPr>
          </w:p>
          <w:p w14:paraId="79A8A26A" w14:textId="219B5699" w:rsidR="006A71AB" w:rsidRDefault="006E50EF">
            <w:pPr>
              <w:rPr>
                <w:snapToGrid w:val="0"/>
              </w:rPr>
            </w:pPr>
            <w:r w:rsidRPr="003D709E">
              <w:rPr>
                <w:b/>
                <w:snapToGrid w:val="0"/>
              </w:rPr>
              <w:t>Specifications</w:t>
            </w:r>
            <w:r w:rsidR="00B2202B" w:rsidRPr="003D709E">
              <w:rPr>
                <w:b/>
                <w:snapToGrid w:val="0"/>
              </w:rPr>
              <w:t>:</w:t>
            </w:r>
            <w:r w:rsidRPr="003D709E">
              <w:rPr>
                <w:b/>
                <w:snapToGrid w:val="0"/>
              </w:rPr>
              <w:t xml:space="preserve"> </w:t>
            </w:r>
            <w:r w:rsidR="00E17BC3">
              <w:rPr>
                <w:snapToGrid w:val="0"/>
              </w:rPr>
              <w:t xml:space="preserve">See </w:t>
            </w:r>
            <w:hyperlink w:anchor="_Early_Elective_Deliveries" w:history="1">
              <w:r w:rsidR="003E0D49" w:rsidRPr="003E0D49">
                <w:rPr>
                  <w:rStyle w:val="Hyperlink"/>
                  <w:b/>
                  <w:i/>
                  <w:snapToGrid w:val="0"/>
                </w:rPr>
                <w:t>Early Elective Deliveries</w:t>
              </w:r>
            </w:hyperlink>
            <w:r w:rsidR="00E17BC3" w:rsidRPr="003D709E">
              <w:rPr>
                <w:snapToGrid w:val="0"/>
              </w:rPr>
              <w:t xml:space="preserve"> in </w:t>
            </w:r>
            <w:r w:rsidR="00E17BC3">
              <w:rPr>
                <w:snapToGrid w:val="0"/>
              </w:rPr>
              <w:t xml:space="preserve">the </w:t>
            </w:r>
            <w:r w:rsidR="00E17BC3" w:rsidRPr="003D709E">
              <w:rPr>
                <w:snapToGrid w:val="0"/>
              </w:rPr>
              <w:t>Maternity Care Reference Information</w:t>
            </w:r>
            <w:r w:rsidR="006F1537">
              <w:rPr>
                <w:snapToGrid w:val="0"/>
              </w:rPr>
              <w:t xml:space="preserve"> on </w:t>
            </w:r>
            <w:r w:rsidR="006F1537" w:rsidRPr="00605199">
              <w:rPr>
                <w:snapToGrid w:val="0"/>
              </w:rPr>
              <w:t>page</w:t>
            </w:r>
            <w:r w:rsidR="00605199">
              <w:rPr>
                <w:snapToGrid w:val="0"/>
              </w:rPr>
              <w:t>s</w:t>
            </w:r>
            <w:r w:rsidR="006F1537" w:rsidRPr="00605199">
              <w:rPr>
                <w:snapToGrid w:val="0"/>
              </w:rPr>
              <w:t xml:space="preserve"> </w:t>
            </w:r>
            <w:r w:rsidR="008434B7" w:rsidRPr="00605199">
              <w:rPr>
                <w:snapToGrid w:val="0"/>
              </w:rPr>
              <w:t>65</w:t>
            </w:r>
            <w:r w:rsidR="00605199">
              <w:rPr>
                <w:snapToGrid w:val="0"/>
              </w:rPr>
              <w:t>-67</w:t>
            </w:r>
            <w:r w:rsidR="006F1537" w:rsidRPr="00605199">
              <w:rPr>
                <w:snapToGrid w:val="0"/>
              </w:rPr>
              <w:t>.</w:t>
            </w:r>
            <w:r w:rsidR="006F1537">
              <w:rPr>
                <w:snapToGrid w:val="0"/>
              </w:rPr>
              <w:t xml:space="preserve"> </w:t>
            </w:r>
          </w:p>
          <w:p w14:paraId="556BA435" w14:textId="3E56F9ED" w:rsidR="006E50EF" w:rsidRPr="006F1537" w:rsidRDefault="006E50EF">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581970" w14:paraId="0FC6BAF7" w14:textId="77777777" w:rsidTr="00581970">
              <w:trPr>
                <w:jc w:val="center"/>
              </w:trPr>
              <w:tc>
                <w:tcPr>
                  <w:tcW w:w="9763" w:type="dxa"/>
                </w:tcPr>
                <w:p w14:paraId="1D876E15" w14:textId="77777777" w:rsidR="00F3344A" w:rsidRDefault="00581970" w:rsidP="006561E3">
                  <w:pPr>
                    <w:spacing w:before="120"/>
                    <w:rPr>
                      <w:b/>
                      <w:snapToGrid w:val="0"/>
                    </w:rPr>
                  </w:pPr>
                  <w:r w:rsidRPr="00A86269">
                    <w:rPr>
                      <w:b/>
                      <w:snapToGrid w:val="0"/>
                    </w:rPr>
                    <w:t>Reporting Time Period: 9 months</w:t>
                  </w:r>
                </w:p>
                <w:p w14:paraId="6F96D386" w14:textId="77777777" w:rsidR="00581970" w:rsidRPr="00A86269" w:rsidRDefault="00F3344A" w:rsidP="00581970">
                  <w:pPr>
                    <w:rPr>
                      <w:b/>
                      <w:snapToGrid w:val="0"/>
                    </w:rPr>
                  </w:pPr>
                  <w:r>
                    <w:rPr>
                      <w:snapToGrid w:val="0"/>
                    </w:rPr>
                    <w:t xml:space="preserve">Answer questions #1-5 based </w:t>
                  </w:r>
                  <w:r w:rsidRPr="007C2A37">
                    <w:rPr>
                      <w:snapToGrid w:val="0"/>
                      <w:color w:val="000000"/>
                    </w:rPr>
                    <w:t xml:space="preserve">on </w:t>
                  </w:r>
                  <w:r w:rsidRPr="007C2A37">
                    <w:rPr>
                      <w:snapToGrid w:val="0"/>
                    </w:rPr>
                    <w:t xml:space="preserve">all cases </w:t>
                  </w:r>
                  <w:r w:rsidR="00F559DE" w:rsidRPr="006A71AB">
                    <w:t>(or a sufficient sample of them</w:t>
                  </w:r>
                  <w:r w:rsidRPr="007C2A37">
                    <w:rPr>
                      <w:snapToGrid w:val="0"/>
                    </w:rPr>
                    <w:t>)</w:t>
                  </w:r>
                  <w:r w:rsidR="00581970" w:rsidRPr="00A86269">
                    <w:rPr>
                      <w:b/>
                      <w:snapToGrid w:val="0"/>
                    </w:rPr>
                    <w:t xml:space="preserve"> </w:t>
                  </w:r>
                </w:p>
                <w:p w14:paraId="083DA8DB" w14:textId="77777777" w:rsidR="00581970" w:rsidRPr="002F0AD7" w:rsidRDefault="00581970" w:rsidP="00ED58C1">
                  <w:pPr>
                    <w:pStyle w:val="ListParagraph"/>
                    <w:numPr>
                      <w:ilvl w:val="0"/>
                      <w:numId w:val="79"/>
                    </w:numPr>
                    <w:rPr>
                      <w:i/>
                      <w:snapToGrid w:val="0"/>
                    </w:rPr>
                  </w:pPr>
                  <w:r w:rsidRPr="00A86269">
                    <w:rPr>
                      <w:snapToGrid w:val="0"/>
                    </w:rPr>
                    <w:t>Surveys submitted prior to September 1, 2016: 01/01/2015 - 09/30/2015</w:t>
                  </w:r>
                </w:p>
                <w:p w14:paraId="40837FB3" w14:textId="77777777" w:rsidR="00581970" w:rsidRPr="002F0AD7" w:rsidRDefault="00581970" w:rsidP="006561E3">
                  <w:pPr>
                    <w:pStyle w:val="ListParagraph"/>
                    <w:numPr>
                      <w:ilvl w:val="0"/>
                      <w:numId w:val="79"/>
                    </w:numPr>
                    <w:spacing w:after="120"/>
                    <w:rPr>
                      <w:i/>
                      <w:snapToGrid w:val="0"/>
                    </w:rPr>
                  </w:pPr>
                  <w:r w:rsidRPr="002F0AD7">
                    <w:rPr>
                      <w:snapToGrid w:val="0"/>
                    </w:rPr>
                    <w:t>Surveys (re)submitted on or after September 1, 2016: 10/01/2015 – 06/30/2016</w:t>
                  </w:r>
                </w:p>
              </w:tc>
            </w:tr>
          </w:tbl>
          <w:p w14:paraId="55FF4D67" w14:textId="77777777" w:rsidR="006E50EF" w:rsidRPr="00581970" w:rsidRDefault="006E50EF" w:rsidP="00581970">
            <w:pPr>
              <w:rPr>
                <w:i/>
                <w:snapToGrid w:val="0"/>
              </w:rPr>
            </w:pPr>
          </w:p>
          <w:p w14:paraId="3E4940AF" w14:textId="77777777" w:rsidR="00816D2E" w:rsidRDefault="006E50EF" w:rsidP="00AC167A">
            <w:pPr>
              <w:rPr>
                <w:snapToGrid w:val="0"/>
              </w:rPr>
            </w:pPr>
            <w:r w:rsidRPr="0029519D">
              <w:rPr>
                <w:b/>
                <w:i/>
                <w:snapToGrid w:val="0"/>
                <w:color w:val="000000"/>
                <w:u w:val="single"/>
              </w:rPr>
              <w:t>Sufficient Sample</w:t>
            </w:r>
            <w:r w:rsidR="00F73569">
              <w:rPr>
                <w:snapToGrid w:val="0"/>
                <w:color w:val="000000"/>
              </w:rPr>
              <w:t xml:space="preserve">: </w:t>
            </w:r>
            <w:r w:rsidR="003E0D49">
              <w:rPr>
                <w:snapToGrid w:val="0"/>
                <w:color w:val="000000"/>
              </w:rPr>
              <w:t xml:space="preserve">See </w:t>
            </w:r>
            <w:hyperlink w:anchor="_Early_Elective_Deliveries" w:history="1">
              <w:r w:rsidR="003E0D49" w:rsidRPr="003E0D49">
                <w:rPr>
                  <w:rStyle w:val="Hyperlink"/>
                  <w:b/>
                  <w:i/>
                  <w:snapToGrid w:val="0"/>
                </w:rPr>
                <w:t>Early Elective Deliveries</w:t>
              </w:r>
            </w:hyperlink>
            <w:r w:rsidR="003E0D49">
              <w:rPr>
                <w:snapToGrid w:val="0"/>
                <w:color w:val="000000"/>
              </w:rPr>
              <w:t xml:space="preserve"> for i</w:t>
            </w:r>
            <w:r w:rsidRPr="0029519D">
              <w:rPr>
                <w:snapToGrid w:val="0"/>
                <w:color w:val="000000"/>
              </w:rPr>
              <w:t>nstructions for identifying a sufficie</w:t>
            </w:r>
            <w:r w:rsidR="005A521E" w:rsidRPr="0029519D">
              <w:rPr>
                <w:snapToGrid w:val="0"/>
                <w:color w:val="000000"/>
              </w:rPr>
              <w:t>nt sample to answer questions #</w:t>
            </w:r>
            <w:r w:rsidR="00F3344A">
              <w:rPr>
                <w:snapToGrid w:val="0"/>
                <w:color w:val="000000"/>
              </w:rPr>
              <w:t>1-5</w:t>
            </w:r>
            <w:r w:rsidR="003E0D49">
              <w:rPr>
                <w:snapToGrid w:val="0"/>
                <w:color w:val="000000"/>
              </w:rPr>
              <w:t xml:space="preserve">. </w:t>
            </w:r>
          </w:p>
          <w:p w14:paraId="1B43525E" w14:textId="77777777" w:rsidR="00653966" w:rsidRPr="00362B11" w:rsidRDefault="00653966" w:rsidP="00AC167A">
            <w:pPr>
              <w:rPr>
                <w:snapToGrid w:val="0"/>
              </w:rPr>
            </w:pPr>
          </w:p>
        </w:tc>
      </w:tr>
      <w:tr w:rsidR="001F39A9" w:rsidRPr="00C2502E" w14:paraId="2E4F5289" w14:textId="77777777" w:rsidTr="00D14BCA">
        <w:trPr>
          <w:cantSplit/>
          <w:jc w:val="center"/>
        </w:trPr>
        <w:tc>
          <w:tcPr>
            <w:tcW w:w="9468" w:type="dxa"/>
            <w:gridSpan w:val="2"/>
            <w:tcBorders>
              <w:top w:val="single" w:sz="4" w:space="0" w:color="auto"/>
              <w:left w:val="single" w:sz="4" w:space="0" w:color="auto"/>
              <w:bottom w:val="single" w:sz="4" w:space="0" w:color="auto"/>
              <w:right w:val="single" w:sz="4" w:space="0" w:color="auto"/>
            </w:tcBorders>
          </w:tcPr>
          <w:p w14:paraId="01DA49D6" w14:textId="74C87FAE" w:rsidR="001F39A9" w:rsidRDefault="001F39A9" w:rsidP="007B1741">
            <w:pPr>
              <w:rPr>
                <w:b/>
                <w:snapToGrid w:val="0"/>
              </w:rPr>
            </w:pPr>
            <w:r>
              <w:rPr>
                <w:b/>
                <w:snapToGrid w:val="0"/>
              </w:rPr>
              <w:t>Elective Delivery Prior To 39 Completed Weeks of Gestation</w:t>
            </w:r>
          </w:p>
        </w:tc>
      </w:tr>
      <w:tr w:rsidR="001F39A9" w:rsidRPr="00C2502E" w14:paraId="171ACCD0" w14:textId="77777777" w:rsidTr="00D14BCA">
        <w:trPr>
          <w:cantSplit/>
          <w:jc w:val="center"/>
        </w:trPr>
        <w:tc>
          <w:tcPr>
            <w:tcW w:w="6660" w:type="dxa"/>
            <w:tcBorders>
              <w:top w:val="single" w:sz="4" w:space="0" w:color="auto"/>
              <w:left w:val="single" w:sz="4" w:space="0" w:color="auto"/>
              <w:bottom w:val="single" w:sz="4" w:space="0" w:color="auto"/>
              <w:right w:val="single" w:sz="4" w:space="0" w:color="auto"/>
            </w:tcBorders>
            <w:vAlign w:val="center"/>
          </w:tcPr>
          <w:p w14:paraId="341E29AA" w14:textId="77777777" w:rsidR="001F39A9" w:rsidRPr="0029519D" w:rsidRDefault="00770D72" w:rsidP="00ED58C1">
            <w:pPr>
              <w:pStyle w:val="ListParagraph"/>
              <w:numPr>
                <w:ilvl w:val="0"/>
                <w:numId w:val="57"/>
              </w:numPr>
              <w:rPr>
                <w:snapToGrid w:val="0"/>
                <w:color w:val="000000"/>
              </w:rPr>
            </w:pPr>
            <w:r w:rsidRPr="0029519D">
              <w:rPr>
                <w:snapToGrid w:val="0"/>
                <w:color w:val="000000"/>
              </w:rPr>
              <w:t>9-month reporting</w:t>
            </w:r>
            <w:r w:rsidR="001F39A9" w:rsidRPr="0029519D">
              <w:rPr>
                <w:snapToGrid w:val="0"/>
                <w:color w:val="000000"/>
              </w:rPr>
              <w:t xml:space="preserve"> </w:t>
            </w:r>
            <w:r w:rsidRPr="0029519D">
              <w:rPr>
                <w:snapToGrid w:val="0"/>
                <w:color w:val="000000"/>
              </w:rPr>
              <w:t>time period used</w:t>
            </w:r>
            <w:r w:rsidR="00483C6C" w:rsidRPr="0029519D">
              <w:rPr>
                <w:snapToGrid w:val="0"/>
                <w:color w:val="000000"/>
              </w:rPr>
              <w:t>:</w:t>
            </w:r>
          </w:p>
        </w:tc>
        <w:tc>
          <w:tcPr>
            <w:tcW w:w="2808" w:type="dxa"/>
            <w:tcBorders>
              <w:top w:val="single" w:sz="4" w:space="0" w:color="auto"/>
              <w:left w:val="single" w:sz="4" w:space="0" w:color="auto"/>
              <w:bottom w:val="single" w:sz="4" w:space="0" w:color="auto"/>
              <w:right w:val="single" w:sz="4" w:space="0" w:color="auto"/>
            </w:tcBorders>
          </w:tcPr>
          <w:p w14:paraId="04312BB7" w14:textId="77777777" w:rsidR="003933E4" w:rsidRPr="0029519D" w:rsidRDefault="003933E4" w:rsidP="00ED58C1">
            <w:pPr>
              <w:pStyle w:val="ListParagraph"/>
              <w:numPr>
                <w:ilvl w:val="0"/>
                <w:numId w:val="114"/>
              </w:numPr>
              <w:rPr>
                <w:i/>
              </w:rPr>
            </w:pPr>
            <w:r w:rsidRPr="0029519D">
              <w:rPr>
                <w:snapToGrid w:val="0"/>
              </w:rPr>
              <w:t>01/01/2015 - 09/30/2015</w:t>
            </w:r>
          </w:p>
          <w:p w14:paraId="6D66AD7F" w14:textId="77777777" w:rsidR="001F39A9" w:rsidRPr="0029519D" w:rsidRDefault="003933E4" w:rsidP="00ED58C1">
            <w:pPr>
              <w:pStyle w:val="ListParagraph"/>
              <w:numPr>
                <w:ilvl w:val="0"/>
                <w:numId w:val="114"/>
              </w:numPr>
              <w:rPr>
                <w:i/>
              </w:rPr>
            </w:pPr>
            <w:r w:rsidRPr="0029519D">
              <w:rPr>
                <w:snapToGrid w:val="0"/>
              </w:rPr>
              <w:t>10/01/2015 – 06/30/2016</w:t>
            </w:r>
          </w:p>
        </w:tc>
      </w:tr>
      <w:tr w:rsidR="001F39A9" w:rsidRPr="00C2502E" w14:paraId="4809B1B4" w14:textId="77777777" w:rsidTr="00D14BCA">
        <w:trPr>
          <w:cantSplit/>
          <w:trHeight w:val="1718"/>
          <w:jc w:val="center"/>
        </w:trPr>
        <w:tc>
          <w:tcPr>
            <w:tcW w:w="6660" w:type="dxa"/>
            <w:tcBorders>
              <w:top w:val="single" w:sz="4" w:space="0" w:color="auto"/>
              <w:left w:val="single" w:sz="4" w:space="0" w:color="auto"/>
              <w:bottom w:val="single" w:sz="4" w:space="0" w:color="auto"/>
              <w:right w:val="single" w:sz="4" w:space="0" w:color="auto"/>
            </w:tcBorders>
            <w:vAlign w:val="center"/>
          </w:tcPr>
          <w:p w14:paraId="7A2FFBC9" w14:textId="77777777" w:rsidR="00412C7E" w:rsidRPr="0029519D" w:rsidRDefault="001F39A9" w:rsidP="006561E3">
            <w:pPr>
              <w:pStyle w:val="ListParagraph"/>
              <w:numPr>
                <w:ilvl w:val="0"/>
                <w:numId w:val="57"/>
              </w:numPr>
              <w:spacing w:before="120"/>
              <w:rPr>
                <w:rStyle w:val="msoins0"/>
                <w:snapToGrid w:val="0"/>
              </w:rPr>
            </w:pPr>
            <w:r w:rsidRPr="0029519D">
              <w:rPr>
                <w:rStyle w:val="msoins0"/>
                <w:snapToGrid w:val="0"/>
              </w:rPr>
              <w:t xml:space="preserve">Total number of mothers (or sufficient sample of them) that delivered newborns with &gt;=37 weeks of gestation completed and &lt;39 weeks of gestation completed during the reporting period, with </w:t>
            </w:r>
            <w:r w:rsidRPr="0029519D">
              <w:rPr>
                <w:rStyle w:val="msoins0"/>
                <w:b/>
                <w:snapToGrid w:val="0"/>
              </w:rPr>
              <w:t>Excluded Populations</w:t>
            </w:r>
            <w:r w:rsidRPr="0029519D">
              <w:rPr>
                <w:rStyle w:val="msoins0"/>
                <w:snapToGrid w:val="0"/>
              </w:rPr>
              <w:t xml:space="preserve"> removed. </w:t>
            </w:r>
          </w:p>
          <w:p w14:paraId="1DDB3F04" w14:textId="77777777" w:rsidR="00412C7E" w:rsidRPr="0029519D" w:rsidRDefault="00412C7E" w:rsidP="00412C7E">
            <w:pPr>
              <w:pStyle w:val="ListParagraph"/>
              <w:ind w:left="360"/>
              <w:rPr>
                <w:rStyle w:val="msoins0"/>
              </w:rPr>
            </w:pPr>
          </w:p>
          <w:p w14:paraId="7F0D2CA1" w14:textId="77777777" w:rsidR="001F39A9" w:rsidRPr="0029519D" w:rsidRDefault="001F39A9" w:rsidP="006561E3">
            <w:pPr>
              <w:pStyle w:val="ListParagraph"/>
              <w:spacing w:after="120"/>
              <w:ind w:left="360"/>
              <w:rPr>
                <w:snapToGrid w:val="0"/>
              </w:rPr>
            </w:pPr>
            <w:r w:rsidRPr="0029519D">
              <w:rPr>
                <w:i/>
                <w:snapToGrid w:val="0"/>
              </w:rPr>
              <w:t>If fewer than 10 cases met the criteria for the denominator</w:t>
            </w:r>
            <w:r w:rsidR="00AC1511" w:rsidRPr="0029519D">
              <w:rPr>
                <w:i/>
                <w:snapToGrid w:val="0"/>
              </w:rPr>
              <w:t xml:space="preserve">, </w:t>
            </w:r>
            <w:r w:rsidRPr="0029519D">
              <w:rPr>
                <w:i/>
                <w:snapToGrid w:val="0"/>
              </w:rPr>
              <w:t>skip question</w:t>
            </w:r>
            <w:r w:rsidR="00AC1511" w:rsidRPr="0029519D">
              <w:rPr>
                <w:i/>
                <w:snapToGrid w:val="0"/>
              </w:rPr>
              <w:t xml:space="preserve">s </w:t>
            </w:r>
            <w:r w:rsidR="003C672D" w:rsidRPr="0029519D">
              <w:rPr>
                <w:i/>
                <w:snapToGrid w:val="0"/>
              </w:rPr>
              <w:t>#</w:t>
            </w:r>
            <w:r w:rsidR="00AC1511" w:rsidRPr="0029519D">
              <w:rPr>
                <w:i/>
                <w:snapToGrid w:val="0"/>
              </w:rPr>
              <w:t>3-5, and move on to the next subsection</w:t>
            </w:r>
            <w:r w:rsidRPr="0029519D">
              <w:rPr>
                <w:i/>
                <w:snapToGrid w:val="0"/>
              </w:rPr>
              <w:t>.</w:t>
            </w:r>
          </w:p>
        </w:tc>
        <w:tc>
          <w:tcPr>
            <w:tcW w:w="2866" w:type="dxa"/>
            <w:tcBorders>
              <w:top w:val="single" w:sz="4" w:space="0" w:color="auto"/>
              <w:left w:val="single" w:sz="4" w:space="0" w:color="auto"/>
              <w:bottom w:val="single" w:sz="4" w:space="0" w:color="auto"/>
              <w:right w:val="single" w:sz="4" w:space="0" w:color="auto"/>
            </w:tcBorders>
            <w:vAlign w:val="center"/>
          </w:tcPr>
          <w:p w14:paraId="377614D3" w14:textId="77777777" w:rsidR="001F39A9" w:rsidRPr="0029519D" w:rsidRDefault="001F39A9" w:rsidP="00F96DD9">
            <w:pPr>
              <w:jc w:val="center"/>
              <w:rPr>
                <w:snapToGrid w:val="0"/>
              </w:rPr>
            </w:pPr>
            <w:r w:rsidRPr="0029519D">
              <w:rPr>
                <w:i/>
                <w:snapToGrid w:val="0"/>
              </w:rPr>
              <w:t>______</w:t>
            </w:r>
          </w:p>
        </w:tc>
      </w:tr>
      <w:tr w:rsidR="001F39A9" w:rsidRPr="00C2502E" w14:paraId="3F64BE6E" w14:textId="77777777" w:rsidTr="00D14BCA">
        <w:trPr>
          <w:cantSplit/>
          <w:trHeight w:val="602"/>
          <w:jc w:val="center"/>
        </w:trPr>
        <w:tc>
          <w:tcPr>
            <w:tcW w:w="6660" w:type="dxa"/>
            <w:tcBorders>
              <w:top w:val="single" w:sz="4" w:space="0" w:color="auto"/>
              <w:left w:val="single" w:sz="4" w:space="0" w:color="auto"/>
              <w:bottom w:val="single" w:sz="4" w:space="0" w:color="auto"/>
              <w:right w:val="single" w:sz="4" w:space="0" w:color="auto"/>
            </w:tcBorders>
            <w:vAlign w:val="center"/>
          </w:tcPr>
          <w:p w14:paraId="36F31212" w14:textId="77777777" w:rsidR="001F39A9" w:rsidRPr="00F96DD9" w:rsidRDefault="001F39A9" w:rsidP="006561E3">
            <w:pPr>
              <w:pStyle w:val="ListParagraph"/>
              <w:numPr>
                <w:ilvl w:val="0"/>
                <w:numId w:val="57"/>
              </w:numPr>
              <w:spacing w:before="120" w:after="120"/>
              <w:rPr>
                <w:snapToGrid w:val="0"/>
                <w:color w:val="000000"/>
              </w:rPr>
            </w:pPr>
            <w:r w:rsidRPr="003D709E">
              <w:rPr>
                <w:snapToGrid w:val="0"/>
                <w:color w:val="000000"/>
              </w:rPr>
              <w:t>Total number of</w:t>
            </w:r>
            <w:r w:rsidR="00E85DB5" w:rsidRPr="003D709E">
              <w:rPr>
                <w:snapToGrid w:val="0"/>
                <w:color w:val="000000"/>
              </w:rPr>
              <w:t xml:space="preserve"> mothers indicated in question </w:t>
            </w:r>
            <w:r w:rsidR="003C672D" w:rsidRPr="003D709E">
              <w:rPr>
                <w:snapToGrid w:val="0"/>
                <w:color w:val="000000"/>
              </w:rPr>
              <w:t>#</w:t>
            </w:r>
            <w:r w:rsidR="00E85DB5" w:rsidRPr="003D709E">
              <w:rPr>
                <w:snapToGrid w:val="0"/>
                <w:color w:val="000000"/>
              </w:rPr>
              <w:t>2</w:t>
            </w:r>
            <w:r w:rsidRPr="003D709E">
              <w:rPr>
                <w:snapToGrid w:val="0"/>
                <w:color w:val="000000"/>
              </w:rPr>
              <w:t xml:space="preserve"> which had their newborn delivered electively (not spontaneously).</w:t>
            </w:r>
          </w:p>
        </w:tc>
        <w:tc>
          <w:tcPr>
            <w:tcW w:w="2808" w:type="dxa"/>
            <w:tcBorders>
              <w:top w:val="single" w:sz="4" w:space="0" w:color="auto"/>
              <w:left w:val="single" w:sz="4" w:space="0" w:color="auto"/>
              <w:bottom w:val="single" w:sz="4" w:space="0" w:color="auto"/>
              <w:right w:val="single" w:sz="4" w:space="0" w:color="auto"/>
            </w:tcBorders>
            <w:vAlign w:val="center"/>
          </w:tcPr>
          <w:p w14:paraId="2609018D" w14:textId="77777777" w:rsidR="001F39A9" w:rsidRDefault="001F39A9" w:rsidP="00F96DD9">
            <w:pPr>
              <w:jc w:val="center"/>
              <w:rPr>
                <w:i/>
                <w:snapToGrid w:val="0"/>
              </w:rPr>
            </w:pPr>
            <w:r>
              <w:rPr>
                <w:i/>
                <w:snapToGrid w:val="0"/>
              </w:rPr>
              <w:t>______</w:t>
            </w:r>
          </w:p>
          <w:p w14:paraId="428D3CDD" w14:textId="77777777" w:rsidR="001F39A9" w:rsidRDefault="001F39A9" w:rsidP="00F96DD9">
            <w:pPr>
              <w:jc w:val="center"/>
              <w:rPr>
                <w:i/>
                <w:snapToGrid w:val="0"/>
              </w:rPr>
            </w:pPr>
          </w:p>
        </w:tc>
      </w:tr>
      <w:tr w:rsidR="001F39A9" w:rsidRPr="00C2502E" w14:paraId="08C15CC8" w14:textId="77777777" w:rsidTr="00D14BCA">
        <w:trPr>
          <w:cantSplit/>
          <w:trHeight w:val="638"/>
          <w:jc w:val="center"/>
        </w:trPr>
        <w:tc>
          <w:tcPr>
            <w:tcW w:w="6660" w:type="dxa"/>
            <w:tcBorders>
              <w:top w:val="single" w:sz="4" w:space="0" w:color="auto"/>
              <w:left w:val="single" w:sz="4" w:space="0" w:color="auto"/>
              <w:bottom w:val="single" w:sz="4" w:space="0" w:color="auto"/>
              <w:right w:val="single" w:sz="4" w:space="0" w:color="auto"/>
            </w:tcBorders>
            <w:vAlign w:val="center"/>
          </w:tcPr>
          <w:p w14:paraId="16EA5B21" w14:textId="77777777" w:rsidR="001F39A9" w:rsidRPr="003D709E" w:rsidRDefault="001F39A9" w:rsidP="006561E3">
            <w:pPr>
              <w:pStyle w:val="ListParagraph"/>
              <w:numPr>
                <w:ilvl w:val="0"/>
                <w:numId w:val="57"/>
              </w:numPr>
              <w:spacing w:before="120" w:after="120"/>
              <w:rPr>
                <w:snapToGrid w:val="0"/>
                <w:color w:val="000000"/>
              </w:rPr>
            </w:pPr>
            <w:r w:rsidRPr="003D709E">
              <w:rPr>
                <w:snapToGrid w:val="0"/>
                <w:color w:val="000000"/>
              </w:rPr>
              <w:t xml:space="preserve">Do the responses in </w:t>
            </w:r>
            <w:r w:rsidR="00D67408" w:rsidRPr="003D709E">
              <w:rPr>
                <w:snapToGrid w:val="0"/>
                <w:color w:val="000000"/>
              </w:rPr>
              <w:t xml:space="preserve">questions </w:t>
            </w:r>
            <w:r w:rsidR="003C672D" w:rsidRPr="003D709E">
              <w:rPr>
                <w:snapToGrid w:val="0"/>
                <w:color w:val="000000"/>
              </w:rPr>
              <w:t>#</w:t>
            </w:r>
            <w:r w:rsidRPr="003D709E">
              <w:rPr>
                <w:snapToGrid w:val="0"/>
                <w:color w:val="000000"/>
              </w:rPr>
              <w:t>2</w:t>
            </w:r>
            <w:r w:rsidR="00D67408" w:rsidRPr="003D709E">
              <w:rPr>
                <w:snapToGrid w:val="0"/>
                <w:color w:val="000000"/>
              </w:rPr>
              <w:t xml:space="preserve"> and </w:t>
            </w:r>
            <w:r w:rsidR="003C672D" w:rsidRPr="003D709E">
              <w:rPr>
                <w:snapToGrid w:val="0"/>
                <w:color w:val="000000"/>
              </w:rPr>
              <w:t>#</w:t>
            </w:r>
            <w:r w:rsidRPr="003D709E">
              <w:rPr>
                <w:snapToGrid w:val="0"/>
                <w:color w:val="000000"/>
              </w:rPr>
              <w:t>3 above represent a sample of cases?</w:t>
            </w:r>
          </w:p>
        </w:tc>
        <w:tc>
          <w:tcPr>
            <w:tcW w:w="2808" w:type="dxa"/>
            <w:tcBorders>
              <w:top w:val="single" w:sz="4" w:space="0" w:color="auto"/>
              <w:left w:val="single" w:sz="4" w:space="0" w:color="auto"/>
              <w:bottom w:val="single" w:sz="4" w:space="0" w:color="auto"/>
              <w:right w:val="single" w:sz="4" w:space="0" w:color="auto"/>
            </w:tcBorders>
            <w:vAlign w:val="center"/>
          </w:tcPr>
          <w:p w14:paraId="37B6BA4F" w14:textId="77777777" w:rsidR="001F39A9" w:rsidRDefault="001F39A9" w:rsidP="000C1E78">
            <w:pPr>
              <w:jc w:val="center"/>
              <w:rPr>
                <w:i/>
                <w:snapToGrid w:val="0"/>
              </w:rPr>
            </w:pPr>
            <w:r>
              <w:rPr>
                <w:i/>
                <w:snapToGrid w:val="0"/>
              </w:rPr>
              <w:t>Yes</w:t>
            </w:r>
          </w:p>
          <w:p w14:paraId="781640D0" w14:textId="77777777" w:rsidR="001F39A9" w:rsidRDefault="001F39A9" w:rsidP="000C1E78">
            <w:pPr>
              <w:jc w:val="center"/>
              <w:rPr>
                <w:i/>
                <w:snapToGrid w:val="0"/>
              </w:rPr>
            </w:pPr>
            <w:r>
              <w:rPr>
                <w:i/>
                <w:snapToGrid w:val="0"/>
              </w:rPr>
              <w:t>No</w:t>
            </w:r>
          </w:p>
        </w:tc>
      </w:tr>
      <w:tr w:rsidR="001F39A9" w:rsidRPr="00C2502E" w14:paraId="5A120F78" w14:textId="77777777" w:rsidTr="00D14BCA">
        <w:trPr>
          <w:cantSplit/>
          <w:trHeight w:val="872"/>
          <w:jc w:val="center"/>
        </w:trPr>
        <w:tc>
          <w:tcPr>
            <w:tcW w:w="6660" w:type="dxa"/>
            <w:tcBorders>
              <w:top w:val="single" w:sz="4" w:space="0" w:color="auto"/>
              <w:left w:val="single" w:sz="4" w:space="0" w:color="auto"/>
              <w:bottom w:val="single" w:sz="4" w:space="0" w:color="auto"/>
              <w:right w:val="single" w:sz="4" w:space="0" w:color="auto"/>
            </w:tcBorders>
            <w:vAlign w:val="center"/>
          </w:tcPr>
          <w:p w14:paraId="7D1129D0" w14:textId="77777777" w:rsidR="001F39A9" w:rsidRPr="00F96DD9" w:rsidRDefault="001F39A9" w:rsidP="006561E3">
            <w:pPr>
              <w:pStyle w:val="ListParagraph"/>
              <w:numPr>
                <w:ilvl w:val="0"/>
                <w:numId w:val="57"/>
              </w:numPr>
              <w:spacing w:before="120" w:after="120"/>
              <w:rPr>
                <w:snapToGrid w:val="0"/>
                <w:color w:val="000000"/>
              </w:rPr>
            </w:pPr>
            <w:r w:rsidRPr="003D709E">
              <w:rPr>
                <w:snapToGrid w:val="0"/>
                <w:color w:val="000000"/>
              </w:rPr>
              <w:t xml:space="preserve">If “yes” to </w:t>
            </w:r>
            <w:r w:rsidR="00D67408" w:rsidRPr="003D709E">
              <w:rPr>
                <w:snapToGrid w:val="0"/>
                <w:color w:val="000000"/>
              </w:rPr>
              <w:t xml:space="preserve">question </w:t>
            </w:r>
            <w:r w:rsidR="003C672D" w:rsidRPr="003D709E">
              <w:rPr>
                <w:snapToGrid w:val="0"/>
                <w:color w:val="000000"/>
              </w:rPr>
              <w:t>#</w:t>
            </w:r>
            <w:r w:rsidRPr="003D709E">
              <w:rPr>
                <w:snapToGrid w:val="0"/>
                <w:color w:val="000000"/>
              </w:rPr>
              <w:t>4, did your hospital sample using The Joint Commission’s sampling algorithm or Leapfrog’s sampling instructions, as provi</w:t>
            </w:r>
            <w:r w:rsidR="00D67408" w:rsidRPr="003D709E">
              <w:rPr>
                <w:snapToGrid w:val="0"/>
                <w:color w:val="000000"/>
              </w:rPr>
              <w:t>ded in the Maternity Care Reference Information</w:t>
            </w:r>
            <w:r w:rsidRPr="003D709E">
              <w:rPr>
                <w:snapToGrid w:val="0"/>
                <w:color w:val="000000"/>
              </w:rPr>
              <w:t>?</w:t>
            </w:r>
          </w:p>
        </w:tc>
        <w:tc>
          <w:tcPr>
            <w:tcW w:w="2808" w:type="dxa"/>
            <w:tcBorders>
              <w:top w:val="single" w:sz="4" w:space="0" w:color="auto"/>
              <w:left w:val="single" w:sz="4" w:space="0" w:color="auto"/>
              <w:bottom w:val="single" w:sz="4" w:space="0" w:color="auto"/>
              <w:right w:val="single" w:sz="4" w:space="0" w:color="auto"/>
            </w:tcBorders>
            <w:vAlign w:val="center"/>
          </w:tcPr>
          <w:p w14:paraId="167E0381" w14:textId="77777777" w:rsidR="001F39A9" w:rsidRPr="00362B11" w:rsidRDefault="001F39A9" w:rsidP="000C3412">
            <w:pPr>
              <w:jc w:val="center"/>
              <w:rPr>
                <w:i/>
                <w:snapToGrid w:val="0"/>
              </w:rPr>
            </w:pPr>
            <w:r w:rsidRPr="00362B11">
              <w:rPr>
                <w:i/>
                <w:snapToGrid w:val="0"/>
              </w:rPr>
              <w:t>The Joint Commission</w:t>
            </w:r>
          </w:p>
          <w:p w14:paraId="7B5937EA" w14:textId="77777777" w:rsidR="001F39A9" w:rsidRPr="00362B11" w:rsidRDefault="001F39A9" w:rsidP="000C3412">
            <w:pPr>
              <w:jc w:val="center"/>
              <w:rPr>
                <w:i/>
                <w:snapToGrid w:val="0"/>
              </w:rPr>
            </w:pPr>
          </w:p>
          <w:p w14:paraId="28C2F3DC" w14:textId="77777777" w:rsidR="001F39A9" w:rsidRPr="00362B11" w:rsidRDefault="001F39A9" w:rsidP="000C3412">
            <w:pPr>
              <w:jc w:val="center"/>
              <w:rPr>
                <w:i/>
                <w:snapToGrid w:val="0"/>
              </w:rPr>
            </w:pPr>
            <w:r w:rsidRPr="00362B11">
              <w:rPr>
                <w:i/>
                <w:snapToGrid w:val="0"/>
              </w:rPr>
              <w:t>The Leapfrog Group</w:t>
            </w:r>
          </w:p>
        </w:tc>
      </w:tr>
    </w:tbl>
    <w:p w14:paraId="01E8528D" w14:textId="77777777" w:rsidR="00A67347" w:rsidRDefault="00A67347"/>
    <w:p w14:paraId="48B3AA89" w14:textId="77777777" w:rsidR="006E50EF" w:rsidRDefault="006E50EF"/>
    <w:p w14:paraId="2FA23645" w14:textId="77777777" w:rsidR="001F39A9" w:rsidRDefault="001F39A9"/>
    <w:p w14:paraId="7D08C024" w14:textId="77777777" w:rsidR="001F39A9" w:rsidRDefault="001F39A9"/>
    <w:p w14:paraId="53C0256E" w14:textId="77777777" w:rsidR="001F39A9" w:rsidRDefault="001F39A9"/>
    <w:p w14:paraId="0D68CCA6" w14:textId="77777777" w:rsidR="001F39A9" w:rsidRDefault="001F39A9"/>
    <w:p w14:paraId="087FAE10" w14:textId="77777777" w:rsidR="002465E1" w:rsidRDefault="002465E1"/>
    <w:p w14:paraId="2545404E" w14:textId="77777777" w:rsidR="0022514F" w:rsidRDefault="0022514F">
      <w:r>
        <w:br w:type="page"/>
      </w:r>
    </w:p>
    <w:p w14:paraId="6CC0B56B" w14:textId="77777777" w:rsidR="001F39A9" w:rsidRDefault="001F39A9"/>
    <w:tbl>
      <w:tblPr>
        <w:tblStyle w:val="TableGrid"/>
        <w:tblW w:w="9994" w:type="dxa"/>
        <w:jc w:val="center"/>
        <w:tblLook w:val="04A0" w:firstRow="1" w:lastRow="0" w:firstColumn="1" w:lastColumn="0" w:noHBand="0" w:noVBand="1"/>
      </w:tblPr>
      <w:tblGrid>
        <w:gridCol w:w="7023"/>
        <w:gridCol w:w="2971"/>
      </w:tblGrid>
      <w:tr w:rsidR="006E50EF" w:rsidRPr="00362B11" w14:paraId="4EFF958E" w14:textId="77777777" w:rsidTr="00D14BCA">
        <w:trPr>
          <w:jc w:val="center"/>
        </w:trPr>
        <w:tc>
          <w:tcPr>
            <w:tcW w:w="9360" w:type="dxa"/>
            <w:gridSpan w:val="2"/>
            <w:tcBorders>
              <w:top w:val="single" w:sz="18" w:space="0" w:color="auto"/>
              <w:left w:val="nil"/>
              <w:right w:val="nil"/>
            </w:tcBorders>
          </w:tcPr>
          <w:p w14:paraId="37FCB5D8" w14:textId="77777777" w:rsidR="006E50EF" w:rsidRPr="0029519D" w:rsidRDefault="006E50EF" w:rsidP="00457887">
            <w:pPr>
              <w:pStyle w:val="Header"/>
              <w:tabs>
                <w:tab w:val="clear" w:pos="4320"/>
                <w:tab w:val="clear" w:pos="8640"/>
              </w:tabs>
              <w:rPr>
                <w:b/>
                <w:snapToGrid w:val="0"/>
                <w:color w:val="000000"/>
                <w:sz w:val="24"/>
              </w:rPr>
            </w:pPr>
          </w:p>
          <w:p w14:paraId="74D8EF90" w14:textId="77777777" w:rsidR="006E50EF" w:rsidRPr="0029519D" w:rsidRDefault="006E50EF" w:rsidP="00954B73">
            <w:pPr>
              <w:pStyle w:val="Heading2"/>
              <w:rPr>
                <w:snapToGrid w:val="0"/>
              </w:rPr>
            </w:pPr>
            <w:bookmarkStart w:id="143" w:name="_Toc447195009"/>
            <w:r w:rsidRPr="0029519D">
              <w:rPr>
                <w:snapToGrid w:val="0"/>
              </w:rPr>
              <w:t>4</w:t>
            </w:r>
            <w:r w:rsidR="005C316D" w:rsidRPr="0029519D">
              <w:rPr>
                <w:snapToGrid w:val="0"/>
              </w:rPr>
              <w:t>C</w:t>
            </w:r>
            <w:r w:rsidRPr="0029519D">
              <w:rPr>
                <w:snapToGrid w:val="0"/>
              </w:rPr>
              <w:t>: Cesarean Section</w:t>
            </w:r>
            <w:bookmarkEnd w:id="143"/>
            <w:r w:rsidRPr="0029519D">
              <w:rPr>
                <w:snapToGrid w:val="0"/>
              </w:rPr>
              <w:t xml:space="preserve">  </w:t>
            </w:r>
          </w:p>
          <w:p w14:paraId="416B6E2F" w14:textId="77777777" w:rsidR="006E50EF" w:rsidRPr="0029519D" w:rsidRDefault="006E50EF" w:rsidP="00457887">
            <w:pPr>
              <w:rPr>
                <w:b/>
                <w:snapToGrid w:val="0"/>
              </w:rPr>
            </w:pPr>
          </w:p>
          <w:p w14:paraId="516ED91D" w14:textId="7F0FD4F3" w:rsidR="006E50EF" w:rsidRDefault="006E50EF" w:rsidP="00C9106A">
            <w:pPr>
              <w:rPr>
                <w:snapToGrid w:val="0"/>
              </w:rPr>
            </w:pPr>
            <w:r w:rsidRPr="0029519D">
              <w:rPr>
                <w:b/>
                <w:snapToGrid w:val="0"/>
              </w:rPr>
              <w:t xml:space="preserve">Specifications: </w:t>
            </w:r>
            <w:r w:rsidR="00534728" w:rsidRPr="0029519D">
              <w:rPr>
                <w:snapToGrid w:val="0"/>
              </w:rPr>
              <w:t xml:space="preserve">See </w:t>
            </w:r>
            <w:hyperlink w:anchor="_Cesarean_Sections_Prior" w:history="1">
              <w:r w:rsidR="001C73A6" w:rsidRPr="001C73A6">
                <w:rPr>
                  <w:rStyle w:val="Hyperlink"/>
                  <w:b/>
                  <w:i/>
                  <w:snapToGrid w:val="0"/>
                </w:rPr>
                <w:t>NTSV Cesarean Sections</w:t>
              </w:r>
            </w:hyperlink>
            <w:r w:rsidR="001C73A6">
              <w:rPr>
                <w:b/>
                <w:i/>
                <w:snapToGrid w:val="0"/>
              </w:rPr>
              <w:t xml:space="preserve"> </w:t>
            </w:r>
            <w:r w:rsidRPr="0029519D">
              <w:rPr>
                <w:snapToGrid w:val="0"/>
              </w:rPr>
              <w:t>in</w:t>
            </w:r>
            <w:r w:rsidR="00271B13" w:rsidRPr="0029519D">
              <w:rPr>
                <w:snapToGrid w:val="0"/>
              </w:rPr>
              <w:t xml:space="preserve"> the</w:t>
            </w:r>
            <w:r w:rsidRPr="0029519D">
              <w:rPr>
                <w:snapToGrid w:val="0"/>
              </w:rPr>
              <w:t xml:space="preserve"> Maternity Care</w:t>
            </w:r>
            <w:r w:rsidR="004A6C13">
              <w:rPr>
                <w:snapToGrid w:val="0"/>
              </w:rPr>
              <w:t xml:space="preserve"> Reference Information</w:t>
            </w:r>
            <w:r w:rsidR="00BE1453">
              <w:rPr>
                <w:snapToGrid w:val="0"/>
              </w:rPr>
              <w:t xml:space="preserve"> on page</w:t>
            </w:r>
            <w:r w:rsidR="00605199">
              <w:rPr>
                <w:snapToGrid w:val="0"/>
              </w:rPr>
              <w:t>s</w:t>
            </w:r>
            <w:r w:rsidR="00BE1453">
              <w:rPr>
                <w:snapToGrid w:val="0"/>
              </w:rPr>
              <w:t xml:space="preserve"> </w:t>
            </w:r>
            <w:r w:rsidR="00254838" w:rsidRPr="00605199">
              <w:rPr>
                <w:snapToGrid w:val="0"/>
              </w:rPr>
              <w:t>67</w:t>
            </w:r>
            <w:r w:rsidR="00605199" w:rsidRPr="00605199">
              <w:rPr>
                <w:snapToGrid w:val="0"/>
              </w:rPr>
              <w:t>-69</w:t>
            </w:r>
            <w:r w:rsidR="001C73A6">
              <w:rPr>
                <w:snapToGrid w:val="0"/>
              </w:rPr>
              <w:t xml:space="preserve">. </w:t>
            </w:r>
          </w:p>
          <w:p w14:paraId="2D79433A" w14:textId="77777777" w:rsidR="006E50EF" w:rsidRDefault="006E50EF" w:rsidP="00457887">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640"/>
            </w:tblGrid>
            <w:tr w:rsidR="001B2BA7" w14:paraId="231E2273" w14:textId="77777777" w:rsidTr="000469EC">
              <w:trPr>
                <w:jc w:val="center"/>
              </w:trPr>
              <w:tc>
                <w:tcPr>
                  <w:tcW w:w="9763" w:type="dxa"/>
                </w:tcPr>
                <w:p w14:paraId="2014CD4E" w14:textId="77777777" w:rsidR="00F3344A" w:rsidRDefault="001B2BA7" w:rsidP="006561E3">
                  <w:pPr>
                    <w:spacing w:before="120"/>
                    <w:rPr>
                      <w:b/>
                      <w:snapToGrid w:val="0"/>
                    </w:rPr>
                  </w:pPr>
                  <w:r w:rsidRPr="00A86269">
                    <w:rPr>
                      <w:b/>
                      <w:snapToGrid w:val="0"/>
                    </w:rPr>
                    <w:t>Reporting Time Period: 9 months</w:t>
                  </w:r>
                </w:p>
                <w:p w14:paraId="5914FCE1" w14:textId="77777777" w:rsidR="001B2BA7" w:rsidRPr="00A86269" w:rsidRDefault="00F3344A" w:rsidP="001B2BA7">
                  <w:pPr>
                    <w:rPr>
                      <w:b/>
                      <w:snapToGrid w:val="0"/>
                    </w:rPr>
                  </w:pPr>
                  <w:r>
                    <w:rPr>
                      <w:snapToGrid w:val="0"/>
                    </w:rPr>
                    <w:t xml:space="preserve">Answer questions #1-5 based </w:t>
                  </w:r>
                  <w:r w:rsidRPr="007C2A37">
                    <w:rPr>
                      <w:snapToGrid w:val="0"/>
                      <w:color w:val="000000"/>
                    </w:rPr>
                    <w:t xml:space="preserve">on </w:t>
                  </w:r>
                  <w:r w:rsidRPr="007C2A37">
                    <w:rPr>
                      <w:snapToGrid w:val="0"/>
                    </w:rPr>
                    <w:t xml:space="preserve">all cases </w:t>
                  </w:r>
                  <w:r w:rsidR="00F559DE" w:rsidRPr="006A71AB">
                    <w:t>(or a sufficient sample of them</w:t>
                  </w:r>
                  <w:r w:rsidRPr="007C2A37">
                    <w:rPr>
                      <w:snapToGrid w:val="0"/>
                    </w:rPr>
                    <w:t>)</w:t>
                  </w:r>
                  <w:r w:rsidR="001B2BA7" w:rsidRPr="00A86269">
                    <w:rPr>
                      <w:b/>
                      <w:snapToGrid w:val="0"/>
                    </w:rPr>
                    <w:t xml:space="preserve"> </w:t>
                  </w:r>
                </w:p>
                <w:p w14:paraId="153631E3" w14:textId="77777777" w:rsidR="001B2BA7" w:rsidRPr="002F0AD7" w:rsidRDefault="001B2BA7" w:rsidP="00ED58C1">
                  <w:pPr>
                    <w:pStyle w:val="ListParagraph"/>
                    <w:numPr>
                      <w:ilvl w:val="0"/>
                      <w:numId w:val="79"/>
                    </w:numPr>
                    <w:rPr>
                      <w:i/>
                      <w:snapToGrid w:val="0"/>
                    </w:rPr>
                  </w:pPr>
                  <w:r w:rsidRPr="00A86269">
                    <w:rPr>
                      <w:snapToGrid w:val="0"/>
                    </w:rPr>
                    <w:t>Surveys submitted prior to September 1, 2016: 01/01/2015 - 09/30/2015</w:t>
                  </w:r>
                </w:p>
                <w:p w14:paraId="5B248564" w14:textId="77777777" w:rsidR="001B2BA7" w:rsidRPr="002F0AD7" w:rsidRDefault="001B2BA7" w:rsidP="006561E3">
                  <w:pPr>
                    <w:pStyle w:val="ListParagraph"/>
                    <w:numPr>
                      <w:ilvl w:val="0"/>
                      <w:numId w:val="79"/>
                    </w:numPr>
                    <w:spacing w:after="120"/>
                    <w:rPr>
                      <w:i/>
                      <w:snapToGrid w:val="0"/>
                    </w:rPr>
                  </w:pPr>
                  <w:r w:rsidRPr="002F0AD7">
                    <w:rPr>
                      <w:snapToGrid w:val="0"/>
                    </w:rPr>
                    <w:t>Surveys (re)submitted on or after September 1, 2016: 10/01/2015 – 06/30/2016</w:t>
                  </w:r>
                </w:p>
              </w:tc>
            </w:tr>
          </w:tbl>
          <w:p w14:paraId="561C5670" w14:textId="77777777" w:rsidR="001B2BA7" w:rsidRPr="0029519D" w:rsidRDefault="001B2BA7" w:rsidP="00457887">
            <w:pPr>
              <w:rPr>
                <w:snapToGrid w:val="0"/>
              </w:rPr>
            </w:pPr>
          </w:p>
          <w:p w14:paraId="182CFD87" w14:textId="77777777" w:rsidR="006E50EF" w:rsidRPr="0029519D" w:rsidRDefault="006E50EF" w:rsidP="00457887">
            <w:pPr>
              <w:rPr>
                <w:snapToGrid w:val="0"/>
              </w:rPr>
            </w:pPr>
            <w:r w:rsidRPr="0029519D">
              <w:rPr>
                <w:b/>
                <w:i/>
                <w:snapToGrid w:val="0"/>
                <w:color w:val="000000"/>
                <w:u w:val="single"/>
              </w:rPr>
              <w:t>Sufficient Sample</w:t>
            </w:r>
            <w:r w:rsidR="002D7D09" w:rsidRPr="0029519D">
              <w:rPr>
                <w:snapToGrid w:val="0"/>
                <w:color w:val="000000"/>
              </w:rPr>
              <w:t xml:space="preserve">: </w:t>
            </w:r>
            <w:r w:rsidR="00F73569">
              <w:rPr>
                <w:snapToGrid w:val="0"/>
                <w:color w:val="000000"/>
              </w:rPr>
              <w:t xml:space="preserve">See </w:t>
            </w:r>
            <w:hyperlink w:anchor="_Cesarean_Sections_Prior" w:history="1">
              <w:r w:rsidR="00F73569" w:rsidRPr="00F73569">
                <w:rPr>
                  <w:rStyle w:val="Hyperlink"/>
                  <w:b/>
                  <w:i/>
                  <w:snapToGrid w:val="0"/>
                </w:rPr>
                <w:t>NTSV Cesarean Sections</w:t>
              </w:r>
            </w:hyperlink>
            <w:r w:rsidR="00F73569">
              <w:rPr>
                <w:snapToGrid w:val="0"/>
                <w:color w:val="000000"/>
              </w:rPr>
              <w:t xml:space="preserve"> for i</w:t>
            </w:r>
            <w:r w:rsidRPr="0029519D">
              <w:rPr>
                <w:snapToGrid w:val="0"/>
                <w:color w:val="000000"/>
              </w:rPr>
              <w:t>nstructions for identifying a sufficien</w:t>
            </w:r>
            <w:r w:rsidR="00D70DD6" w:rsidRPr="0029519D">
              <w:rPr>
                <w:snapToGrid w:val="0"/>
                <w:color w:val="000000"/>
              </w:rPr>
              <w:t xml:space="preserve">t sample to answer questions </w:t>
            </w:r>
            <w:r w:rsidR="003C672D" w:rsidRPr="0029519D">
              <w:rPr>
                <w:snapToGrid w:val="0"/>
                <w:color w:val="000000"/>
              </w:rPr>
              <w:t>#</w:t>
            </w:r>
            <w:r w:rsidR="006802C9">
              <w:rPr>
                <w:snapToGrid w:val="0"/>
                <w:color w:val="000000"/>
              </w:rPr>
              <w:t>2 and #3</w:t>
            </w:r>
            <w:r w:rsidR="00F73569">
              <w:rPr>
                <w:snapToGrid w:val="0"/>
                <w:color w:val="000000"/>
              </w:rPr>
              <w:t>.</w:t>
            </w:r>
          </w:p>
          <w:p w14:paraId="1106DAAB" w14:textId="77777777" w:rsidR="00653966" w:rsidRPr="0029519D" w:rsidRDefault="00653966" w:rsidP="00457887">
            <w:pPr>
              <w:rPr>
                <w:b/>
                <w:snapToGrid w:val="0"/>
                <w:color w:val="000000"/>
              </w:rPr>
            </w:pPr>
          </w:p>
        </w:tc>
      </w:tr>
      <w:tr w:rsidR="001F39A9" w14:paraId="09241AC8" w14:textId="77777777" w:rsidTr="00D14BCA">
        <w:trPr>
          <w:jc w:val="center"/>
        </w:trPr>
        <w:tc>
          <w:tcPr>
            <w:tcW w:w="9360" w:type="dxa"/>
            <w:gridSpan w:val="2"/>
          </w:tcPr>
          <w:p w14:paraId="6CD381B6" w14:textId="2274C579" w:rsidR="001F39A9" w:rsidRPr="0029519D" w:rsidRDefault="001F39A9" w:rsidP="001F39A9">
            <w:pPr>
              <w:rPr>
                <w:b/>
              </w:rPr>
            </w:pPr>
            <w:r w:rsidRPr="0029519D">
              <w:rPr>
                <w:b/>
              </w:rPr>
              <w:t>NTSV Cesarean Section</w:t>
            </w:r>
            <w:r w:rsidR="00BE1453">
              <w:rPr>
                <w:b/>
              </w:rPr>
              <w:t>s</w:t>
            </w:r>
            <w:r w:rsidRPr="0029519D">
              <w:rPr>
                <w:b/>
              </w:rPr>
              <w:t xml:space="preserve"> </w:t>
            </w:r>
          </w:p>
        </w:tc>
      </w:tr>
      <w:tr w:rsidR="00A527CD" w14:paraId="73F78AC7" w14:textId="77777777" w:rsidTr="00D14BCA">
        <w:trPr>
          <w:jc w:val="center"/>
        </w:trPr>
        <w:tc>
          <w:tcPr>
            <w:tcW w:w="6776" w:type="dxa"/>
            <w:vAlign w:val="center"/>
          </w:tcPr>
          <w:p w14:paraId="49242147" w14:textId="77777777" w:rsidR="00A527CD" w:rsidRPr="0029519D" w:rsidRDefault="00770D72" w:rsidP="00ED58C1">
            <w:pPr>
              <w:pStyle w:val="ListParagraph"/>
              <w:numPr>
                <w:ilvl w:val="0"/>
                <w:numId w:val="58"/>
              </w:numPr>
              <w:rPr>
                <w:snapToGrid w:val="0"/>
                <w:color w:val="000000"/>
              </w:rPr>
            </w:pPr>
            <w:r w:rsidRPr="0029519D">
              <w:rPr>
                <w:snapToGrid w:val="0"/>
                <w:color w:val="000000"/>
              </w:rPr>
              <w:t>9-month reporting period used:</w:t>
            </w:r>
          </w:p>
        </w:tc>
        <w:tc>
          <w:tcPr>
            <w:tcW w:w="2866" w:type="dxa"/>
          </w:tcPr>
          <w:p w14:paraId="0A1D8A98" w14:textId="77777777" w:rsidR="00A25028" w:rsidRPr="0029519D" w:rsidRDefault="004D6F90" w:rsidP="00ED58C1">
            <w:pPr>
              <w:pStyle w:val="ListParagraph"/>
              <w:numPr>
                <w:ilvl w:val="0"/>
                <w:numId w:val="51"/>
              </w:numPr>
              <w:rPr>
                <w:i/>
              </w:rPr>
            </w:pPr>
            <w:r w:rsidRPr="0029519D">
              <w:t>01/01/2015 – 09/30/2015</w:t>
            </w:r>
          </w:p>
          <w:p w14:paraId="2A5AAEFB" w14:textId="77777777" w:rsidR="00A527CD" w:rsidRPr="0029519D" w:rsidRDefault="004D6F90" w:rsidP="00ED58C1">
            <w:pPr>
              <w:pStyle w:val="ListParagraph"/>
              <w:numPr>
                <w:ilvl w:val="0"/>
                <w:numId w:val="51"/>
              </w:numPr>
              <w:rPr>
                <w:i/>
              </w:rPr>
            </w:pPr>
            <w:r w:rsidRPr="0029519D">
              <w:t>10/01/2015 - 0</w:t>
            </w:r>
            <w:r w:rsidR="00A25028" w:rsidRPr="0029519D">
              <w:t>6/30/</w:t>
            </w:r>
            <w:r w:rsidRPr="0029519D">
              <w:t>20</w:t>
            </w:r>
            <w:r w:rsidR="00A25028" w:rsidRPr="0029519D">
              <w:t>1</w:t>
            </w:r>
            <w:r w:rsidR="005C316D" w:rsidRPr="0029519D">
              <w:t>6</w:t>
            </w:r>
          </w:p>
        </w:tc>
      </w:tr>
      <w:tr w:rsidR="00A527CD" w14:paraId="3997EED1" w14:textId="77777777" w:rsidTr="00D14BCA">
        <w:trPr>
          <w:trHeight w:val="1952"/>
          <w:jc w:val="center"/>
        </w:trPr>
        <w:tc>
          <w:tcPr>
            <w:tcW w:w="6776" w:type="dxa"/>
            <w:vAlign w:val="center"/>
          </w:tcPr>
          <w:p w14:paraId="7A93EBF3" w14:textId="77777777" w:rsidR="005B447F" w:rsidRPr="0029519D" w:rsidRDefault="00A527CD" w:rsidP="00ED58C1">
            <w:pPr>
              <w:pStyle w:val="ListParagraph"/>
              <w:numPr>
                <w:ilvl w:val="0"/>
                <w:numId w:val="58"/>
              </w:numPr>
              <w:rPr>
                <w:snapToGrid w:val="0"/>
                <w:color w:val="000000"/>
              </w:rPr>
            </w:pPr>
            <w:r w:rsidRPr="0029519D">
              <w:rPr>
                <w:snapToGrid w:val="0"/>
                <w:color w:val="000000"/>
              </w:rPr>
              <w:t xml:space="preserve">Total number of nulliparous mothers (or sufficient sample of them) that delivered a live term singleton newborn in the vertex presentation and with &gt;=37 weeks of gestation completed, with </w:t>
            </w:r>
            <w:r w:rsidRPr="0029519D">
              <w:rPr>
                <w:b/>
                <w:snapToGrid w:val="0"/>
                <w:color w:val="000000"/>
              </w:rPr>
              <w:t>Excluded Populations</w:t>
            </w:r>
            <w:r w:rsidRPr="0029519D">
              <w:rPr>
                <w:snapToGrid w:val="0"/>
                <w:color w:val="000000"/>
              </w:rPr>
              <w:t xml:space="preserve"> removed.</w:t>
            </w:r>
          </w:p>
          <w:p w14:paraId="17CFCCA1" w14:textId="77777777" w:rsidR="005B447F" w:rsidRPr="0029519D" w:rsidRDefault="005B447F" w:rsidP="005B447F">
            <w:pPr>
              <w:pStyle w:val="ListParagraph"/>
              <w:ind w:left="360"/>
              <w:rPr>
                <w:snapToGrid w:val="0"/>
                <w:color w:val="000000"/>
              </w:rPr>
            </w:pPr>
          </w:p>
          <w:p w14:paraId="19EA0000" w14:textId="77777777" w:rsidR="00A527CD" w:rsidRPr="0029519D" w:rsidRDefault="00A527CD" w:rsidP="005B447F">
            <w:pPr>
              <w:pStyle w:val="ListParagraph"/>
              <w:ind w:left="360"/>
              <w:rPr>
                <w:snapToGrid w:val="0"/>
                <w:color w:val="000000"/>
              </w:rPr>
            </w:pPr>
            <w:r w:rsidRPr="0029519D">
              <w:rPr>
                <w:i/>
                <w:snapToGrid w:val="0"/>
              </w:rPr>
              <w:t xml:space="preserve">If fewer than </w:t>
            </w:r>
            <w:r w:rsidR="00F633DB" w:rsidRPr="0029519D">
              <w:rPr>
                <w:i/>
                <w:snapToGrid w:val="0"/>
              </w:rPr>
              <w:t>10</w:t>
            </w:r>
            <w:r w:rsidRPr="0029519D">
              <w:rPr>
                <w:i/>
                <w:snapToGrid w:val="0"/>
              </w:rPr>
              <w:t xml:space="preserve"> cases met the criteria for the denominator, skip </w:t>
            </w:r>
            <w:r w:rsidR="0013404A" w:rsidRPr="0029519D">
              <w:rPr>
                <w:i/>
                <w:snapToGrid w:val="0"/>
              </w:rPr>
              <w:t xml:space="preserve">questions </w:t>
            </w:r>
            <w:r w:rsidR="003C672D" w:rsidRPr="0029519D">
              <w:rPr>
                <w:i/>
                <w:snapToGrid w:val="0"/>
              </w:rPr>
              <w:t>#</w:t>
            </w:r>
            <w:r w:rsidRPr="0029519D">
              <w:rPr>
                <w:i/>
                <w:snapToGrid w:val="0"/>
              </w:rPr>
              <w:t>3-5</w:t>
            </w:r>
            <w:r w:rsidR="0013404A" w:rsidRPr="0029519D">
              <w:rPr>
                <w:i/>
                <w:snapToGrid w:val="0"/>
              </w:rPr>
              <w:t>, and move on to the next subsection</w:t>
            </w:r>
            <w:r w:rsidRPr="0029519D">
              <w:rPr>
                <w:i/>
                <w:snapToGrid w:val="0"/>
              </w:rPr>
              <w:t>.</w:t>
            </w:r>
          </w:p>
        </w:tc>
        <w:tc>
          <w:tcPr>
            <w:tcW w:w="2584" w:type="dxa"/>
            <w:vAlign w:val="center"/>
          </w:tcPr>
          <w:p w14:paraId="410ECCBA" w14:textId="77777777" w:rsidR="00A527CD" w:rsidRPr="0029519D" w:rsidRDefault="00A527CD" w:rsidP="000C1E78">
            <w:pPr>
              <w:jc w:val="center"/>
              <w:rPr>
                <w:i/>
                <w:snapToGrid w:val="0"/>
                <w:color w:val="000000"/>
              </w:rPr>
            </w:pPr>
          </w:p>
          <w:p w14:paraId="6FD0D568" w14:textId="77777777" w:rsidR="00A527CD" w:rsidRPr="0029519D" w:rsidRDefault="00A527CD" w:rsidP="000C1E78">
            <w:pPr>
              <w:jc w:val="center"/>
              <w:rPr>
                <w:i/>
                <w:snapToGrid w:val="0"/>
                <w:color w:val="000000"/>
              </w:rPr>
            </w:pPr>
            <w:r w:rsidRPr="0029519D">
              <w:rPr>
                <w:i/>
                <w:snapToGrid w:val="0"/>
                <w:color w:val="000000"/>
              </w:rPr>
              <w:t>______</w:t>
            </w:r>
          </w:p>
        </w:tc>
      </w:tr>
      <w:tr w:rsidR="00A527CD" w14:paraId="566863F8" w14:textId="77777777" w:rsidTr="006561E3">
        <w:trPr>
          <w:trHeight w:val="890"/>
          <w:jc w:val="center"/>
        </w:trPr>
        <w:tc>
          <w:tcPr>
            <w:tcW w:w="6776" w:type="dxa"/>
            <w:vAlign w:val="center"/>
          </w:tcPr>
          <w:p w14:paraId="14B1A178" w14:textId="77777777" w:rsidR="00A527CD" w:rsidRPr="0029519D" w:rsidRDefault="00A527CD" w:rsidP="00ED58C1">
            <w:pPr>
              <w:pStyle w:val="ListParagraph"/>
              <w:numPr>
                <w:ilvl w:val="0"/>
                <w:numId w:val="58"/>
              </w:numPr>
              <w:rPr>
                <w:snapToGrid w:val="0"/>
              </w:rPr>
            </w:pPr>
            <w:r w:rsidRPr="0029519D">
              <w:rPr>
                <w:snapToGrid w:val="0"/>
                <w:color w:val="000000"/>
              </w:rPr>
              <w:t>Total number of</w:t>
            </w:r>
            <w:r w:rsidR="00F6168E" w:rsidRPr="0029519D">
              <w:rPr>
                <w:snapToGrid w:val="0"/>
                <w:color w:val="000000"/>
              </w:rPr>
              <w:t xml:space="preserve"> mothers indicated in question </w:t>
            </w:r>
            <w:r w:rsidR="003C672D" w:rsidRPr="0029519D">
              <w:rPr>
                <w:snapToGrid w:val="0"/>
                <w:color w:val="000000"/>
              </w:rPr>
              <w:t>#</w:t>
            </w:r>
            <w:r w:rsidR="00F6168E" w:rsidRPr="0029519D">
              <w:rPr>
                <w:snapToGrid w:val="0"/>
                <w:color w:val="000000"/>
              </w:rPr>
              <w:t>2</w:t>
            </w:r>
            <w:r w:rsidRPr="0029519D">
              <w:rPr>
                <w:snapToGrid w:val="0"/>
                <w:color w:val="000000"/>
              </w:rPr>
              <w:t xml:space="preserve"> which had their newborn delivered via cesarean section.</w:t>
            </w:r>
          </w:p>
        </w:tc>
        <w:tc>
          <w:tcPr>
            <w:tcW w:w="2584" w:type="dxa"/>
          </w:tcPr>
          <w:p w14:paraId="7D8C2E64" w14:textId="77777777" w:rsidR="00A527CD" w:rsidRPr="0029519D" w:rsidRDefault="00A527CD" w:rsidP="00C9106A">
            <w:pPr>
              <w:jc w:val="center"/>
              <w:rPr>
                <w:i/>
                <w:snapToGrid w:val="0"/>
                <w:color w:val="000000"/>
              </w:rPr>
            </w:pPr>
          </w:p>
          <w:p w14:paraId="05DC9C35" w14:textId="77777777" w:rsidR="00A527CD" w:rsidRPr="0029519D" w:rsidRDefault="00A527CD" w:rsidP="00C9106A">
            <w:pPr>
              <w:jc w:val="center"/>
              <w:rPr>
                <w:i/>
                <w:snapToGrid w:val="0"/>
                <w:color w:val="000000"/>
              </w:rPr>
            </w:pPr>
          </w:p>
          <w:p w14:paraId="7B6143B0" w14:textId="77777777" w:rsidR="00A527CD" w:rsidRPr="0029519D" w:rsidRDefault="00A527CD" w:rsidP="00C9106A">
            <w:pPr>
              <w:jc w:val="center"/>
              <w:rPr>
                <w:i/>
                <w:snapToGrid w:val="0"/>
                <w:color w:val="000000"/>
              </w:rPr>
            </w:pPr>
            <w:r w:rsidRPr="0029519D">
              <w:rPr>
                <w:i/>
                <w:snapToGrid w:val="0"/>
                <w:color w:val="000000"/>
              </w:rPr>
              <w:t>______</w:t>
            </w:r>
          </w:p>
          <w:p w14:paraId="5D6EBE1B" w14:textId="77777777" w:rsidR="00A527CD" w:rsidRPr="0029519D" w:rsidRDefault="00A527CD" w:rsidP="00C9106A">
            <w:pPr>
              <w:jc w:val="center"/>
              <w:rPr>
                <w:i/>
                <w:snapToGrid w:val="0"/>
                <w:color w:val="000000"/>
              </w:rPr>
            </w:pPr>
          </w:p>
          <w:p w14:paraId="7C8005B8" w14:textId="77777777" w:rsidR="00A527CD" w:rsidRPr="0029519D" w:rsidRDefault="00A527CD" w:rsidP="00C9106A">
            <w:pPr>
              <w:jc w:val="center"/>
              <w:rPr>
                <w:i/>
                <w:snapToGrid w:val="0"/>
                <w:color w:val="000000"/>
              </w:rPr>
            </w:pPr>
          </w:p>
        </w:tc>
      </w:tr>
      <w:tr w:rsidR="00A527CD" w14:paraId="534C5946" w14:textId="77777777" w:rsidTr="00D14BCA">
        <w:trPr>
          <w:trHeight w:val="638"/>
          <w:jc w:val="center"/>
        </w:trPr>
        <w:tc>
          <w:tcPr>
            <w:tcW w:w="6776" w:type="dxa"/>
            <w:vAlign w:val="center"/>
          </w:tcPr>
          <w:p w14:paraId="7DD0124F" w14:textId="01FF9DDD" w:rsidR="00A527CD" w:rsidRPr="00AA2107" w:rsidRDefault="00A527CD" w:rsidP="006561E3">
            <w:pPr>
              <w:pStyle w:val="ListParagraph"/>
              <w:numPr>
                <w:ilvl w:val="0"/>
                <w:numId w:val="58"/>
              </w:numPr>
              <w:spacing w:before="120" w:after="120"/>
              <w:rPr>
                <w:i/>
                <w:snapToGrid w:val="0"/>
                <w:color w:val="000000"/>
              </w:rPr>
            </w:pPr>
            <w:r w:rsidRPr="00AA2107">
              <w:rPr>
                <w:snapToGrid w:val="0"/>
                <w:color w:val="000000"/>
              </w:rPr>
              <w:t xml:space="preserve">Do the responses in </w:t>
            </w:r>
            <w:r w:rsidR="007679E5" w:rsidRPr="00AA2107">
              <w:rPr>
                <w:snapToGrid w:val="0"/>
                <w:color w:val="000000"/>
              </w:rPr>
              <w:t xml:space="preserve">questions </w:t>
            </w:r>
            <w:r w:rsidR="003C672D" w:rsidRPr="00AA2107">
              <w:rPr>
                <w:snapToGrid w:val="0"/>
                <w:color w:val="000000"/>
              </w:rPr>
              <w:t>#</w:t>
            </w:r>
            <w:r w:rsidR="007679E5" w:rsidRPr="00AA2107">
              <w:rPr>
                <w:snapToGrid w:val="0"/>
                <w:color w:val="000000"/>
              </w:rPr>
              <w:t xml:space="preserve">2 and </w:t>
            </w:r>
            <w:r w:rsidR="003C672D" w:rsidRPr="00AA2107">
              <w:rPr>
                <w:snapToGrid w:val="0"/>
                <w:color w:val="000000"/>
              </w:rPr>
              <w:t>#</w:t>
            </w:r>
            <w:r w:rsidR="007679E5" w:rsidRPr="00AA2107">
              <w:rPr>
                <w:snapToGrid w:val="0"/>
                <w:color w:val="000000"/>
              </w:rPr>
              <w:t>3</w:t>
            </w:r>
            <w:r w:rsidRPr="00AA2107">
              <w:rPr>
                <w:snapToGrid w:val="0"/>
                <w:color w:val="000000"/>
              </w:rPr>
              <w:t xml:space="preserve"> above represent a sample of cases?</w:t>
            </w:r>
          </w:p>
        </w:tc>
        <w:tc>
          <w:tcPr>
            <w:tcW w:w="2584" w:type="dxa"/>
          </w:tcPr>
          <w:p w14:paraId="325B4C26" w14:textId="77777777" w:rsidR="00A527CD" w:rsidRPr="00AA2107" w:rsidRDefault="00A527CD" w:rsidP="00C9106A">
            <w:pPr>
              <w:jc w:val="center"/>
              <w:rPr>
                <w:i/>
                <w:snapToGrid w:val="0"/>
                <w:color w:val="000000"/>
              </w:rPr>
            </w:pPr>
            <w:r w:rsidRPr="00AA2107">
              <w:rPr>
                <w:i/>
                <w:snapToGrid w:val="0"/>
                <w:color w:val="000000"/>
              </w:rPr>
              <w:t>Yes</w:t>
            </w:r>
          </w:p>
          <w:p w14:paraId="7385138F" w14:textId="77777777" w:rsidR="00A527CD" w:rsidRPr="00AA2107" w:rsidRDefault="00A527CD" w:rsidP="00457887">
            <w:pPr>
              <w:jc w:val="center"/>
              <w:rPr>
                <w:snapToGrid w:val="0"/>
                <w:color w:val="000000"/>
              </w:rPr>
            </w:pPr>
            <w:r w:rsidRPr="00AA2107">
              <w:rPr>
                <w:i/>
                <w:snapToGrid w:val="0"/>
                <w:color w:val="000000"/>
              </w:rPr>
              <w:t>No</w:t>
            </w:r>
          </w:p>
        </w:tc>
      </w:tr>
      <w:tr w:rsidR="00A527CD" w14:paraId="6C4B7CB3" w14:textId="77777777" w:rsidTr="00D14BCA">
        <w:trPr>
          <w:trHeight w:val="800"/>
          <w:jc w:val="center"/>
        </w:trPr>
        <w:tc>
          <w:tcPr>
            <w:tcW w:w="6776" w:type="dxa"/>
            <w:vAlign w:val="center"/>
          </w:tcPr>
          <w:p w14:paraId="3309A3E1" w14:textId="77777777" w:rsidR="00A527CD" w:rsidRPr="00AA2107" w:rsidRDefault="00A527CD" w:rsidP="006561E3">
            <w:pPr>
              <w:pStyle w:val="ListParagraph"/>
              <w:numPr>
                <w:ilvl w:val="0"/>
                <w:numId w:val="58"/>
              </w:numPr>
              <w:spacing w:before="120" w:after="120"/>
              <w:rPr>
                <w:i/>
                <w:snapToGrid w:val="0"/>
                <w:color w:val="000000"/>
              </w:rPr>
            </w:pPr>
            <w:r w:rsidRPr="00AA2107">
              <w:rPr>
                <w:snapToGrid w:val="0"/>
                <w:color w:val="000000"/>
              </w:rPr>
              <w:t xml:space="preserve">If “yes” to </w:t>
            </w:r>
            <w:r w:rsidR="007679E5" w:rsidRPr="00AA2107">
              <w:rPr>
                <w:snapToGrid w:val="0"/>
                <w:color w:val="000000"/>
              </w:rPr>
              <w:t xml:space="preserve">question </w:t>
            </w:r>
            <w:r w:rsidR="003C672D" w:rsidRPr="00AA2107">
              <w:rPr>
                <w:snapToGrid w:val="0"/>
                <w:color w:val="000000"/>
              </w:rPr>
              <w:t>#</w:t>
            </w:r>
            <w:r w:rsidR="007679E5" w:rsidRPr="00AA2107">
              <w:rPr>
                <w:snapToGrid w:val="0"/>
                <w:color w:val="000000"/>
              </w:rPr>
              <w:t>4</w:t>
            </w:r>
            <w:r w:rsidRPr="00AA2107">
              <w:rPr>
                <w:snapToGrid w:val="0"/>
                <w:color w:val="000000"/>
              </w:rPr>
              <w:t>, did your hospital sample using The Joint Commission’s sampling algorithm or Leapfrog’s sampling instructions, as provi</w:t>
            </w:r>
            <w:r w:rsidR="007679E5" w:rsidRPr="00AA2107">
              <w:rPr>
                <w:snapToGrid w:val="0"/>
                <w:color w:val="000000"/>
              </w:rPr>
              <w:t>ded in the Maternity Care Reference Information</w:t>
            </w:r>
            <w:r w:rsidRPr="00AA2107">
              <w:rPr>
                <w:snapToGrid w:val="0"/>
                <w:color w:val="000000"/>
              </w:rPr>
              <w:t>?</w:t>
            </w:r>
          </w:p>
        </w:tc>
        <w:tc>
          <w:tcPr>
            <w:tcW w:w="2584" w:type="dxa"/>
            <w:vAlign w:val="center"/>
          </w:tcPr>
          <w:p w14:paraId="13E0B33A" w14:textId="77777777" w:rsidR="00A527CD" w:rsidRPr="00AA2107" w:rsidRDefault="00A527CD" w:rsidP="00A25028">
            <w:pPr>
              <w:jc w:val="center"/>
              <w:rPr>
                <w:i/>
                <w:snapToGrid w:val="0"/>
                <w:color w:val="000000"/>
              </w:rPr>
            </w:pPr>
            <w:r w:rsidRPr="00AA2107">
              <w:rPr>
                <w:i/>
                <w:snapToGrid w:val="0"/>
                <w:color w:val="000000"/>
              </w:rPr>
              <w:t>The Joint Commission</w:t>
            </w:r>
          </w:p>
          <w:p w14:paraId="2E486C4C" w14:textId="77777777" w:rsidR="00A527CD" w:rsidRPr="00AA2107" w:rsidRDefault="00A527CD" w:rsidP="00A25028">
            <w:pPr>
              <w:jc w:val="center"/>
              <w:rPr>
                <w:i/>
                <w:snapToGrid w:val="0"/>
                <w:color w:val="000000"/>
              </w:rPr>
            </w:pPr>
          </w:p>
          <w:p w14:paraId="2B6F6A3D" w14:textId="77777777" w:rsidR="00A527CD" w:rsidRPr="00AA2107" w:rsidRDefault="00A527CD" w:rsidP="00A25028">
            <w:pPr>
              <w:jc w:val="center"/>
              <w:rPr>
                <w:i/>
                <w:snapToGrid w:val="0"/>
                <w:color w:val="000000"/>
              </w:rPr>
            </w:pPr>
            <w:r w:rsidRPr="00AA2107">
              <w:rPr>
                <w:i/>
                <w:snapToGrid w:val="0"/>
                <w:color w:val="000000"/>
              </w:rPr>
              <w:t>The Leapfrog Group</w:t>
            </w:r>
          </w:p>
        </w:tc>
      </w:tr>
    </w:tbl>
    <w:p w14:paraId="26FBD75D" w14:textId="77777777" w:rsidR="006E50EF" w:rsidRDefault="006E50EF" w:rsidP="00B86077">
      <w:pPr>
        <w:rPr>
          <w:b/>
          <w:snapToGrid w:val="0"/>
          <w:color w:val="000000"/>
        </w:rPr>
      </w:pPr>
    </w:p>
    <w:p w14:paraId="2681D9D6" w14:textId="77777777" w:rsidR="006E50EF" w:rsidRDefault="0008798C" w:rsidP="00B86077">
      <w:pPr>
        <w:rPr>
          <w:b/>
          <w:snapToGrid w:val="0"/>
          <w:color w:val="000000"/>
        </w:rPr>
      </w:pPr>
      <w:r>
        <w:rPr>
          <w:b/>
          <w:snapToGrid w:val="0"/>
          <w:color w:val="000000"/>
        </w:rPr>
        <w:br w:type="page"/>
      </w:r>
    </w:p>
    <w:p w14:paraId="5E8EB26B" w14:textId="77777777" w:rsidR="006E50EF" w:rsidRDefault="006E50EF" w:rsidP="00B86077">
      <w:pPr>
        <w:rPr>
          <w:b/>
          <w:snapToGrid w:val="0"/>
          <w:color w:val="000000"/>
        </w:rPr>
      </w:pPr>
    </w:p>
    <w:tbl>
      <w:tblPr>
        <w:tblStyle w:val="TableGrid"/>
        <w:tblW w:w="9994" w:type="dxa"/>
        <w:jc w:val="center"/>
        <w:tblLook w:val="04A0" w:firstRow="1" w:lastRow="0" w:firstColumn="1" w:lastColumn="0" w:noHBand="0" w:noVBand="1"/>
      </w:tblPr>
      <w:tblGrid>
        <w:gridCol w:w="7024"/>
        <w:gridCol w:w="2970"/>
      </w:tblGrid>
      <w:tr w:rsidR="006E50EF" w14:paraId="6F07CEDB" w14:textId="77777777" w:rsidTr="00D14BCA">
        <w:trPr>
          <w:jc w:val="center"/>
        </w:trPr>
        <w:tc>
          <w:tcPr>
            <w:tcW w:w="9360" w:type="dxa"/>
            <w:gridSpan w:val="2"/>
            <w:tcBorders>
              <w:top w:val="single" w:sz="18" w:space="0" w:color="auto"/>
              <w:left w:val="nil"/>
              <w:right w:val="nil"/>
            </w:tcBorders>
          </w:tcPr>
          <w:p w14:paraId="235F9E3F" w14:textId="77777777" w:rsidR="006E50EF" w:rsidRPr="00F73569" w:rsidRDefault="006E50EF" w:rsidP="00621FA7">
            <w:pPr>
              <w:rPr>
                <w:b/>
                <w:snapToGrid w:val="0"/>
                <w:sz w:val="24"/>
                <w:szCs w:val="24"/>
              </w:rPr>
            </w:pPr>
          </w:p>
          <w:p w14:paraId="26469587" w14:textId="77777777" w:rsidR="006E50EF" w:rsidRPr="00F73569" w:rsidRDefault="006E50EF" w:rsidP="00954B73">
            <w:pPr>
              <w:pStyle w:val="Heading2"/>
              <w:rPr>
                <w:snapToGrid w:val="0"/>
              </w:rPr>
            </w:pPr>
            <w:bookmarkStart w:id="144" w:name="_Toc447195010"/>
            <w:r w:rsidRPr="00F73569">
              <w:rPr>
                <w:snapToGrid w:val="0"/>
              </w:rPr>
              <w:t>4</w:t>
            </w:r>
            <w:r w:rsidR="005C316D" w:rsidRPr="00F73569">
              <w:rPr>
                <w:snapToGrid w:val="0"/>
              </w:rPr>
              <w:t>D</w:t>
            </w:r>
            <w:r w:rsidRPr="00F73569">
              <w:rPr>
                <w:snapToGrid w:val="0"/>
              </w:rPr>
              <w:t>: Episiotomy</w:t>
            </w:r>
            <w:bookmarkEnd w:id="144"/>
            <w:r w:rsidRPr="00F73569">
              <w:rPr>
                <w:snapToGrid w:val="0"/>
              </w:rPr>
              <w:t xml:space="preserve"> </w:t>
            </w:r>
          </w:p>
          <w:p w14:paraId="7CE3302F" w14:textId="77777777" w:rsidR="006E50EF" w:rsidRPr="00F73569" w:rsidRDefault="006E50EF" w:rsidP="001370F3">
            <w:pPr>
              <w:rPr>
                <w:b/>
                <w:i/>
                <w:snapToGrid w:val="0"/>
              </w:rPr>
            </w:pPr>
          </w:p>
          <w:p w14:paraId="32BC7A9A" w14:textId="3712EC5F" w:rsidR="006E50EF" w:rsidRDefault="006E50EF" w:rsidP="001370F3">
            <w:pPr>
              <w:rPr>
                <w:snapToGrid w:val="0"/>
              </w:rPr>
            </w:pPr>
            <w:r w:rsidRPr="00F73569">
              <w:rPr>
                <w:b/>
                <w:snapToGrid w:val="0"/>
              </w:rPr>
              <w:t xml:space="preserve">Specifications: </w:t>
            </w:r>
            <w:r w:rsidR="00D85C5D" w:rsidRPr="00F73569">
              <w:rPr>
                <w:snapToGrid w:val="0"/>
              </w:rPr>
              <w:t xml:space="preserve">See </w:t>
            </w:r>
            <w:hyperlink w:anchor="_Episiotomy" w:history="1">
              <w:r w:rsidR="00F73569" w:rsidRPr="00F73569">
                <w:rPr>
                  <w:rStyle w:val="Hyperlink"/>
                  <w:b/>
                  <w:i/>
                  <w:snapToGrid w:val="0"/>
                </w:rPr>
                <w:t>Episiotomy</w:t>
              </w:r>
            </w:hyperlink>
            <w:r w:rsidR="00F73569" w:rsidRPr="00F73569">
              <w:rPr>
                <w:snapToGrid w:val="0"/>
              </w:rPr>
              <w:t xml:space="preserve"> </w:t>
            </w:r>
            <w:r w:rsidRPr="00F73569">
              <w:rPr>
                <w:snapToGrid w:val="0"/>
              </w:rPr>
              <w:t xml:space="preserve">in </w:t>
            </w:r>
            <w:r w:rsidR="00271B13" w:rsidRPr="00F73569">
              <w:rPr>
                <w:snapToGrid w:val="0"/>
              </w:rPr>
              <w:t xml:space="preserve">the </w:t>
            </w:r>
            <w:r w:rsidRPr="00F73569">
              <w:rPr>
                <w:snapToGrid w:val="0"/>
              </w:rPr>
              <w:t xml:space="preserve">Maternity Care Reference </w:t>
            </w:r>
            <w:r w:rsidR="004A6C13" w:rsidRPr="00F73569">
              <w:rPr>
                <w:snapToGrid w:val="0"/>
              </w:rPr>
              <w:t>Information</w:t>
            </w:r>
            <w:r w:rsidR="00FC6415">
              <w:rPr>
                <w:snapToGrid w:val="0"/>
              </w:rPr>
              <w:t xml:space="preserve"> on page</w:t>
            </w:r>
            <w:r w:rsidR="00E41894">
              <w:rPr>
                <w:snapToGrid w:val="0"/>
              </w:rPr>
              <w:t>s</w:t>
            </w:r>
            <w:r w:rsidR="00FC6415">
              <w:rPr>
                <w:snapToGrid w:val="0"/>
              </w:rPr>
              <w:t xml:space="preserve"> </w:t>
            </w:r>
            <w:r w:rsidR="00254838" w:rsidRPr="00E41894">
              <w:rPr>
                <w:snapToGrid w:val="0"/>
              </w:rPr>
              <w:t>69</w:t>
            </w:r>
            <w:r w:rsidR="00E41894" w:rsidRPr="00E41894">
              <w:rPr>
                <w:snapToGrid w:val="0"/>
              </w:rPr>
              <w:t>-70</w:t>
            </w:r>
            <w:r w:rsidRPr="00F73569">
              <w:rPr>
                <w:snapToGrid w:val="0"/>
              </w:rPr>
              <w:t xml:space="preserve">. </w:t>
            </w:r>
          </w:p>
          <w:p w14:paraId="4F59C958" w14:textId="77777777" w:rsidR="00EC2703" w:rsidRPr="00F73569" w:rsidRDefault="00EC2703" w:rsidP="00621FA7">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640"/>
            </w:tblGrid>
            <w:tr w:rsidR="00ED586D" w14:paraId="028D9F3C" w14:textId="77777777" w:rsidTr="00A924FE">
              <w:trPr>
                <w:jc w:val="center"/>
              </w:trPr>
              <w:tc>
                <w:tcPr>
                  <w:tcW w:w="9345" w:type="dxa"/>
                </w:tcPr>
                <w:p w14:paraId="428E1DF2" w14:textId="77777777" w:rsidR="00ED586D" w:rsidRPr="00F73569" w:rsidRDefault="00ED586D" w:rsidP="009425F0">
                  <w:pPr>
                    <w:spacing w:before="120"/>
                    <w:rPr>
                      <w:snapToGrid w:val="0"/>
                    </w:rPr>
                  </w:pPr>
                  <w:r w:rsidRPr="00F73569">
                    <w:rPr>
                      <w:b/>
                      <w:snapToGrid w:val="0"/>
                    </w:rPr>
                    <w:t>Reporting Time Period:</w:t>
                  </w:r>
                  <w:r w:rsidRPr="00F73569">
                    <w:rPr>
                      <w:snapToGrid w:val="0"/>
                    </w:rPr>
                    <w:t xml:space="preserve"> </w:t>
                  </w:r>
                  <w:r w:rsidRPr="00F73569">
                    <w:rPr>
                      <w:b/>
                      <w:snapToGrid w:val="0"/>
                    </w:rPr>
                    <w:t>9 months</w:t>
                  </w:r>
                </w:p>
                <w:p w14:paraId="611F92BF" w14:textId="77777777" w:rsidR="00ED586D" w:rsidRPr="00F73569" w:rsidRDefault="00ED586D" w:rsidP="00ED586D">
                  <w:pPr>
                    <w:rPr>
                      <w:snapToGrid w:val="0"/>
                    </w:rPr>
                  </w:pPr>
                  <w:r w:rsidRPr="00F73569">
                    <w:rPr>
                      <w:snapToGrid w:val="0"/>
                    </w:rPr>
                    <w:t>Answer questions #1-3 based on all cases</w:t>
                  </w:r>
                </w:p>
                <w:p w14:paraId="134D8E51" w14:textId="77777777" w:rsidR="00ED586D" w:rsidRPr="00F73569" w:rsidRDefault="00ED586D" w:rsidP="00ED58C1">
                  <w:pPr>
                    <w:pStyle w:val="ListParagraph"/>
                    <w:numPr>
                      <w:ilvl w:val="0"/>
                      <w:numId w:val="80"/>
                    </w:numPr>
                    <w:rPr>
                      <w:i/>
                      <w:snapToGrid w:val="0"/>
                    </w:rPr>
                  </w:pPr>
                  <w:r w:rsidRPr="00F73569">
                    <w:rPr>
                      <w:snapToGrid w:val="0"/>
                    </w:rPr>
                    <w:t>Surveys submitted prior to September 1, 2016: 01/01/2015 - 09/30/2015</w:t>
                  </w:r>
                </w:p>
                <w:p w14:paraId="2159869B" w14:textId="77777777" w:rsidR="00ED586D" w:rsidRPr="00ED586D" w:rsidRDefault="00ED586D" w:rsidP="009425F0">
                  <w:pPr>
                    <w:pStyle w:val="ListParagraph"/>
                    <w:numPr>
                      <w:ilvl w:val="0"/>
                      <w:numId w:val="80"/>
                    </w:numPr>
                    <w:spacing w:after="120"/>
                    <w:rPr>
                      <w:i/>
                      <w:snapToGrid w:val="0"/>
                    </w:rPr>
                  </w:pPr>
                  <w:r w:rsidRPr="00F73569">
                    <w:rPr>
                      <w:snapToGrid w:val="0"/>
                    </w:rPr>
                    <w:t>Surveys (re)submitted on or after September 1, 2016: 10/01/2015 – 06/30/2016</w:t>
                  </w:r>
                </w:p>
              </w:tc>
            </w:tr>
          </w:tbl>
          <w:p w14:paraId="0E2279BF" w14:textId="77777777" w:rsidR="00C85ABC" w:rsidRPr="00F73569" w:rsidRDefault="00C85ABC" w:rsidP="00C85ABC">
            <w:pPr>
              <w:pStyle w:val="ListParagraph"/>
              <w:rPr>
                <w:i/>
                <w:snapToGrid w:val="0"/>
              </w:rPr>
            </w:pPr>
          </w:p>
          <w:p w14:paraId="5BA549A9" w14:textId="77777777" w:rsidR="006E50EF" w:rsidRPr="00F73569" w:rsidRDefault="006E50EF" w:rsidP="00B86077">
            <w:pPr>
              <w:rPr>
                <w:b/>
                <w:snapToGrid w:val="0"/>
                <w:color w:val="000000"/>
              </w:rPr>
            </w:pPr>
          </w:p>
        </w:tc>
      </w:tr>
      <w:tr w:rsidR="006E50EF" w14:paraId="27E6443B" w14:textId="77777777" w:rsidTr="00D14BCA">
        <w:trPr>
          <w:jc w:val="center"/>
        </w:trPr>
        <w:tc>
          <w:tcPr>
            <w:tcW w:w="9360" w:type="dxa"/>
            <w:gridSpan w:val="2"/>
          </w:tcPr>
          <w:p w14:paraId="654BCC37" w14:textId="5B713E6D" w:rsidR="006E50EF" w:rsidRPr="008E32AA" w:rsidRDefault="006E50EF" w:rsidP="00B86077">
            <w:pPr>
              <w:rPr>
                <w:b/>
                <w:snapToGrid w:val="0"/>
              </w:rPr>
            </w:pPr>
            <w:r w:rsidRPr="00F73569">
              <w:rPr>
                <w:b/>
                <w:snapToGrid w:val="0"/>
              </w:rPr>
              <w:t>Incidence of Episiotomy in Vaginal Deliveries</w:t>
            </w:r>
          </w:p>
        </w:tc>
      </w:tr>
      <w:tr w:rsidR="00A8574A" w14:paraId="10F658F5" w14:textId="77777777" w:rsidTr="00D14BCA">
        <w:trPr>
          <w:jc w:val="center"/>
        </w:trPr>
        <w:tc>
          <w:tcPr>
            <w:tcW w:w="6777" w:type="dxa"/>
            <w:vAlign w:val="center"/>
          </w:tcPr>
          <w:p w14:paraId="47D454A3" w14:textId="77777777" w:rsidR="00A8574A" w:rsidRPr="00F73569" w:rsidRDefault="00C85ABC" w:rsidP="00ED58C1">
            <w:pPr>
              <w:pStyle w:val="ListParagraph"/>
              <w:numPr>
                <w:ilvl w:val="0"/>
                <w:numId w:val="55"/>
              </w:numPr>
              <w:rPr>
                <w:snapToGrid w:val="0"/>
                <w:color w:val="000000"/>
              </w:rPr>
            </w:pPr>
            <w:r w:rsidRPr="00F73569">
              <w:rPr>
                <w:snapToGrid w:val="0"/>
                <w:color w:val="000000"/>
              </w:rPr>
              <w:t>9-month r</w:t>
            </w:r>
            <w:r w:rsidR="00A8574A" w:rsidRPr="00F73569">
              <w:rPr>
                <w:snapToGrid w:val="0"/>
                <w:color w:val="000000"/>
              </w:rPr>
              <w:t xml:space="preserve">eporting </w:t>
            </w:r>
            <w:r w:rsidRPr="00F73569">
              <w:rPr>
                <w:snapToGrid w:val="0"/>
                <w:color w:val="000000"/>
              </w:rPr>
              <w:t>time period used</w:t>
            </w:r>
            <w:r w:rsidR="00F6168E" w:rsidRPr="00F73569">
              <w:rPr>
                <w:snapToGrid w:val="0"/>
                <w:color w:val="000000"/>
              </w:rPr>
              <w:t>:</w:t>
            </w:r>
          </w:p>
        </w:tc>
        <w:tc>
          <w:tcPr>
            <w:tcW w:w="2866" w:type="dxa"/>
          </w:tcPr>
          <w:p w14:paraId="37BFDCD0" w14:textId="77777777" w:rsidR="00A05D23" w:rsidRPr="00F73569" w:rsidRDefault="00770D72" w:rsidP="00ED58C1">
            <w:pPr>
              <w:pStyle w:val="ListParagraph"/>
              <w:numPr>
                <w:ilvl w:val="0"/>
                <w:numId w:val="51"/>
              </w:numPr>
              <w:rPr>
                <w:i/>
              </w:rPr>
            </w:pPr>
            <w:r w:rsidRPr="00F73569">
              <w:t>01/01/2015 - 0</w:t>
            </w:r>
            <w:r w:rsidR="001F173E" w:rsidRPr="00F73569">
              <w:t>9/30</w:t>
            </w:r>
            <w:r w:rsidR="00A05D23" w:rsidRPr="00F73569">
              <w:t>/</w:t>
            </w:r>
            <w:r w:rsidRPr="00F73569">
              <w:t>20</w:t>
            </w:r>
            <w:r w:rsidR="00A05D23" w:rsidRPr="00F73569">
              <w:t>1</w:t>
            </w:r>
            <w:r w:rsidR="006E6D81" w:rsidRPr="00F73569">
              <w:t>5</w:t>
            </w:r>
          </w:p>
          <w:p w14:paraId="5686EB1B" w14:textId="77777777" w:rsidR="00A8574A" w:rsidRPr="00F73569" w:rsidRDefault="00770D72" w:rsidP="00ED58C1">
            <w:pPr>
              <w:pStyle w:val="ListParagraph"/>
              <w:numPr>
                <w:ilvl w:val="0"/>
                <w:numId w:val="51"/>
              </w:numPr>
              <w:rPr>
                <w:i/>
              </w:rPr>
            </w:pPr>
            <w:r w:rsidRPr="00F73569">
              <w:t>10/01/2015 - 0</w:t>
            </w:r>
            <w:r w:rsidR="00A05D23" w:rsidRPr="00F73569">
              <w:t>6/30/</w:t>
            </w:r>
            <w:r w:rsidRPr="00F73569">
              <w:t>20</w:t>
            </w:r>
            <w:r w:rsidR="00A05D23" w:rsidRPr="00F73569">
              <w:t>1</w:t>
            </w:r>
            <w:r w:rsidR="006E6D81" w:rsidRPr="00F73569">
              <w:t>6</w:t>
            </w:r>
          </w:p>
        </w:tc>
      </w:tr>
      <w:tr w:rsidR="00A8574A" w14:paraId="0B052139" w14:textId="77777777" w:rsidTr="00D14BCA">
        <w:trPr>
          <w:trHeight w:val="737"/>
          <w:jc w:val="center"/>
        </w:trPr>
        <w:tc>
          <w:tcPr>
            <w:tcW w:w="6777" w:type="dxa"/>
            <w:vAlign w:val="center"/>
          </w:tcPr>
          <w:p w14:paraId="55BF62EE" w14:textId="77777777" w:rsidR="00A8574A" w:rsidRPr="00F73569" w:rsidRDefault="00A8574A" w:rsidP="00ED58C1">
            <w:pPr>
              <w:pStyle w:val="ListParagraph"/>
              <w:numPr>
                <w:ilvl w:val="0"/>
                <w:numId w:val="55"/>
              </w:numPr>
              <w:rPr>
                <w:b/>
                <w:snapToGrid w:val="0"/>
                <w:color w:val="000000"/>
              </w:rPr>
            </w:pPr>
            <w:r w:rsidRPr="00F73569">
              <w:rPr>
                <w:snapToGrid w:val="0"/>
                <w:color w:val="000000"/>
              </w:rPr>
              <w:t xml:space="preserve">Total number of vaginal deliveries during the reporting period with </w:t>
            </w:r>
            <w:r w:rsidR="0001134B" w:rsidRPr="00F73569">
              <w:rPr>
                <w:b/>
                <w:snapToGrid w:val="0"/>
                <w:color w:val="000000"/>
              </w:rPr>
              <w:t xml:space="preserve">Excluded </w:t>
            </w:r>
            <w:r w:rsidRPr="00F73569">
              <w:rPr>
                <w:b/>
                <w:snapToGrid w:val="0"/>
                <w:color w:val="000000"/>
              </w:rPr>
              <w:t>Populations</w:t>
            </w:r>
            <w:r w:rsidRPr="00F73569">
              <w:rPr>
                <w:snapToGrid w:val="0"/>
                <w:color w:val="000000"/>
              </w:rPr>
              <w:t xml:space="preserve"> removed.</w:t>
            </w:r>
          </w:p>
        </w:tc>
        <w:tc>
          <w:tcPr>
            <w:tcW w:w="2583" w:type="dxa"/>
          </w:tcPr>
          <w:p w14:paraId="2A431995" w14:textId="77777777" w:rsidR="00A8574A" w:rsidRPr="00F73569" w:rsidRDefault="00A8574A" w:rsidP="00D52E9D">
            <w:pPr>
              <w:jc w:val="center"/>
              <w:rPr>
                <w:b/>
                <w:snapToGrid w:val="0"/>
                <w:color w:val="000000"/>
              </w:rPr>
            </w:pPr>
          </w:p>
          <w:p w14:paraId="6B3929CA" w14:textId="77777777" w:rsidR="00A8574A" w:rsidRPr="00F73569" w:rsidRDefault="00A8574A" w:rsidP="00D52E9D">
            <w:pPr>
              <w:jc w:val="center"/>
              <w:rPr>
                <w:b/>
                <w:snapToGrid w:val="0"/>
                <w:color w:val="000000"/>
              </w:rPr>
            </w:pPr>
            <w:r w:rsidRPr="00F73569">
              <w:rPr>
                <w:b/>
                <w:snapToGrid w:val="0"/>
                <w:color w:val="000000"/>
              </w:rPr>
              <w:t>______</w:t>
            </w:r>
          </w:p>
        </w:tc>
      </w:tr>
      <w:tr w:rsidR="00A8574A" w14:paraId="17B18D4F" w14:textId="77777777" w:rsidTr="00D14BCA">
        <w:trPr>
          <w:jc w:val="center"/>
        </w:trPr>
        <w:tc>
          <w:tcPr>
            <w:tcW w:w="6777" w:type="dxa"/>
            <w:vAlign w:val="center"/>
          </w:tcPr>
          <w:p w14:paraId="5ED83E7A" w14:textId="77777777" w:rsidR="00A8574A" w:rsidRPr="00F73569" w:rsidRDefault="00A8574A" w:rsidP="00ED58C1">
            <w:pPr>
              <w:pStyle w:val="ListParagraph"/>
              <w:numPr>
                <w:ilvl w:val="0"/>
                <w:numId w:val="55"/>
              </w:numPr>
              <w:rPr>
                <w:snapToGrid w:val="0"/>
                <w:color w:val="000000"/>
              </w:rPr>
            </w:pPr>
            <w:r w:rsidRPr="00F73569">
              <w:rPr>
                <w:snapToGrid w:val="0"/>
                <w:color w:val="000000"/>
              </w:rPr>
              <w:t xml:space="preserve">Total number of mothers indicated in question </w:t>
            </w:r>
            <w:r w:rsidR="003C672D" w:rsidRPr="00F73569">
              <w:rPr>
                <w:snapToGrid w:val="0"/>
                <w:color w:val="000000"/>
              </w:rPr>
              <w:t>#</w:t>
            </w:r>
            <w:r w:rsidRPr="00F73569">
              <w:rPr>
                <w:snapToGrid w:val="0"/>
                <w:color w:val="000000"/>
              </w:rPr>
              <w:t>2 that had an episiotomy procedure performed.</w:t>
            </w:r>
          </w:p>
        </w:tc>
        <w:tc>
          <w:tcPr>
            <w:tcW w:w="2583" w:type="dxa"/>
          </w:tcPr>
          <w:p w14:paraId="28E1C60F" w14:textId="77777777" w:rsidR="00A8574A" w:rsidRPr="00F73569" w:rsidRDefault="00A8574A" w:rsidP="00FC60B4">
            <w:pPr>
              <w:jc w:val="center"/>
              <w:rPr>
                <w:b/>
                <w:snapToGrid w:val="0"/>
                <w:color w:val="000000"/>
              </w:rPr>
            </w:pPr>
          </w:p>
          <w:p w14:paraId="7877EAF6" w14:textId="77777777" w:rsidR="00A8574A" w:rsidRPr="00F73569" w:rsidRDefault="00A8574A" w:rsidP="00FC60B4">
            <w:pPr>
              <w:jc w:val="center"/>
              <w:rPr>
                <w:b/>
                <w:snapToGrid w:val="0"/>
                <w:color w:val="000000"/>
              </w:rPr>
            </w:pPr>
            <w:r w:rsidRPr="00F73569">
              <w:rPr>
                <w:b/>
                <w:snapToGrid w:val="0"/>
                <w:color w:val="000000"/>
              </w:rPr>
              <w:t>______</w:t>
            </w:r>
          </w:p>
          <w:p w14:paraId="2B7DE471" w14:textId="77777777" w:rsidR="00A8574A" w:rsidRPr="00F73569" w:rsidRDefault="00A8574A" w:rsidP="00FC60B4">
            <w:pPr>
              <w:rPr>
                <w:b/>
                <w:snapToGrid w:val="0"/>
                <w:color w:val="000000"/>
              </w:rPr>
            </w:pPr>
          </w:p>
        </w:tc>
      </w:tr>
    </w:tbl>
    <w:p w14:paraId="1186C367" w14:textId="77777777" w:rsidR="00AA655F" w:rsidRDefault="006E50EF">
      <w:r>
        <w:br/>
      </w:r>
    </w:p>
    <w:p w14:paraId="7A0306A1" w14:textId="77777777" w:rsidR="00AA655F" w:rsidRDefault="00AA655F">
      <w:r>
        <w:br w:type="page"/>
      </w:r>
    </w:p>
    <w:p w14:paraId="612241E0" w14:textId="77777777" w:rsidR="006E50EF" w:rsidRDefault="006E50EF"/>
    <w:tbl>
      <w:tblPr>
        <w:tblW w:w="0" w:type="auto"/>
        <w:tblBorders>
          <w:top w:val="single" w:sz="24" w:space="0" w:color="auto"/>
        </w:tblBorders>
        <w:tblLayout w:type="fixed"/>
        <w:tblLook w:val="0000" w:firstRow="0" w:lastRow="0" w:firstColumn="0" w:lastColumn="0" w:noHBand="0" w:noVBand="0"/>
      </w:tblPr>
      <w:tblGrid>
        <w:gridCol w:w="9468"/>
      </w:tblGrid>
      <w:tr w:rsidR="006E50EF" w:rsidRPr="007C2A37" w14:paraId="3B0BFDFF" w14:textId="77777777" w:rsidTr="000D6054">
        <w:trPr>
          <w:cantSplit/>
          <w:trHeight w:val="2325"/>
        </w:trPr>
        <w:tc>
          <w:tcPr>
            <w:tcW w:w="9468" w:type="dxa"/>
            <w:tcBorders>
              <w:top w:val="single" w:sz="24" w:space="0" w:color="auto"/>
              <w:bottom w:val="nil"/>
            </w:tcBorders>
          </w:tcPr>
          <w:p w14:paraId="7A462416" w14:textId="77777777" w:rsidR="006E50EF" w:rsidRDefault="006E50EF">
            <w:pPr>
              <w:rPr>
                <w:b/>
              </w:rPr>
            </w:pPr>
            <w:r>
              <w:br w:type="page"/>
            </w:r>
            <w:r>
              <w:br w:type="page"/>
            </w:r>
          </w:p>
          <w:p w14:paraId="6FE3478A" w14:textId="77777777" w:rsidR="006E50EF" w:rsidRPr="007C2A37" w:rsidRDefault="006E50EF" w:rsidP="00954B73">
            <w:pPr>
              <w:pStyle w:val="Heading2"/>
              <w:rPr>
                <w:snapToGrid w:val="0"/>
              </w:rPr>
            </w:pPr>
            <w:bookmarkStart w:id="145" w:name="_Toc447195011"/>
            <w:r w:rsidRPr="007C2A37">
              <w:rPr>
                <w:snapToGrid w:val="0"/>
              </w:rPr>
              <w:t>4</w:t>
            </w:r>
            <w:r w:rsidR="006E6D81" w:rsidRPr="007C2A37">
              <w:rPr>
                <w:snapToGrid w:val="0"/>
              </w:rPr>
              <w:t>E</w:t>
            </w:r>
            <w:r w:rsidRPr="007C2A37">
              <w:rPr>
                <w:snapToGrid w:val="0"/>
              </w:rPr>
              <w:t>: Process Measures of Quality</w:t>
            </w:r>
            <w:bookmarkEnd w:id="145"/>
          </w:p>
          <w:p w14:paraId="7D3C7A88" w14:textId="77777777" w:rsidR="006E50EF" w:rsidRPr="007C2A37" w:rsidRDefault="006E50EF">
            <w:pPr>
              <w:pStyle w:val="Header"/>
              <w:tabs>
                <w:tab w:val="clear" w:pos="4320"/>
                <w:tab w:val="clear" w:pos="8640"/>
              </w:tabs>
              <w:rPr>
                <w:snapToGrid w:val="0"/>
              </w:rPr>
            </w:pPr>
          </w:p>
          <w:p w14:paraId="1435A7EC" w14:textId="73AF2B50" w:rsidR="006E50EF" w:rsidRDefault="006E50EF">
            <w:pPr>
              <w:rPr>
                <w:snapToGrid w:val="0"/>
              </w:rPr>
            </w:pPr>
            <w:r w:rsidRPr="007C2A37">
              <w:rPr>
                <w:b/>
                <w:snapToGrid w:val="0"/>
              </w:rPr>
              <w:t xml:space="preserve">Specifications: </w:t>
            </w:r>
            <w:r w:rsidR="0093190A">
              <w:rPr>
                <w:snapToGrid w:val="0"/>
              </w:rPr>
              <w:t>See</w:t>
            </w:r>
            <w:r w:rsidRPr="007C2A37">
              <w:rPr>
                <w:snapToGrid w:val="0"/>
              </w:rPr>
              <w:t xml:space="preserve"> </w:t>
            </w:r>
            <w:hyperlink w:anchor="MatProcessSpecs" w:history="1">
              <w:r w:rsidRPr="007C2A37">
                <w:rPr>
                  <w:rStyle w:val="Hyperlink"/>
                  <w:b/>
                  <w:i/>
                  <w:snapToGrid w:val="0"/>
                </w:rPr>
                <w:t>Maternity Care Process Measure Specifications</w:t>
              </w:r>
            </w:hyperlink>
            <w:r w:rsidRPr="007C2A37">
              <w:rPr>
                <w:snapToGrid w:val="0"/>
              </w:rPr>
              <w:t xml:space="preserve"> in </w:t>
            </w:r>
            <w:r w:rsidR="00271B13" w:rsidRPr="007C2A37">
              <w:rPr>
                <w:snapToGrid w:val="0"/>
              </w:rPr>
              <w:t xml:space="preserve">the </w:t>
            </w:r>
            <w:r w:rsidRPr="007C2A37">
              <w:rPr>
                <w:snapToGrid w:val="0"/>
              </w:rPr>
              <w:t>Maternity Care Reference Information on page</w:t>
            </w:r>
            <w:r w:rsidR="00D27F51">
              <w:rPr>
                <w:snapToGrid w:val="0"/>
              </w:rPr>
              <w:t>s</w:t>
            </w:r>
            <w:r w:rsidR="00D44799" w:rsidRPr="007C2A37">
              <w:rPr>
                <w:snapToGrid w:val="0"/>
              </w:rPr>
              <w:t xml:space="preserve"> </w:t>
            </w:r>
            <w:r w:rsidR="00D44799" w:rsidRPr="00D27F51">
              <w:rPr>
                <w:snapToGrid w:val="0"/>
              </w:rPr>
              <w:t>7</w:t>
            </w:r>
            <w:r w:rsidR="00254838" w:rsidRPr="00D27F51">
              <w:rPr>
                <w:snapToGrid w:val="0"/>
              </w:rPr>
              <w:t>0</w:t>
            </w:r>
            <w:r w:rsidR="00D27F51" w:rsidRPr="00D27F51">
              <w:rPr>
                <w:snapToGrid w:val="0"/>
              </w:rPr>
              <w:t>-71</w:t>
            </w:r>
            <w:r w:rsidRPr="007C2A37">
              <w:rPr>
                <w:snapToGrid w:val="0"/>
              </w:rPr>
              <w:t>.</w:t>
            </w:r>
            <w:r w:rsidR="0093190A">
              <w:rPr>
                <w:snapToGrid w:val="0"/>
              </w:rPr>
              <w:t xml:space="preserve"> </w:t>
            </w:r>
          </w:p>
          <w:p w14:paraId="6977CD97" w14:textId="77777777" w:rsidR="00AA2107" w:rsidRDefault="00AA2107">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9009D1" w14:paraId="2ECD7D4B" w14:textId="77777777" w:rsidTr="00A924FE">
              <w:trPr>
                <w:jc w:val="center"/>
              </w:trPr>
              <w:tc>
                <w:tcPr>
                  <w:tcW w:w="9353" w:type="dxa"/>
                </w:tcPr>
                <w:p w14:paraId="34171749" w14:textId="77777777" w:rsidR="009009D1" w:rsidRPr="007C2A37" w:rsidRDefault="009009D1" w:rsidP="009425F0">
                  <w:pPr>
                    <w:spacing w:before="120"/>
                    <w:rPr>
                      <w:snapToGrid w:val="0"/>
                    </w:rPr>
                  </w:pPr>
                  <w:r w:rsidRPr="007C2A37">
                    <w:rPr>
                      <w:b/>
                      <w:snapToGrid w:val="0"/>
                    </w:rPr>
                    <w:t>Reporting Time Period:</w:t>
                  </w:r>
                  <w:r w:rsidRPr="007C2A37">
                    <w:rPr>
                      <w:snapToGrid w:val="0"/>
                    </w:rPr>
                    <w:t xml:space="preserve"> </w:t>
                  </w:r>
                  <w:r w:rsidRPr="007C2A37">
                    <w:rPr>
                      <w:b/>
                      <w:snapToGrid w:val="0"/>
                    </w:rPr>
                    <w:t>9 months</w:t>
                  </w:r>
                </w:p>
                <w:p w14:paraId="74E527E7" w14:textId="77777777" w:rsidR="009009D1" w:rsidRPr="007C2A37" w:rsidRDefault="009009D1" w:rsidP="009009D1">
                  <w:pPr>
                    <w:rPr>
                      <w:snapToGrid w:val="0"/>
                    </w:rPr>
                  </w:pPr>
                  <w:r w:rsidRPr="007C2A37">
                    <w:rPr>
                      <w:snapToGrid w:val="0"/>
                    </w:rPr>
                    <w:t xml:space="preserve">Answer questions #1-10 based on all cases </w:t>
                  </w:r>
                  <w:r w:rsidRPr="000D7FF6">
                    <w:rPr>
                      <w:snapToGrid w:val="0"/>
                    </w:rPr>
                    <w:t>(</w:t>
                  </w:r>
                  <w:r w:rsidRPr="00116373">
                    <w:rPr>
                      <w:rStyle w:val="Hyperlink"/>
                      <w:color w:val="auto"/>
                      <w:u w:val="none"/>
                    </w:rPr>
                    <w:t>or a sufficient sample of them</w:t>
                  </w:r>
                  <w:r w:rsidRPr="007C2A37">
                    <w:rPr>
                      <w:snapToGrid w:val="0"/>
                    </w:rPr>
                    <w:t>)</w:t>
                  </w:r>
                </w:p>
                <w:p w14:paraId="1638C7B3" w14:textId="77777777" w:rsidR="009009D1" w:rsidRPr="009009D1" w:rsidRDefault="009009D1" w:rsidP="00ED58C1">
                  <w:pPr>
                    <w:pStyle w:val="ListParagraph"/>
                    <w:numPr>
                      <w:ilvl w:val="0"/>
                      <w:numId w:val="59"/>
                    </w:numPr>
                    <w:rPr>
                      <w:i/>
                      <w:snapToGrid w:val="0"/>
                    </w:rPr>
                  </w:pPr>
                  <w:r w:rsidRPr="007C2A37">
                    <w:rPr>
                      <w:snapToGrid w:val="0"/>
                    </w:rPr>
                    <w:t>Surveys submitted prior to September 1, 2016: 01/01/2015 - 09/30/2015</w:t>
                  </w:r>
                  <w:r w:rsidR="007204A0">
                    <w:rPr>
                      <w:snapToGrid w:val="0"/>
                    </w:rPr>
                    <w:t xml:space="preserve">  </w:t>
                  </w:r>
                </w:p>
                <w:p w14:paraId="1B51DE65" w14:textId="77777777" w:rsidR="009009D1" w:rsidRPr="009009D1" w:rsidRDefault="009009D1" w:rsidP="009425F0">
                  <w:pPr>
                    <w:pStyle w:val="ListParagraph"/>
                    <w:numPr>
                      <w:ilvl w:val="0"/>
                      <w:numId w:val="59"/>
                    </w:numPr>
                    <w:spacing w:after="120"/>
                    <w:rPr>
                      <w:i/>
                      <w:snapToGrid w:val="0"/>
                    </w:rPr>
                  </w:pPr>
                  <w:r w:rsidRPr="009009D1">
                    <w:rPr>
                      <w:snapToGrid w:val="0"/>
                    </w:rPr>
                    <w:t>Surveys (re)submitted on or after September 1, 2016: 10/01/2015 – 06/30/2016</w:t>
                  </w:r>
                </w:p>
              </w:tc>
            </w:tr>
          </w:tbl>
          <w:p w14:paraId="1C4C6D5B" w14:textId="77777777" w:rsidR="006E50EF" w:rsidRPr="009009D1" w:rsidRDefault="006E50EF" w:rsidP="009009D1">
            <w:pPr>
              <w:rPr>
                <w:i/>
                <w:snapToGrid w:val="0"/>
              </w:rPr>
            </w:pPr>
          </w:p>
        </w:tc>
      </w:tr>
    </w:tbl>
    <w:p w14:paraId="561BF37B" w14:textId="77777777" w:rsidR="0062793D" w:rsidRDefault="0062793D" w:rsidP="000D6054">
      <w:pPr>
        <w:pStyle w:val="Heading1"/>
      </w:pPr>
    </w:p>
    <w:p w14:paraId="09589958" w14:textId="77777777" w:rsidR="006F5A29" w:rsidRPr="006F5A29" w:rsidRDefault="006F5A29" w:rsidP="006F5A29">
      <w:pPr>
        <w:rPr>
          <w:snapToGrid w:val="0"/>
        </w:rPr>
      </w:pPr>
      <w:r w:rsidRPr="0029519D">
        <w:rPr>
          <w:b/>
          <w:i/>
          <w:snapToGrid w:val="0"/>
          <w:color w:val="000000"/>
          <w:u w:val="single"/>
        </w:rPr>
        <w:t>Sufficient Sample</w:t>
      </w:r>
      <w:r w:rsidRPr="0029519D">
        <w:rPr>
          <w:snapToGrid w:val="0"/>
          <w:color w:val="000000"/>
        </w:rPr>
        <w:t xml:space="preserve">: </w:t>
      </w:r>
      <w:r>
        <w:rPr>
          <w:snapToGrid w:val="0"/>
          <w:color w:val="000000"/>
        </w:rPr>
        <w:t xml:space="preserve">See </w:t>
      </w:r>
      <w:hyperlink w:anchor="MatProcessSpecs" w:history="1">
        <w:r w:rsidRPr="007C2A37">
          <w:rPr>
            <w:rStyle w:val="Hyperlink"/>
            <w:b/>
            <w:i/>
            <w:snapToGrid w:val="0"/>
          </w:rPr>
          <w:t>Maternity Care Process Measure Specifications</w:t>
        </w:r>
      </w:hyperlink>
      <w:r>
        <w:rPr>
          <w:snapToGrid w:val="0"/>
          <w:color w:val="000000"/>
        </w:rPr>
        <w:t xml:space="preserve"> for i</w:t>
      </w:r>
      <w:r w:rsidRPr="0029519D">
        <w:rPr>
          <w:snapToGrid w:val="0"/>
          <w:color w:val="000000"/>
        </w:rPr>
        <w:t>nstructions for identifying a sufficient sample to answer questions #</w:t>
      </w:r>
      <w:r>
        <w:rPr>
          <w:snapToGrid w:val="0"/>
          <w:color w:val="000000"/>
        </w:rPr>
        <w:t>3-4 and #8-9.</w:t>
      </w:r>
    </w:p>
    <w:p w14:paraId="26FF6869" w14:textId="77777777" w:rsidR="00C85ABC" w:rsidRPr="007C2A37" w:rsidRDefault="00C85ABC" w:rsidP="00C85ABC">
      <w:pPr>
        <w:rPr>
          <w:lang w:eastAsia="ja-JP"/>
        </w:rPr>
      </w:pPr>
    </w:p>
    <w:tbl>
      <w:tblPr>
        <w:tblStyle w:val="TableGrid"/>
        <w:tblW w:w="0" w:type="auto"/>
        <w:jc w:val="center"/>
        <w:tblLook w:val="04A0" w:firstRow="1" w:lastRow="0" w:firstColumn="1" w:lastColumn="0" w:noHBand="0" w:noVBand="1"/>
      </w:tblPr>
      <w:tblGrid>
        <w:gridCol w:w="6551"/>
        <w:gridCol w:w="2799"/>
      </w:tblGrid>
      <w:tr w:rsidR="0062793D" w:rsidRPr="007C2A37" w14:paraId="0B6E9A70" w14:textId="77777777" w:rsidTr="009009D1">
        <w:trPr>
          <w:jc w:val="center"/>
        </w:trPr>
        <w:tc>
          <w:tcPr>
            <w:tcW w:w="9350" w:type="dxa"/>
            <w:gridSpan w:val="2"/>
          </w:tcPr>
          <w:p w14:paraId="7887C3C7" w14:textId="4D39456D" w:rsidR="0062793D" w:rsidRPr="00794E67" w:rsidRDefault="0062793D" w:rsidP="00794E67">
            <w:pPr>
              <w:rPr>
                <w:b/>
                <w:snapToGrid w:val="0"/>
              </w:rPr>
            </w:pPr>
            <w:r w:rsidRPr="00794E67">
              <w:rPr>
                <w:b/>
                <w:snapToGrid w:val="0"/>
              </w:rPr>
              <w:t>Newborn Bilirubin Screening Prior to Discharge</w:t>
            </w:r>
          </w:p>
        </w:tc>
      </w:tr>
      <w:tr w:rsidR="00C85ABC" w:rsidRPr="007C2A37" w14:paraId="258E4F9F" w14:textId="77777777" w:rsidTr="009009D1">
        <w:trPr>
          <w:jc w:val="center"/>
        </w:trPr>
        <w:tc>
          <w:tcPr>
            <w:tcW w:w="6551" w:type="dxa"/>
            <w:vAlign w:val="center"/>
          </w:tcPr>
          <w:p w14:paraId="2D2778F4" w14:textId="77777777" w:rsidR="00C85ABC" w:rsidRPr="007C2A37" w:rsidRDefault="00C85ABC" w:rsidP="00ED58C1">
            <w:pPr>
              <w:pStyle w:val="ListParagraph"/>
              <w:numPr>
                <w:ilvl w:val="0"/>
                <w:numId w:val="81"/>
              </w:numPr>
              <w:rPr>
                <w:snapToGrid w:val="0"/>
                <w:color w:val="000000"/>
              </w:rPr>
            </w:pPr>
            <w:r w:rsidRPr="007C2A37">
              <w:rPr>
                <w:snapToGrid w:val="0"/>
                <w:color w:val="000000"/>
              </w:rPr>
              <w:t>9-month reporting time period used:</w:t>
            </w:r>
          </w:p>
        </w:tc>
        <w:tc>
          <w:tcPr>
            <w:tcW w:w="2799" w:type="dxa"/>
          </w:tcPr>
          <w:p w14:paraId="5E58004E" w14:textId="77777777" w:rsidR="00C85ABC" w:rsidRPr="007C2A37" w:rsidRDefault="00C85ABC" w:rsidP="00ED58C1">
            <w:pPr>
              <w:pStyle w:val="ListParagraph"/>
              <w:numPr>
                <w:ilvl w:val="0"/>
                <w:numId w:val="51"/>
              </w:numPr>
              <w:rPr>
                <w:i/>
              </w:rPr>
            </w:pPr>
            <w:r w:rsidRPr="007C2A37">
              <w:t>01/01/2015 - 09/30/2015</w:t>
            </w:r>
          </w:p>
          <w:p w14:paraId="71109E1A" w14:textId="77777777" w:rsidR="00C85ABC" w:rsidRPr="007C2A37" w:rsidRDefault="00C85ABC" w:rsidP="00ED58C1">
            <w:pPr>
              <w:pStyle w:val="ListParagraph"/>
              <w:numPr>
                <w:ilvl w:val="0"/>
                <w:numId w:val="51"/>
              </w:numPr>
              <w:rPr>
                <w:i/>
              </w:rPr>
            </w:pPr>
            <w:r w:rsidRPr="007C2A37">
              <w:t>10/01/2015 - 06/30/2016</w:t>
            </w:r>
          </w:p>
        </w:tc>
      </w:tr>
      <w:tr w:rsidR="00C85ABC" w:rsidRPr="007C2A37" w14:paraId="4B3368F2" w14:textId="77777777" w:rsidTr="009009D1">
        <w:trPr>
          <w:trHeight w:val="737"/>
          <w:jc w:val="center"/>
        </w:trPr>
        <w:tc>
          <w:tcPr>
            <w:tcW w:w="6551" w:type="dxa"/>
            <w:vAlign w:val="center"/>
          </w:tcPr>
          <w:p w14:paraId="63D56C6A" w14:textId="15B9C3F8" w:rsidR="00C85ABC" w:rsidRPr="00794E67" w:rsidRDefault="00C85ABC" w:rsidP="00794E67">
            <w:pPr>
              <w:numPr>
                <w:ilvl w:val="0"/>
                <w:numId w:val="81"/>
              </w:numPr>
              <w:spacing w:before="80" w:after="240"/>
              <w:rPr>
                <w:snapToGrid w:val="0"/>
                <w:color w:val="000000"/>
              </w:rPr>
            </w:pPr>
            <w:r w:rsidRPr="007C2A37">
              <w:rPr>
                <w:snapToGrid w:val="0"/>
              </w:rPr>
              <w:t xml:space="preserve">Has your hospital </w:t>
            </w:r>
            <w:r w:rsidRPr="007C2A37">
              <w:rPr>
                <w:snapToGrid w:val="0"/>
                <w:color w:val="000000"/>
              </w:rPr>
              <w:t xml:space="preserve">performed a medical record audit on </w:t>
            </w:r>
            <w:r w:rsidRPr="007C2A37">
              <w:rPr>
                <w:snapToGrid w:val="0"/>
              </w:rPr>
              <w:t xml:space="preserve">all cases </w:t>
            </w:r>
            <w:r w:rsidRPr="006F5A29">
              <w:rPr>
                <w:snapToGrid w:val="0"/>
              </w:rPr>
              <w:t>(or a sufficient sample of them</w:t>
            </w:r>
            <w:r w:rsidRPr="007C2A37">
              <w:rPr>
                <w:snapToGrid w:val="0"/>
              </w:rPr>
              <w:t>)</w:t>
            </w:r>
            <w:r w:rsidRPr="007C2A37">
              <w:rPr>
                <w:snapToGrid w:val="0"/>
                <w:color w:val="000000"/>
              </w:rPr>
              <w:t xml:space="preserve"> for the Reporting Time Period </w:t>
            </w:r>
            <w:r w:rsidRPr="007C2A37">
              <w:rPr>
                <w:b/>
                <w:snapToGrid w:val="0"/>
                <w:color w:val="000000"/>
              </w:rPr>
              <w:t>and</w:t>
            </w:r>
            <w:r w:rsidRPr="007C2A37">
              <w:rPr>
                <w:snapToGrid w:val="0"/>
                <w:color w:val="000000"/>
              </w:rPr>
              <w:t xml:space="preserve"> measured adherence to the newborn bilirubin screening prior to discharge clinical guideline?</w:t>
            </w:r>
          </w:p>
          <w:p w14:paraId="0DAD0098" w14:textId="77777777" w:rsidR="00C85ABC" w:rsidRPr="007C2A37" w:rsidRDefault="00C85ABC" w:rsidP="00794E67">
            <w:pPr>
              <w:pStyle w:val="ListParagraph"/>
              <w:spacing w:before="80" w:after="80"/>
              <w:ind w:left="360"/>
              <w:rPr>
                <w:b/>
                <w:snapToGrid w:val="0"/>
                <w:color w:val="000000"/>
              </w:rPr>
            </w:pPr>
            <w:r w:rsidRPr="007C2A37">
              <w:rPr>
                <w:i/>
                <w:snapToGrid w:val="0"/>
              </w:rPr>
              <w:t xml:space="preserve">If </w:t>
            </w:r>
            <w:r w:rsidR="00C6498F" w:rsidRPr="007C2A37">
              <w:rPr>
                <w:i/>
                <w:snapToGrid w:val="0"/>
              </w:rPr>
              <w:t>“</w:t>
            </w:r>
            <w:r w:rsidRPr="007C2A37">
              <w:rPr>
                <w:i/>
                <w:snapToGrid w:val="0"/>
              </w:rPr>
              <w:t>yes,</w:t>
            </w:r>
            <w:r w:rsidR="00C6498F" w:rsidRPr="007C2A37">
              <w:rPr>
                <w:i/>
                <w:snapToGrid w:val="0"/>
              </w:rPr>
              <w:t>”</w:t>
            </w:r>
            <w:r w:rsidRPr="007C2A37">
              <w:rPr>
                <w:i/>
                <w:snapToGrid w:val="0"/>
              </w:rPr>
              <w:t xml:space="preserve"> but fewer than 10 cases met the inclusion criteria for the denominator, skip questions #3-5.</w:t>
            </w:r>
          </w:p>
        </w:tc>
        <w:tc>
          <w:tcPr>
            <w:tcW w:w="2799" w:type="dxa"/>
            <w:vAlign w:val="center"/>
          </w:tcPr>
          <w:p w14:paraId="40FC71C7" w14:textId="77777777" w:rsidR="00C85ABC" w:rsidRPr="007C2A37" w:rsidRDefault="00C85ABC" w:rsidP="00C85ABC">
            <w:pPr>
              <w:jc w:val="center"/>
              <w:rPr>
                <w:i/>
                <w:snapToGrid w:val="0"/>
                <w:color w:val="000000"/>
              </w:rPr>
            </w:pPr>
            <w:r w:rsidRPr="007C2A37">
              <w:rPr>
                <w:i/>
                <w:snapToGrid w:val="0"/>
                <w:color w:val="000000"/>
              </w:rPr>
              <w:t>Yes</w:t>
            </w:r>
          </w:p>
          <w:p w14:paraId="2FA5BFBA" w14:textId="77777777" w:rsidR="00C85ABC" w:rsidRPr="007C2A37" w:rsidRDefault="00C85ABC" w:rsidP="00C85ABC">
            <w:pPr>
              <w:jc w:val="center"/>
              <w:rPr>
                <w:i/>
                <w:snapToGrid w:val="0"/>
                <w:color w:val="000000"/>
              </w:rPr>
            </w:pPr>
            <w:r w:rsidRPr="007C2A37">
              <w:rPr>
                <w:i/>
                <w:snapToGrid w:val="0"/>
                <w:color w:val="000000"/>
              </w:rPr>
              <w:t>No</w:t>
            </w:r>
          </w:p>
          <w:p w14:paraId="04B913A6" w14:textId="77777777" w:rsidR="00C85ABC" w:rsidRPr="007C2A37" w:rsidRDefault="00C85ABC" w:rsidP="00C85ABC">
            <w:pPr>
              <w:jc w:val="center"/>
              <w:rPr>
                <w:i/>
                <w:snapToGrid w:val="0"/>
                <w:color w:val="000000"/>
              </w:rPr>
            </w:pPr>
            <w:r w:rsidRPr="007C2A37">
              <w:rPr>
                <w:i/>
                <w:snapToGrid w:val="0"/>
                <w:color w:val="000000"/>
              </w:rPr>
              <w:t>Yes, but fewer than 10 cases met the inclusion criteria for the denominator</w:t>
            </w:r>
          </w:p>
        </w:tc>
      </w:tr>
      <w:tr w:rsidR="00C85ABC" w:rsidRPr="007C2A37" w14:paraId="370D4C6E" w14:textId="77777777" w:rsidTr="009009D1">
        <w:trPr>
          <w:jc w:val="center"/>
        </w:trPr>
        <w:tc>
          <w:tcPr>
            <w:tcW w:w="6551" w:type="dxa"/>
            <w:vAlign w:val="center"/>
          </w:tcPr>
          <w:p w14:paraId="0E4DFB1C"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Number of cases measured against the guideline</w:t>
            </w:r>
            <w:r w:rsidR="00990C23" w:rsidRPr="007C2A37">
              <w:rPr>
                <w:snapToGrid w:val="0"/>
              </w:rPr>
              <w:t xml:space="preserve">, either </w:t>
            </w:r>
            <w:r w:rsidR="00990C23" w:rsidRPr="006F5A29">
              <w:rPr>
                <w:snapToGrid w:val="0"/>
              </w:rPr>
              <w:t>all cases or a sufficient sample of them</w:t>
            </w:r>
            <w:r w:rsidR="00990C23" w:rsidRPr="007C2A37">
              <w:rPr>
                <w:snapToGrid w:val="0"/>
              </w:rPr>
              <w:t xml:space="preserve"> </w:t>
            </w:r>
            <w:r w:rsidR="009B2B2D" w:rsidRPr="007C2A37">
              <w:rPr>
                <w:snapToGrid w:val="0"/>
              </w:rPr>
              <w:t>(</w:t>
            </w:r>
            <w:r w:rsidRPr="007C2A37">
              <w:rPr>
                <w:b/>
                <w:snapToGrid w:val="0"/>
              </w:rPr>
              <w:t>denominator</w:t>
            </w:r>
            <w:r w:rsidR="009B2B2D" w:rsidRPr="007C2A37">
              <w:rPr>
                <w:snapToGrid w:val="0"/>
              </w:rPr>
              <w:t>)</w:t>
            </w:r>
          </w:p>
        </w:tc>
        <w:tc>
          <w:tcPr>
            <w:tcW w:w="2799" w:type="dxa"/>
          </w:tcPr>
          <w:p w14:paraId="60A729ED" w14:textId="77777777" w:rsidR="00C85ABC" w:rsidRPr="007C2A37" w:rsidRDefault="00C85ABC" w:rsidP="00C85ABC">
            <w:pPr>
              <w:jc w:val="center"/>
              <w:rPr>
                <w:b/>
                <w:snapToGrid w:val="0"/>
                <w:color w:val="000000"/>
              </w:rPr>
            </w:pPr>
          </w:p>
          <w:p w14:paraId="08005140" w14:textId="77777777" w:rsidR="00C85ABC" w:rsidRPr="007C2A37" w:rsidRDefault="00C85ABC" w:rsidP="00C85ABC">
            <w:pPr>
              <w:jc w:val="center"/>
              <w:rPr>
                <w:b/>
                <w:snapToGrid w:val="0"/>
                <w:color w:val="000000"/>
              </w:rPr>
            </w:pPr>
            <w:r w:rsidRPr="007C2A37">
              <w:rPr>
                <w:b/>
                <w:snapToGrid w:val="0"/>
                <w:color w:val="000000"/>
              </w:rPr>
              <w:t>______</w:t>
            </w:r>
          </w:p>
          <w:p w14:paraId="0F39CA29" w14:textId="77777777" w:rsidR="00C85ABC" w:rsidRPr="007C2A37" w:rsidRDefault="00C85ABC" w:rsidP="00C85ABC">
            <w:pPr>
              <w:rPr>
                <w:b/>
                <w:snapToGrid w:val="0"/>
                <w:color w:val="000000"/>
              </w:rPr>
            </w:pPr>
          </w:p>
        </w:tc>
      </w:tr>
      <w:tr w:rsidR="00C85ABC" w:rsidRPr="007C2A37" w14:paraId="7F4FBF67" w14:textId="77777777" w:rsidTr="009009D1">
        <w:trPr>
          <w:jc w:val="center"/>
        </w:trPr>
        <w:tc>
          <w:tcPr>
            <w:tcW w:w="6551" w:type="dxa"/>
            <w:vAlign w:val="center"/>
          </w:tcPr>
          <w:p w14:paraId="1439E105"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 xml:space="preserve">Number of cases in question #3 that </w:t>
            </w:r>
            <w:r w:rsidRPr="007C2A37">
              <w:rPr>
                <w:snapToGrid w:val="0"/>
                <w:color w:val="000000"/>
              </w:rPr>
              <w:t>adhere to the clinical process guideline (</w:t>
            </w:r>
            <w:r w:rsidRPr="007C2A37">
              <w:rPr>
                <w:b/>
                <w:snapToGrid w:val="0"/>
                <w:color w:val="000000"/>
              </w:rPr>
              <w:t>numerator</w:t>
            </w:r>
            <w:r w:rsidRPr="007C2A37">
              <w:rPr>
                <w:snapToGrid w:val="0"/>
                <w:color w:val="000000"/>
              </w:rPr>
              <w:t>)</w:t>
            </w:r>
          </w:p>
        </w:tc>
        <w:tc>
          <w:tcPr>
            <w:tcW w:w="2799" w:type="dxa"/>
          </w:tcPr>
          <w:p w14:paraId="0B7A341E" w14:textId="77777777" w:rsidR="00C85ABC" w:rsidRPr="007C2A37" w:rsidRDefault="00C85ABC" w:rsidP="00C85ABC">
            <w:pPr>
              <w:jc w:val="center"/>
              <w:rPr>
                <w:b/>
                <w:snapToGrid w:val="0"/>
                <w:color w:val="000000"/>
              </w:rPr>
            </w:pPr>
          </w:p>
          <w:p w14:paraId="6A2E1852" w14:textId="77777777" w:rsidR="00C85ABC" w:rsidRPr="007C2A37" w:rsidRDefault="00C85ABC" w:rsidP="00C85ABC">
            <w:pPr>
              <w:jc w:val="center"/>
              <w:rPr>
                <w:b/>
                <w:snapToGrid w:val="0"/>
                <w:color w:val="000000"/>
              </w:rPr>
            </w:pPr>
            <w:r w:rsidRPr="007C2A37">
              <w:rPr>
                <w:b/>
                <w:snapToGrid w:val="0"/>
                <w:color w:val="000000"/>
              </w:rPr>
              <w:t>______</w:t>
            </w:r>
          </w:p>
          <w:p w14:paraId="0567EF30" w14:textId="77777777" w:rsidR="00C85ABC" w:rsidRPr="007C2A37" w:rsidRDefault="00C85ABC" w:rsidP="00C85ABC">
            <w:pPr>
              <w:jc w:val="center"/>
              <w:rPr>
                <w:b/>
                <w:snapToGrid w:val="0"/>
                <w:color w:val="000000"/>
              </w:rPr>
            </w:pPr>
          </w:p>
        </w:tc>
      </w:tr>
      <w:tr w:rsidR="00C85ABC" w:rsidRPr="007C2A37" w14:paraId="79098F6B" w14:textId="77777777" w:rsidTr="009009D1">
        <w:trPr>
          <w:jc w:val="center"/>
        </w:trPr>
        <w:tc>
          <w:tcPr>
            <w:tcW w:w="6551" w:type="dxa"/>
            <w:vAlign w:val="center"/>
          </w:tcPr>
          <w:p w14:paraId="316ED0C0"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color w:val="000000"/>
              </w:rPr>
              <w:t xml:space="preserve">Do the responses in questions #3 and #4 represent a sample of cases? </w:t>
            </w:r>
          </w:p>
        </w:tc>
        <w:tc>
          <w:tcPr>
            <w:tcW w:w="2799" w:type="dxa"/>
          </w:tcPr>
          <w:p w14:paraId="034B12D2" w14:textId="77777777" w:rsidR="00C85ABC" w:rsidRPr="007C2A37" w:rsidRDefault="00C85ABC" w:rsidP="00C85ABC">
            <w:pPr>
              <w:jc w:val="center"/>
              <w:rPr>
                <w:i/>
                <w:snapToGrid w:val="0"/>
                <w:color w:val="000000"/>
              </w:rPr>
            </w:pPr>
            <w:r w:rsidRPr="007C2A37">
              <w:rPr>
                <w:i/>
                <w:snapToGrid w:val="0"/>
                <w:color w:val="000000"/>
              </w:rPr>
              <w:t>Yes</w:t>
            </w:r>
          </w:p>
          <w:p w14:paraId="721DB730" w14:textId="77777777" w:rsidR="00C85ABC" w:rsidRPr="007C2A37" w:rsidRDefault="00C85ABC" w:rsidP="00C85ABC">
            <w:pPr>
              <w:jc w:val="center"/>
              <w:rPr>
                <w:i/>
                <w:snapToGrid w:val="0"/>
                <w:color w:val="000000"/>
              </w:rPr>
            </w:pPr>
            <w:r w:rsidRPr="007C2A37">
              <w:rPr>
                <w:i/>
                <w:snapToGrid w:val="0"/>
                <w:color w:val="000000"/>
              </w:rPr>
              <w:t>No</w:t>
            </w:r>
          </w:p>
        </w:tc>
      </w:tr>
    </w:tbl>
    <w:p w14:paraId="096B54A8" w14:textId="77777777" w:rsidR="000D6054" w:rsidRPr="007C2A37" w:rsidRDefault="000D6054"/>
    <w:tbl>
      <w:tblPr>
        <w:tblStyle w:val="TableGrid"/>
        <w:tblW w:w="0" w:type="auto"/>
        <w:jc w:val="center"/>
        <w:tblLook w:val="04A0" w:firstRow="1" w:lastRow="0" w:firstColumn="1" w:lastColumn="0" w:noHBand="0" w:noVBand="1"/>
      </w:tblPr>
      <w:tblGrid>
        <w:gridCol w:w="6551"/>
        <w:gridCol w:w="2799"/>
      </w:tblGrid>
      <w:tr w:rsidR="000D6054" w:rsidRPr="007C2A37" w14:paraId="1A3C4BD9" w14:textId="77777777" w:rsidTr="009009D1">
        <w:trPr>
          <w:jc w:val="center"/>
        </w:trPr>
        <w:tc>
          <w:tcPr>
            <w:tcW w:w="9350" w:type="dxa"/>
            <w:gridSpan w:val="2"/>
          </w:tcPr>
          <w:p w14:paraId="65F59AB0" w14:textId="1C5392F3" w:rsidR="000D6054" w:rsidRPr="00794E67" w:rsidRDefault="000D6054" w:rsidP="00794E67">
            <w:pPr>
              <w:rPr>
                <w:b/>
                <w:snapToGrid w:val="0"/>
              </w:rPr>
            </w:pPr>
            <w:r w:rsidRPr="00794E67">
              <w:rPr>
                <w:b/>
                <w:snapToGrid w:val="0"/>
              </w:rPr>
              <w:t>Appropriate DVT Prophylaxis in Women Undergoing Cesarean Section</w:t>
            </w:r>
          </w:p>
        </w:tc>
      </w:tr>
      <w:tr w:rsidR="00C85ABC" w:rsidRPr="007C2A37" w14:paraId="5A592F17" w14:textId="77777777" w:rsidTr="009009D1">
        <w:trPr>
          <w:jc w:val="center"/>
        </w:trPr>
        <w:tc>
          <w:tcPr>
            <w:tcW w:w="6551" w:type="dxa"/>
            <w:vAlign w:val="center"/>
          </w:tcPr>
          <w:p w14:paraId="16368B9E" w14:textId="77777777" w:rsidR="00C85ABC" w:rsidRPr="007C2A37" w:rsidRDefault="00C85ABC" w:rsidP="00ED58C1">
            <w:pPr>
              <w:pStyle w:val="ListParagraph"/>
              <w:numPr>
                <w:ilvl w:val="0"/>
                <w:numId w:val="81"/>
              </w:numPr>
              <w:rPr>
                <w:snapToGrid w:val="0"/>
                <w:color w:val="000000"/>
              </w:rPr>
            </w:pPr>
            <w:r w:rsidRPr="007C2A37">
              <w:rPr>
                <w:snapToGrid w:val="0"/>
                <w:color w:val="000000"/>
              </w:rPr>
              <w:t>9-month reporting time period used:</w:t>
            </w:r>
          </w:p>
        </w:tc>
        <w:tc>
          <w:tcPr>
            <w:tcW w:w="2799" w:type="dxa"/>
          </w:tcPr>
          <w:p w14:paraId="4596E053" w14:textId="77777777" w:rsidR="00C85ABC" w:rsidRPr="007C2A37" w:rsidRDefault="00C85ABC" w:rsidP="00ED58C1">
            <w:pPr>
              <w:pStyle w:val="ListParagraph"/>
              <w:numPr>
                <w:ilvl w:val="0"/>
                <w:numId w:val="51"/>
              </w:numPr>
              <w:rPr>
                <w:i/>
              </w:rPr>
            </w:pPr>
            <w:r w:rsidRPr="007C2A37">
              <w:t>01/01/2015 - 09/30/2015</w:t>
            </w:r>
          </w:p>
          <w:p w14:paraId="4828A545" w14:textId="77777777" w:rsidR="00C85ABC" w:rsidRPr="007C2A37" w:rsidRDefault="00C85ABC" w:rsidP="00ED58C1">
            <w:pPr>
              <w:pStyle w:val="ListParagraph"/>
              <w:numPr>
                <w:ilvl w:val="0"/>
                <w:numId w:val="51"/>
              </w:numPr>
              <w:rPr>
                <w:i/>
              </w:rPr>
            </w:pPr>
            <w:r w:rsidRPr="007C2A37">
              <w:t>10/01/2015 - 06/30/2016</w:t>
            </w:r>
          </w:p>
        </w:tc>
      </w:tr>
      <w:tr w:rsidR="00C85ABC" w:rsidRPr="007C2A37" w14:paraId="7B7D6FE6" w14:textId="77777777" w:rsidTr="009009D1">
        <w:trPr>
          <w:trHeight w:val="737"/>
          <w:jc w:val="center"/>
        </w:trPr>
        <w:tc>
          <w:tcPr>
            <w:tcW w:w="6551" w:type="dxa"/>
            <w:vAlign w:val="center"/>
          </w:tcPr>
          <w:p w14:paraId="385940CA" w14:textId="017BECB1" w:rsidR="00C85ABC" w:rsidRPr="00794E67" w:rsidRDefault="00C85ABC" w:rsidP="00794E67">
            <w:pPr>
              <w:numPr>
                <w:ilvl w:val="0"/>
                <w:numId w:val="81"/>
              </w:numPr>
              <w:spacing w:before="80" w:after="240"/>
              <w:rPr>
                <w:snapToGrid w:val="0"/>
                <w:color w:val="000000"/>
              </w:rPr>
            </w:pPr>
            <w:r w:rsidRPr="007C2A37">
              <w:rPr>
                <w:snapToGrid w:val="0"/>
              </w:rPr>
              <w:t xml:space="preserve">Has your hospital </w:t>
            </w:r>
            <w:r w:rsidRPr="007C2A37">
              <w:rPr>
                <w:snapToGrid w:val="0"/>
                <w:color w:val="000000"/>
              </w:rPr>
              <w:t xml:space="preserve">performed a medical record audit on </w:t>
            </w:r>
            <w:r w:rsidRPr="007C2A37">
              <w:rPr>
                <w:snapToGrid w:val="0"/>
              </w:rPr>
              <w:t xml:space="preserve">all cases </w:t>
            </w:r>
            <w:r w:rsidRPr="003310BB">
              <w:rPr>
                <w:snapToGrid w:val="0"/>
              </w:rPr>
              <w:t>(or a sufficient sample of them</w:t>
            </w:r>
            <w:r w:rsidRPr="007C2A37">
              <w:rPr>
                <w:snapToGrid w:val="0"/>
              </w:rPr>
              <w:t>)</w:t>
            </w:r>
            <w:r w:rsidRPr="007C2A37">
              <w:rPr>
                <w:snapToGrid w:val="0"/>
                <w:color w:val="000000"/>
              </w:rPr>
              <w:t xml:space="preserve"> for the Reporting Time Period </w:t>
            </w:r>
            <w:r w:rsidRPr="007C2A37">
              <w:rPr>
                <w:b/>
                <w:snapToGrid w:val="0"/>
                <w:color w:val="000000"/>
              </w:rPr>
              <w:t>and</w:t>
            </w:r>
            <w:r w:rsidRPr="007C2A37">
              <w:rPr>
                <w:snapToGrid w:val="0"/>
                <w:color w:val="000000"/>
              </w:rPr>
              <w:t xml:space="preserve"> measured adherence to the appropriate DVT prophylaxis in women undergoing cesarean section clinical guideline?</w:t>
            </w:r>
          </w:p>
          <w:p w14:paraId="531748D1" w14:textId="77777777" w:rsidR="00C85ABC" w:rsidRPr="007C2A37" w:rsidRDefault="00C85ABC" w:rsidP="00794E67">
            <w:pPr>
              <w:pStyle w:val="ListParagraph"/>
              <w:spacing w:before="80" w:after="80"/>
              <w:ind w:left="360"/>
              <w:rPr>
                <w:b/>
                <w:snapToGrid w:val="0"/>
                <w:color w:val="000000"/>
              </w:rPr>
            </w:pPr>
            <w:r w:rsidRPr="007C2A37">
              <w:rPr>
                <w:i/>
                <w:snapToGrid w:val="0"/>
              </w:rPr>
              <w:t xml:space="preserve">If </w:t>
            </w:r>
            <w:r w:rsidR="00C6498F" w:rsidRPr="007C2A37">
              <w:rPr>
                <w:i/>
                <w:snapToGrid w:val="0"/>
              </w:rPr>
              <w:t>“</w:t>
            </w:r>
            <w:r w:rsidRPr="007C2A37">
              <w:rPr>
                <w:i/>
                <w:snapToGrid w:val="0"/>
              </w:rPr>
              <w:t>yes,</w:t>
            </w:r>
            <w:r w:rsidR="00C6498F" w:rsidRPr="007C2A37">
              <w:rPr>
                <w:i/>
                <w:snapToGrid w:val="0"/>
              </w:rPr>
              <w:t>”</w:t>
            </w:r>
            <w:r w:rsidRPr="007C2A37">
              <w:rPr>
                <w:i/>
                <w:snapToGrid w:val="0"/>
              </w:rPr>
              <w:t xml:space="preserve"> but fewer than 10 cases met the inclusion criteria for the denominator, skip questions #</w:t>
            </w:r>
            <w:r w:rsidR="003E3803" w:rsidRPr="007C2A37">
              <w:rPr>
                <w:i/>
                <w:snapToGrid w:val="0"/>
              </w:rPr>
              <w:t>8-10</w:t>
            </w:r>
            <w:r w:rsidRPr="007C2A37">
              <w:rPr>
                <w:i/>
                <w:snapToGrid w:val="0"/>
              </w:rPr>
              <w:t>.</w:t>
            </w:r>
          </w:p>
        </w:tc>
        <w:tc>
          <w:tcPr>
            <w:tcW w:w="2799" w:type="dxa"/>
            <w:vAlign w:val="center"/>
          </w:tcPr>
          <w:p w14:paraId="3F51660C" w14:textId="77777777" w:rsidR="00C85ABC" w:rsidRPr="007C2A37" w:rsidRDefault="00C85ABC" w:rsidP="00C85ABC">
            <w:pPr>
              <w:jc w:val="center"/>
              <w:rPr>
                <w:i/>
                <w:snapToGrid w:val="0"/>
                <w:color w:val="000000"/>
              </w:rPr>
            </w:pPr>
            <w:r w:rsidRPr="007C2A37">
              <w:rPr>
                <w:i/>
                <w:snapToGrid w:val="0"/>
                <w:color w:val="000000"/>
              </w:rPr>
              <w:t>Yes</w:t>
            </w:r>
          </w:p>
          <w:p w14:paraId="30C4B852" w14:textId="77777777" w:rsidR="00C85ABC" w:rsidRPr="007C2A37" w:rsidRDefault="00C85ABC" w:rsidP="00C85ABC">
            <w:pPr>
              <w:jc w:val="center"/>
              <w:rPr>
                <w:i/>
                <w:snapToGrid w:val="0"/>
                <w:color w:val="000000"/>
              </w:rPr>
            </w:pPr>
            <w:r w:rsidRPr="007C2A37">
              <w:rPr>
                <w:i/>
                <w:snapToGrid w:val="0"/>
                <w:color w:val="000000"/>
              </w:rPr>
              <w:t>No</w:t>
            </w:r>
          </w:p>
          <w:p w14:paraId="05DFF317" w14:textId="77777777" w:rsidR="00C85ABC" w:rsidRPr="007C2A37" w:rsidRDefault="00C85ABC" w:rsidP="00C85ABC">
            <w:pPr>
              <w:jc w:val="center"/>
              <w:rPr>
                <w:i/>
                <w:snapToGrid w:val="0"/>
                <w:color w:val="000000"/>
              </w:rPr>
            </w:pPr>
            <w:r w:rsidRPr="007C2A37">
              <w:rPr>
                <w:i/>
                <w:snapToGrid w:val="0"/>
                <w:color w:val="000000"/>
              </w:rPr>
              <w:t>Yes, but fewer than 10 cases met the inclusion criteria for the denominator</w:t>
            </w:r>
          </w:p>
        </w:tc>
      </w:tr>
      <w:tr w:rsidR="00C85ABC" w:rsidRPr="007C2A37" w14:paraId="75D929A3" w14:textId="77777777" w:rsidTr="009009D1">
        <w:trPr>
          <w:jc w:val="center"/>
        </w:trPr>
        <w:tc>
          <w:tcPr>
            <w:tcW w:w="6551" w:type="dxa"/>
            <w:vAlign w:val="center"/>
          </w:tcPr>
          <w:p w14:paraId="163AD3C0" w14:textId="77777777" w:rsidR="00C85ABC" w:rsidRPr="007C2A37" w:rsidRDefault="00990C23" w:rsidP="00794E67">
            <w:pPr>
              <w:pStyle w:val="ListParagraph"/>
              <w:numPr>
                <w:ilvl w:val="0"/>
                <w:numId w:val="81"/>
              </w:numPr>
              <w:spacing w:before="80" w:after="80"/>
              <w:rPr>
                <w:snapToGrid w:val="0"/>
                <w:color w:val="000000"/>
              </w:rPr>
            </w:pPr>
            <w:r w:rsidRPr="007C2A37">
              <w:rPr>
                <w:snapToGrid w:val="0"/>
              </w:rPr>
              <w:t xml:space="preserve">Number of cases measured against the guideline, </w:t>
            </w:r>
            <w:r w:rsidRPr="006F5A29">
              <w:rPr>
                <w:snapToGrid w:val="0"/>
              </w:rPr>
              <w:t>either all cases or a sufficient sample of them</w:t>
            </w:r>
            <w:r w:rsidRPr="007C2A37">
              <w:rPr>
                <w:snapToGrid w:val="0"/>
              </w:rPr>
              <w:t xml:space="preserve"> (</w:t>
            </w:r>
            <w:r w:rsidRPr="007C2A37">
              <w:rPr>
                <w:b/>
                <w:snapToGrid w:val="0"/>
              </w:rPr>
              <w:t>denominator</w:t>
            </w:r>
            <w:r w:rsidRPr="007C2A37">
              <w:rPr>
                <w:snapToGrid w:val="0"/>
              </w:rPr>
              <w:t>)</w:t>
            </w:r>
          </w:p>
        </w:tc>
        <w:tc>
          <w:tcPr>
            <w:tcW w:w="2799" w:type="dxa"/>
          </w:tcPr>
          <w:p w14:paraId="69DA36B4" w14:textId="77777777" w:rsidR="00C85ABC" w:rsidRPr="007C2A37" w:rsidRDefault="00C85ABC" w:rsidP="00C85ABC">
            <w:pPr>
              <w:jc w:val="center"/>
              <w:rPr>
                <w:b/>
                <w:snapToGrid w:val="0"/>
                <w:color w:val="000000"/>
              </w:rPr>
            </w:pPr>
          </w:p>
          <w:p w14:paraId="73717BF1" w14:textId="77777777" w:rsidR="00C85ABC" w:rsidRPr="007C2A37" w:rsidRDefault="00C85ABC" w:rsidP="00C85ABC">
            <w:pPr>
              <w:jc w:val="center"/>
              <w:rPr>
                <w:b/>
                <w:snapToGrid w:val="0"/>
                <w:color w:val="000000"/>
              </w:rPr>
            </w:pPr>
            <w:r w:rsidRPr="007C2A37">
              <w:rPr>
                <w:b/>
                <w:snapToGrid w:val="0"/>
                <w:color w:val="000000"/>
              </w:rPr>
              <w:t>______</w:t>
            </w:r>
          </w:p>
          <w:p w14:paraId="63ACC39C" w14:textId="77777777" w:rsidR="00C85ABC" w:rsidRPr="007C2A37" w:rsidRDefault="00C85ABC" w:rsidP="00C85ABC">
            <w:pPr>
              <w:rPr>
                <w:b/>
                <w:snapToGrid w:val="0"/>
                <w:color w:val="000000"/>
              </w:rPr>
            </w:pPr>
          </w:p>
        </w:tc>
      </w:tr>
      <w:tr w:rsidR="00C85ABC" w:rsidRPr="007C2A37" w14:paraId="1ADD46FA" w14:textId="77777777" w:rsidTr="009009D1">
        <w:trPr>
          <w:jc w:val="center"/>
        </w:trPr>
        <w:tc>
          <w:tcPr>
            <w:tcW w:w="6551" w:type="dxa"/>
            <w:vAlign w:val="center"/>
          </w:tcPr>
          <w:p w14:paraId="271F369F"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 xml:space="preserve">Number of cases in question #8 that </w:t>
            </w:r>
            <w:r w:rsidRPr="007C2A37">
              <w:rPr>
                <w:snapToGrid w:val="0"/>
                <w:color w:val="000000"/>
              </w:rPr>
              <w:t>adhere to the  clinical process guideline (</w:t>
            </w:r>
            <w:r w:rsidRPr="007C2A37">
              <w:rPr>
                <w:b/>
                <w:snapToGrid w:val="0"/>
                <w:color w:val="000000"/>
              </w:rPr>
              <w:t>numerator</w:t>
            </w:r>
            <w:r w:rsidRPr="007C2A37">
              <w:rPr>
                <w:snapToGrid w:val="0"/>
                <w:color w:val="000000"/>
              </w:rPr>
              <w:t>)</w:t>
            </w:r>
          </w:p>
        </w:tc>
        <w:tc>
          <w:tcPr>
            <w:tcW w:w="2799" w:type="dxa"/>
          </w:tcPr>
          <w:p w14:paraId="737F3485" w14:textId="77777777" w:rsidR="00C85ABC" w:rsidRPr="007C2A37" w:rsidRDefault="00C85ABC" w:rsidP="00C85ABC">
            <w:pPr>
              <w:jc w:val="center"/>
              <w:rPr>
                <w:b/>
                <w:snapToGrid w:val="0"/>
                <w:color w:val="000000"/>
              </w:rPr>
            </w:pPr>
          </w:p>
          <w:p w14:paraId="720ECC72" w14:textId="77777777" w:rsidR="00C85ABC" w:rsidRPr="007C2A37" w:rsidRDefault="00C85ABC" w:rsidP="00C85ABC">
            <w:pPr>
              <w:jc w:val="center"/>
              <w:rPr>
                <w:b/>
                <w:snapToGrid w:val="0"/>
                <w:color w:val="000000"/>
              </w:rPr>
            </w:pPr>
            <w:r w:rsidRPr="007C2A37">
              <w:rPr>
                <w:b/>
                <w:snapToGrid w:val="0"/>
                <w:color w:val="000000"/>
              </w:rPr>
              <w:t>______</w:t>
            </w:r>
          </w:p>
          <w:p w14:paraId="3CC6349D" w14:textId="77777777" w:rsidR="00C85ABC" w:rsidRPr="007C2A37" w:rsidRDefault="00C85ABC" w:rsidP="00C85ABC">
            <w:pPr>
              <w:jc w:val="center"/>
              <w:rPr>
                <w:b/>
                <w:snapToGrid w:val="0"/>
                <w:color w:val="000000"/>
              </w:rPr>
            </w:pPr>
          </w:p>
        </w:tc>
      </w:tr>
      <w:tr w:rsidR="00C85ABC" w:rsidRPr="0062793D" w14:paraId="5B4737E7" w14:textId="77777777" w:rsidTr="009009D1">
        <w:trPr>
          <w:jc w:val="center"/>
        </w:trPr>
        <w:tc>
          <w:tcPr>
            <w:tcW w:w="6551" w:type="dxa"/>
            <w:vAlign w:val="center"/>
          </w:tcPr>
          <w:p w14:paraId="35F8936D"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color w:val="000000"/>
              </w:rPr>
              <w:t xml:space="preserve">Do the responses in questions #8 and #9 represent a sample of cases? </w:t>
            </w:r>
          </w:p>
        </w:tc>
        <w:tc>
          <w:tcPr>
            <w:tcW w:w="2799" w:type="dxa"/>
          </w:tcPr>
          <w:p w14:paraId="1C3C95B1" w14:textId="77777777" w:rsidR="00C85ABC" w:rsidRPr="007C2A37" w:rsidRDefault="00C85ABC" w:rsidP="00C85ABC">
            <w:pPr>
              <w:jc w:val="center"/>
              <w:rPr>
                <w:i/>
                <w:snapToGrid w:val="0"/>
                <w:color w:val="000000"/>
              </w:rPr>
            </w:pPr>
            <w:r w:rsidRPr="007C2A37">
              <w:rPr>
                <w:i/>
                <w:snapToGrid w:val="0"/>
                <w:color w:val="000000"/>
              </w:rPr>
              <w:t>Yes</w:t>
            </w:r>
          </w:p>
          <w:p w14:paraId="5B4759A7" w14:textId="77777777" w:rsidR="00C85ABC" w:rsidRPr="0062793D" w:rsidRDefault="00C85ABC" w:rsidP="00C85ABC">
            <w:pPr>
              <w:jc w:val="center"/>
              <w:rPr>
                <w:i/>
                <w:snapToGrid w:val="0"/>
                <w:color w:val="000000"/>
              </w:rPr>
            </w:pPr>
            <w:r w:rsidRPr="007C2A37">
              <w:rPr>
                <w:i/>
                <w:snapToGrid w:val="0"/>
                <w:color w:val="000000"/>
              </w:rPr>
              <w:t>No</w:t>
            </w:r>
          </w:p>
        </w:tc>
      </w:tr>
    </w:tbl>
    <w:p w14:paraId="563889C2" w14:textId="77777777" w:rsidR="006E50EF" w:rsidRPr="00AA655F" w:rsidRDefault="006E50EF" w:rsidP="007D1EA1">
      <w:pPr>
        <w:rPr>
          <w:b/>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8"/>
        <w:gridCol w:w="2430"/>
      </w:tblGrid>
      <w:tr w:rsidR="006E50EF" w14:paraId="45404C9C" w14:textId="77777777" w:rsidTr="0070197E">
        <w:trPr>
          <w:cantSplit/>
          <w:trHeight w:val="232"/>
        </w:trPr>
        <w:tc>
          <w:tcPr>
            <w:tcW w:w="9468" w:type="dxa"/>
            <w:gridSpan w:val="2"/>
            <w:tcBorders>
              <w:top w:val="single" w:sz="24" w:space="0" w:color="auto"/>
              <w:left w:val="nil"/>
              <w:right w:val="nil"/>
            </w:tcBorders>
          </w:tcPr>
          <w:p w14:paraId="5209C672" w14:textId="77777777" w:rsidR="006E50EF" w:rsidRDefault="006E50EF" w:rsidP="0070197E">
            <w:pPr>
              <w:pStyle w:val="Header"/>
              <w:tabs>
                <w:tab w:val="clear" w:pos="4320"/>
                <w:tab w:val="clear" w:pos="8640"/>
              </w:tabs>
              <w:rPr>
                <w:snapToGrid w:val="0"/>
              </w:rPr>
            </w:pPr>
          </w:p>
          <w:p w14:paraId="5C0EDDA0" w14:textId="77777777" w:rsidR="006E50EF" w:rsidRDefault="006E50EF" w:rsidP="00954B73">
            <w:pPr>
              <w:pStyle w:val="Heading2"/>
              <w:rPr>
                <w:snapToGrid w:val="0"/>
              </w:rPr>
            </w:pPr>
            <w:bookmarkStart w:id="146" w:name="_Toc447195012"/>
            <w:r w:rsidRPr="00EA5A94">
              <w:rPr>
                <w:snapToGrid w:val="0"/>
              </w:rPr>
              <w:t>4</w:t>
            </w:r>
            <w:r w:rsidR="00961071">
              <w:rPr>
                <w:snapToGrid w:val="0"/>
              </w:rPr>
              <w:t>F</w:t>
            </w:r>
            <w:r w:rsidRPr="00EA5A94">
              <w:rPr>
                <w:snapToGrid w:val="0"/>
              </w:rPr>
              <w:t>:High-Risk Deliveries</w:t>
            </w:r>
            <w:bookmarkEnd w:id="146"/>
          </w:p>
          <w:p w14:paraId="415937A4" w14:textId="77777777" w:rsidR="006E50EF" w:rsidRDefault="006E50EF" w:rsidP="007A44CB">
            <w:pPr>
              <w:pStyle w:val="Heading3"/>
              <w:rPr>
                <w:snapToGrid w:val="0"/>
              </w:rPr>
            </w:pPr>
          </w:p>
          <w:p w14:paraId="16B8535D" w14:textId="77777777" w:rsidR="006E50EF" w:rsidRDefault="006E50EF" w:rsidP="007A44CB">
            <w:pPr>
              <w:pStyle w:val="Heading3"/>
            </w:pPr>
            <w:bookmarkStart w:id="147" w:name="_Toc447195013"/>
            <w:r>
              <w:rPr>
                <w:snapToGrid w:val="0"/>
              </w:rPr>
              <w:t>High-Risk Deliveries</w:t>
            </w:r>
            <w:bookmarkEnd w:id="147"/>
          </w:p>
          <w:p w14:paraId="3862E6E2" w14:textId="77777777" w:rsidR="006E50EF" w:rsidRDefault="006E50EF" w:rsidP="0070197E">
            <w:pPr>
              <w:pStyle w:val="Header"/>
              <w:tabs>
                <w:tab w:val="clear" w:pos="4320"/>
                <w:tab w:val="clear" w:pos="8640"/>
              </w:tabs>
              <w:rPr>
                <w:b/>
                <w:snapToGrid w:val="0"/>
              </w:rPr>
            </w:pPr>
          </w:p>
        </w:tc>
      </w:tr>
      <w:tr w:rsidR="006E50EF" w14:paraId="54597A87" w14:textId="77777777" w:rsidTr="003F763E">
        <w:trPr>
          <w:trHeight w:val="602"/>
        </w:trPr>
        <w:tc>
          <w:tcPr>
            <w:tcW w:w="7038" w:type="dxa"/>
            <w:vAlign w:val="center"/>
          </w:tcPr>
          <w:p w14:paraId="4EC7D4B6" w14:textId="77777777" w:rsidR="006E50EF" w:rsidRDefault="006E50EF" w:rsidP="001A1E9B">
            <w:pPr>
              <w:numPr>
                <w:ilvl w:val="0"/>
                <w:numId w:val="15"/>
              </w:numPr>
              <w:spacing w:before="120"/>
              <w:rPr>
                <w:snapToGrid w:val="0"/>
                <w:color w:val="000000"/>
              </w:rPr>
            </w:pPr>
            <w:r>
              <w:rPr>
                <w:snapToGrid w:val="0"/>
              </w:rPr>
              <w:t xml:space="preserve">Does your hospital </w:t>
            </w:r>
            <w:hyperlink w:anchor="Endnote22" w:history="1">
              <w:r w:rsidRPr="005C141D">
                <w:rPr>
                  <w:rStyle w:val="Hyperlink"/>
                  <w:snapToGrid w:val="0"/>
                </w:rPr>
                <w:t xml:space="preserve">electively admit </w:t>
              </w:r>
              <w:r w:rsidRPr="005C141D">
                <w:rPr>
                  <w:rStyle w:val="Hyperlink"/>
                </w:rPr>
                <w:t>high-risk deliveries</w:t>
              </w:r>
            </w:hyperlink>
            <w:r w:rsidRPr="00184F4D">
              <w:rPr>
                <w:rStyle w:val="EndnoteReference"/>
              </w:rPr>
              <w:endnoteReference w:id="23"/>
            </w:r>
            <w:r w:rsidRPr="00184F4D">
              <w:rPr>
                <w:snapToGrid w:val="0"/>
              </w:rPr>
              <w:t>?</w:t>
            </w:r>
          </w:p>
          <w:p w14:paraId="6338345D" w14:textId="77777777" w:rsidR="005B447F" w:rsidRDefault="005B447F" w:rsidP="003F763E">
            <w:pPr>
              <w:ind w:left="360"/>
              <w:rPr>
                <w:i/>
                <w:snapToGrid w:val="0"/>
                <w:color w:val="000000"/>
              </w:rPr>
            </w:pPr>
          </w:p>
          <w:p w14:paraId="7E3DC35A" w14:textId="77777777" w:rsidR="006E50EF" w:rsidRDefault="00166B81" w:rsidP="001A1E9B">
            <w:pPr>
              <w:spacing w:after="120"/>
              <w:ind w:left="360"/>
              <w:rPr>
                <w:i/>
                <w:snapToGrid w:val="0"/>
                <w:color w:val="000000"/>
              </w:rPr>
            </w:pPr>
            <w:r>
              <w:rPr>
                <w:i/>
                <w:snapToGrid w:val="0"/>
                <w:color w:val="000000"/>
              </w:rPr>
              <w:t>If “no,”</w:t>
            </w:r>
            <w:r w:rsidR="006E50EF">
              <w:rPr>
                <w:i/>
                <w:snapToGrid w:val="0"/>
                <w:color w:val="000000"/>
              </w:rPr>
              <w:t xml:space="preserve"> </w:t>
            </w:r>
            <w:r w:rsidR="00551848" w:rsidRPr="0029519D">
              <w:rPr>
                <w:i/>
                <w:snapToGrid w:val="0"/>
              </w:rPr>
              <w:t>skip questions #</w:t>
            </w:r>
            <w:r w:rsidR="00551848">
              <w:rPr>
                <w:i/>
                <w:snapToGrid w:val="0"/>
              </w:rPr>
              <w:t>2</w:t>
            </w:r>
            <w:r w:rsidR="00551848" w:rsidRPr="0029519D">
              <w:rPr>
                <w:i/>
                <w:snapToGrid w:val="0"/>
              </w:rPr>
              <w:t>-</w:t>
            </w:r>
            <w:r w:rsidR="00551848">
              <w:rPr>
                <w:i/>
                <w:snapToGrid w:val="0"/>
              </w:rPr>
              <w:t>17</w:t>
            </w:r>
            <w:r w:rsidR="00551848" w:rsidRPr="0029519D">
              <w:rPr>
                <w:i/>
                <w:snapToGrid w:val="0"/>
              </w:rPr>
              <w:t>, and move on to the next section.</w:t>
            </w:r>
          </w:p>
        </w:tc>
        <w:tc>
          <w:tcPr>
            <w:tcW w:w="2430" w:type="dxa"/>
            <w:vAlign w:val="center"/>
          </w:tcPr>
          <w:p w14:paraId="227C3F4B" w14:textId="77777777" w:rsidR="006E50EF" w:rsidRDefault="006E50EF" w:rsidP="003F763E">
            <w:pPr>
              <w:jc w:val="center"/>
              <w:rPr>
                <w:i/>
                <w:snapToGrid w:val="0"/>
              </w:rPr>
            </w:pPr>
            <w:r>
              <w:rPr>
                <w:i/>
                <w:snapToGrid w:val="0"/>
              </w:rPr>
              <w:t>Yes</w:t>
            </w:r>
          </w:p>
          <w:p w14:paraId="1394F3CB" w14:textId="77777777" w:rsidR="006E50EF" w:rsidRDefault="006E50EF" w:rsidP="003F763E">
            <w:pPr>
              <w:jc w:val="center"/>
              <w:rPr>
                <w:i/>
                <w:snapToGrid w:val="0"/>
              </w:rPr>
            </w:pPr>
            <w:r>
              <w:rPr>
                <w:i/>
                <w:snapToGrid w:val="0"/>
              </w:rPr>
              <w:t>No</w:t>
            </w:r>
          </w:p>
        </w:tc>
      </w:tr>
      <w:tr w:rsidR="006E50EF" w14:paraId="5E30BDAB" w14:textId="77777777" w:rsidTr="00A51136">
        <w:trPr>
          <w:trHeight w:val="2240"/>
        </w:trPr>
        <w:tc>
          <w:tcPr>
            <w:tcW w:w="7038" w:type="dxa"/>
            <w:vAlign w:val="center"/>
          </w:tcPr>
          <w:p w14:paraId="07BE6756" w14:textId="77777777" w:rsidR="005B447F" w:rsidRPr="005B447F" w:rsidRDefault="006E50EF" w:rsidP="001A1E9B">
            <w:pPr>
              <w:numPr>
                <w:ilvl w:val="0"/>
                <w:numId w:val="15"/>
              </w:numPr>
              <w:spacing w:before="120"/>
              <w:rPr>
                <w:snapToGrid w:val="0"/>
              </w:rPr>
            </w:pPr>
            <w:r w:rsidRPr="00AA2107">
              <w:rPr>
                <w:snapToGrid w:val="0"/>
                <w:color w:val="000000"/>
              </w:rPr>
              <w:t xml:space="preserve">Does your hospital operate a neonatal ICU, or is it </w:t>
            </w:r>
            <w:hyperlink w:anchor="Endnote23" w:history="1">
              <w:r w:rsidRPr="005C141D">
                <w:rPr>
                  <w:rStyle w:val="Hyperlink"/>
                  <w:snapToGrid w:val="0"/>
                </w:rPr>
                <w:t>co-located</w:t>
              </w:r>
            </w:hyperlink>
            <w:r w:rsidRPr="00184F4D">
              <w:rPr>
                <w:rStyle w:val="EndnoteReference"/>
                <w:snapToGrid w:val="0"/>
                <w:color w:val="000000"/>
              </w:rPr>
              <w:endnoteReference w:id="24"/>
            </w:r>
            <w:r w:rsidRPr="00AA2107">
              <w:rPr>
                <w:snapToGrid w:val="0"/>
                <w:color w:val="000000"/>
              </w:rPr>
              <w:t xml:space="preserve"> with a hospital that operates a NICU, that admits or accepts transfers of </w:t>
            </w:r>
            <w:hyperlink w:anchor="Endnote24" w:history="1">
              <w:r w:rsidRPr="005C141D">
                <w:rPr>
                  <w:rStyle w:val="Hyperlink"/>
                  <w:snapToGrid w:val="0"/>
                </w:rPr>
                <w:t>very-low birth weight babies</w:t>
              </w:r>
            </w:hyperlink>
            <w:r w:rsidRPr="00184F4D">
              <w:rPr>
                <w:rStyle w:val="EndnoteReference"/>
                <w:snapToGrid w:val="0"/>
                <w:color w:val="000000"/>
              </w:rPr>
              <w:endnoteReference w:id="25"/>
            </w:r>
            <w:r w:rsidRPr="00184F4D">
              <w:rPr>
                <w:snapToGrid w:val="0"/>
                <w:color w:val="000000"/>
              </w:rPr>
              <w:t>?</w:t>
            </w:r>
            <w:r w:rsidRPr="00AA2107">
              <w:rPr>
                <w:snapToGrid w:val="0"/>
                <w:color w:val="000000"/>
              </w:rPr>
              <w:br/>
              <w:t xml:space="preserve"> </w:t>
            </w:r>
          </w:p>
          <w:p w14:paraId="2E8EFD00" w14:textId="77777777" w:rsidR="006E50EF" w:rsidRPr="00AA2107" w:rsidRDefault="00166B81" w:rsidP="005B447F">
            <w:pPr>
              <w:ind w:left="360"/>
              <w:rPr>
                <w:snapToGrid w:val="0"/>
              </w:rPr>
            </w:pPr>
            <w:r>
              <w:rPr>
                <w:i/>
                <w:snapToGrid w:val="0"/>
                <w:color w:val="000000"/>
              </w:rPr>
              <w:t>If “no,”</w:t>
            </w:r>
            <w:r w:rsidR="00AA655F" w:rsidRPr="00AA2107">
              <w:rPr>
                <w:i/>
                <w:snapToGrid w:val="0"/>
                <w:color w:val="000000"/>
              </w:rPr>
              <w:t xml:space="preserve"> </w:t>
            </w:r>
            <w:r w:rsidR="00BF726E" w:rsidRPr="00AA2107">
              <w:rPr>
                <w:i/>
                <w:snapToGrid w:val="0"/>
                <w:color w:val="000000"/>
              </w:rPr>
              <w:t>answer</w:t>
            </w:r>
            <w:r w:rsidR="00AA655F" w:rsidRPr="00AA2107">
              <w:rPr>
                <w:i/>
                <w:snapToGrid w:val="0"/>
                <w:color w:val="000000"/>
              </w:rPr>
              <w:t xml:space="preserve"> questions </w:t>
            </w:r>
            <w:r w:rsidR="003C672D" w:rsidRPr="00AA2107">
              <w:rPr>
                <w:i/>
                <w:snapToGrid w:val="0"/>
                <w:color w:val="000000"/>
              </w:rPr>
              <w:t>#</w:t>
            </w:r>
            <w:r w:rsidR="002426C7" w:rsidRPr="00AA2107">
              <w:rPr>
                <w:i/>
                <w:snapToGrid w:val="0"/>
                <w:color w:val="000000"/>
              </w:rPr>
              <w:t>12</w:t>
            </w:r>
            <w:r w:rsidR="006E50EF" w:rsidRPr="00AA2107">
              <w:rPr>
                <w:i/>
                <w:snapToGrid w:val="0"/>
                <w:color w:val="000000"/>
              </w:rPr>
              <w:t>-</w:t>
            </w:r>
            <w:r w:rsidR="002426C7" w:rsidRPr="00AA2107">
              <w:rPr>
                <w:i/>
                <w:snapToGrid w:val="0"/>
                <w:color w:val="000000"/>
              </w:rPr>
              <w:t xml:space="preserve">17, and skip questions </w:t>
            </w:r>
            <w:r w:rsidR="003C672D" w:rsidRPr="00AA2107">
              <w:rPr>
                <w:i/>
                <w:snapToGrid w:val="0"/>
                <w:color w:val="000000"/>
              </w:rPr>
              <w:t>#</w:t>
            </w:r>
            <w:r w:rsidR="002426C7" w:rsidRPr="00AA2107">
              <w:rPr>
                <w:i/>
                <w:snapToGrid w:val="0"/>
                <w:color w:val="000000"/>
              </w:rPr>
              <w:t>3-11</w:t>
            </w:r>
            <w:r w:rsidR="006E50EF" w:rsidRPr="00AA2107">
              <w:rPr>
                <w:i/>
                <w:snapToGrid w:val="0"/>
                <w:color w:val="000000"/>
              </w:rPr>
              <w:t>.</w:t>
            </w:r>
            <w:r w:rsidR="006E50EF" w:rsidRPr="00AA2107">
              <w:rPr>
                <w:snapToGrid w:val="0"/>
                <w:color w:val="000000"/>
              </w:rPr>
              <w:br/>
            </w:r>
          </w:p>
          <w:p w14:paraId="3E8CA9AA" w14:textId="77777777" w:rsidR="006E50EF" w:rsidRPr="00AA2107" w:rsidRDefault="006E50EF" w:rsidP="001A1E9B">
            <w:pPr>
              <w:spacing w:after="120"/>
              <w:ind w:left="360"/>
              <w:rPr>
                <w:snapToGrid w:val="0"/>
              </w:rPr>
            </w:pPr>
            <w:r w:rsidRPr="00AA2107">
              <w:rPr>
                <w:i/>
                <w:snapToGrid w:val="0"/>
                <w:color w:val="000000"/>
              </w:rPr>
              <w:t>If the NICU is co-located in another hospital and your hospital immediately transfers all complicated ne</w:t>
            </w:r>
            <w:r w:rsidR="00AA655F" w:rsidRPr="00AA2107">
              <w:rPr>
                <w:i/>
                <w:snapToGrid w:val="0"/>
                <w:color w:val="000000"/>
              </w:rPr>
              <w:t>wborns there, answer q</w:t>
            </w:r>
            <w:r w:rsidRPr="00AA2107">
              <w:rPr>
                <w:i/>
                <w:snapToGrid w:val="0"/>
                <w:color w:val="000000"/>
              </w:rPr>
              <w:t xml:space="preserve">uestion </w:t>
            </w:r>
            <w:r w:rsidR="003C672D" w:rsidRPr="00AA2107">
              <w:rPr>
                <w:i/>
                <w:snapToGrid w:val="0"/>
                <w:color w:val="000000"/>
              </w:rPr>
              <w:t>#</w:t>
            </w:r>
            <w:r w:rsidRPr="00AA2107">
              <w:rPr>
                <w:i/>
                <w:snapToGrid w:val="0"/>
                <w:color w:val="000000"/>
              </w:rPr>
              <w:t>3</w:t>
            </w:r>
            <w:r w:rsidR="00AA655F" w:rsidRPr="00AA2107">
              <w:rPr>
                <w:i/>
                <w:snapToGrid w:val="0"/>
                <w:color w:val="000000"/>
              </w:rPr>
              <w:t xml:space="preserve"> and either </w:t>
            </w:r>
            <w:r w:rsidR="00C1036F" w:rsidRPr="00AA2107">
              <w:rPr>
                <w:i/>
                <w:snapToGrid w:val="0"/>
                <w:color w:val="000000"/>
              </w:rPr>
              <w:t xml:space="preserve">questions </w:t>
            </w:r>
            <w:r w:rsidR="003C672D" w:rsidRPr="00AA2107">
              <w:rPr>
                <w:i/>
                <w:snapToGrid w:val="0"/>
                <w:color w:val="000000"/>
              </w:rPr>
              <w:t>#</w:t>
            </w:r>
            <w:r w:rsidR="00AA655F" w:rsidRPr="00AA2107">
              <w:rPr>
                <w:i/>
                <w:snapToGrid w:val="0"/>
                <w:color w:val="000000"/>
              </w:rPr>
              <w:t xml:space="preserve">4-5 or </w:t>
            </w:r>
            <w:r w:rsidR="003C672D" w:rsidRPr="00AA2107">
              <w:rPr>
                <w:i/>
                <w:snapToGrid w:val="0"/>
                <w:color w:val="000000"/>
              </w:rPr>
              <w:t>#</w:t>
            </w:r>
            <w:r w:rsidR="00AA655F" w:rsidRPr="00AA2107">
              <w:rPr>
                <w:i/>
                <w:snapToGrid w:val="0"/>
                <w:color w:val="000000"/>
              </w:rPr>
              <w:t>6-11</w:t>
            </w:r>
            <w:r w:rsidRPr="00AA2107">
              <w:rPr>
                <w:i/>
                <w:snapToGrid w:val="0"/>
                <w:color w:val="000000"/>
              </w:rPr>
              <w:t xml:space="preserve"> based on information pertaining to the co-located hospital’s NICU.</w:t>
            </w:r>
          </w:p>
        </w:tc>
        <w:tc>
          <w:tcPr>
            <w:tcW w:w="2430" w:type="dxa"/>
            <w:vAlign w:val="center"/>
          </w:tcPr>
          <w:p w14:paraId="3555AF3B" w14:textId="77777777" w:rsidR="006E50EF" w:rsidRDefault="006E50EF" w:rsidP="003F763E">
            <w:pPr>
              <w:jc w:val="center"/>
              <w:rPr>
                <w:i/>
                <w:snapToGrid w:val="0"/>
              </w:rPr>
            </w:pPr>
            <w:r>
              <w:rPr>
                <w:i/>
                <w:snapToGrid w:val="0"/>
              </w:rPr>
              <w:t>Yes</w:t>
            </w:r>
          </w:p>
          <w:p w14:paraId="3330476C" w14:textId="77777777" w:rsidR="006E50EF" w:rsidRDefault="006E50EF" w:rsidP="003F763E">
            <w:pPr>
              <w:jc w:val="center"/>
              <w:rPr>
                <w:i/>
                <w:snapToGrid w:val="0"/>
              </w:rPr>
            </w:pPr>
            <w:r>
              <w:rPr>
                <w:i/>
                <w:snapToGrid w:val="0"/>
              </w:rPr>
              <w:t>No</w:t>
            </w:r>
          </w:p>
        </w:tc>
      </w:tr>
      <w:tr w:rsidR="006E50EF" w14:paraId="3F75D91B" w14:textId="77777777" w:rsidTr="00A51136">
        <w:trPr>
          <w:trHeight w:val="3140"/>
        </w:trPr>
        <w:tc>
          <w:tcPr>
            <w:tcW w:w="7038" w:type="dxa"/>
            <w:vAlign w:val="center"/>
          </w:tcPr>
          <w:p w14:paraId="0EE9353F" w14:textId="77777777" w:rsidR="00B86317" w:rsidRPr="00AA2107" w:rsidRDefault="006E50EF" w:rsidP="001A1E9B">
            <w:pPr>
              <w:numPr>
                <w:ilvl w:val="0"/>
                <w:numId w:val="15"/>
              </w:numPr>
              <w:spacing w:before="120"/>
              <w:rPr>
                <w:snapToGrid w:val="0"/>
                <w:color w:val="000000"/>
              </w:rPr>
            </w:pPr>
            <w:r w:rsidRPr="00AA2107">
              <w:rPr>
                <w:snapToGrid w:val="0"/>
                <w:color w:val="000000"/>
              </w:rPr>
              <w:t xml:space="preserve">Hospitals that participate in the Vermont Oxford Network (VON), and have a recent 12-month or 36-month report available, may elect to report </w:t>
            </w:r>
            <w:r w:rsidR="000E476A" w:rsidRPr="00AA2107">
              <w:rPr>
                <w:snapToGrid w:val="0"/>
                <w:color w:val="000000"/>
              </w:rPr>
              <w:t xml:space="preserve">your facility’s Volume (questions </w:t>
            </w:r>
            <w:r w:rsidR="005C2B38" w:rsidRPr="00AA2107">
              <w:rPr>
                <w:snapToGrid w:val="0"/>
                <w:color w:val="000000"/>
              </w:rPr>
              <w:t>#</w:t>
            </w:r>
            <w:r w:rsidR="000E476A" w:rsidRPr="00AA2107">
              <w:rPr>
                <w:snapToGrid w:val="0"/>
                <w:color w:val="000000"/>
              </w:rPr>
              <w:t>4-5</w:t>
            </w:r>
            <w:r w:rsidRPr="00AA2107">
              <w:rPr>
                <w:snapToGrid w:val="0"/>
                <w:color w:val="000000"/>
              </w:rPr>
              <w:t xml:space="preserve">) </w:t>
            </w:r>
            <w:r w:rsidR="00B86317" w:rsidRPr="00AA2107">
              <w:rPr>
                <w:snapToGrid w:val="0"/>
                <w:color w:val="000000"/>
              </w:rPr>
              <w:br/>
            </w:r>
            <w:r w:rsidRPr="00AA2107">
              <w:rPr>
                <w:b/>
                <w:snapToGrid w:val="0"/>
                <w:color w:val="000000"/>
              </w:rPr>
              <w:t>OR</w:t>
            </w:r>
            <w:r w:rsidRPr="00AA2107">
              <w:rPr>
                <w:snapToGrid w:val="0"/>
                <w:color w:val="000000"/>
              </w:rPr>
              <w:t xml:space="preserve"> </w:t>
            </w:r>
          </w:p>
          <w:p w14:paraId="1F4EB33D" w14:textId="4B46D33E" w:rsidR="00AA6B62" w:rsidRDefault="006E50EF" w:rsidP="00C015B2">
            <w:pPr>
              <w:ind w:left="360"/>
              <w:rPr>
                <w:snapToGrid w:val="0"/>
                <w:color w:val="000000"/>
              </w:rPr>
            </w:pPr>
            <w:r w:rsidRPr="00AA2107">
              <w:rPr>
                <w:snapToGrid w:val="0"/>
                <w:color w:val="000000"/>
              </w:rPr>
              <w:t xml:space="preserve">the </w:t>
            </w:r>
            <w:hyperlink w:anchor="Endnote25" w:history="1">
              <w:r w:rsidRPr="005C141D">
                <w:rPr>
                  <w:rStyle w:val="Hyperlink"/>
                  <w:snapToGrid w:val="0"/>
                </w:rPr>
                <w:t xml:space="preserve">VON’s Death or </w:t>
              </w:r>
              <w:r w:rsidR="00D36961" w:rsidRPr="005C141D">
                <w:rPr>
                  <w:rStyle w:val="Hyperlink"/>
                  <w:snapToGrid w:val="0"/>
                </w:rPr>
                <w:t>Morbidity Measure</w:t>
              </w:r>
            </w:hyperlink>
            <w:r w:rsidR="00C02EB3">
              <w:rPr>
                <w:rStyle w:val="EndnoteReference"/>
                <w:snapToGrid w:val="0"/>
                <w:color w:val="000000"/>
              </w:rPr>
              <w:endnoteReference w:id="26"/>
            </w:r>
            <w:r w:rsidR="00C02EB3">
              <w:rPr>
                <w:snapToGrid w:val="0"/>
                <w:color w:val="000000"/>
              </w:rPr>
              <w:t xml:space="preserve"> </w:t>
            </w:r>
            <w:r w:rsidR="00AA655F" w:rsidRPr="00AA2107">
              <w:rPr>
                <w:snapToGrid w:val="0"/>
                <w:color w:val="000000"/>
              </w:rPr>
              <w:t xml:space="preserve">(questions </w:t>
            </w:r>
            <w:r w:rsidR="005C2B38" w:rsidRPr="00AA2107">
              <w:rPr>
                <w:snapToGrid w:val="0"/>
                <w:color w:val="000000"/>
              </w:rPr>
              <w:t>#</w:t>
            </w:r>
            <w:r w:rsidR="000E476A" w:rsidRPr="00AA2107">
              <w:rPr>
                <w:snapToGrid w:val="0"/>
                <w:color w:val="000000"/>
              </w:rPr>
              <w:t>6-1</w:t>
            </w:r>
            <w:r w:rsidR="00B86317" w:rsidRPr="00AA2107">
              <w:rPr>
                <w:snapToGrid w:val="0"/>
                <w:color w:val="000000"/>
              </w:rPr>
              <w:t>1</w:t>
            </w:r>
            <w:r w:rsidRPr="00AA2107">
              <w:rPr>
                <w:snapToGrid w:val="0"/>
                <w:color w:val="000000"/>
              </w:rPr>
              <w:t xml:space="preserve">). </w:t>
            </w:r>
          </w:p>
          <w:p w14:paraId="6D31D666" w14:textId="77777777" w:rsidR="00AA6B62" w:rsidRDefault="00AA6B62" w:rsidP="00C015B2">
            <w:pPr>
              <w:ind w:left="360"/>
              <w:rPr>
                <w:snapToGrid w:val="0"/>
                <w:color w:val="000000"/>
              </w:rPr>
            </w:pPr>
          </w:p>
          <w:p w14:paraId="23AC697C" w14:textId="3F6243E5" w:rsidR="00C015B2" w:rsidRDefault="006E50EF" w:rsidP="00C015B2">
            <w:pPr>
              <w:ind w:left="360"/>
              <w:rPr>
                <w:snapToGrid w:val="0"/>
                <w:color w:val="000000"/>
              </w:rPr>
            </w:pPr>
            <w:r w:rsidRPr="00AA2107">
              <w:rPr>
                <w:snapToGrid w:val="0"/>
                <w:color w:val="000000"/>
              </w:rPr>
              <w:t xml:space="preserve">Hospitals that do not participate in the </w:t>
            </w:r>
            <w:r w:rsidR="00AA6B62">
              <w:rPr>
                <w:snapToGrid w:val="0"/>
                <w:color w:val="000000"/>
              </w:rPr>
              <w:t xml:space="preserve">Vermont Oxford Network, should </w:t>
            </w:r>
            <w:r w:rsidR="00B86317" w:rsidRPr="00AA2107">
              <w:rPr>
                <w:snapToGrid w:val="0"/>
                <w:color w:val="000000"/>
              </w:rPr>
              <w:t>report</w:t>
            </w:r>
            <w:r w:rsidR="00AA6B62">
              <w:rPr>
                <w:snapToGrid w:val="0"/>
                <w:color w:val="000000"/>
              </w:rPr>
              <w:t xml:space="preserve"> your facility’s Volume</w:t>
            </w:r>
            <w:r w:rsidR="00B86317" w:rsidRPr="00AA2107">
              <w:rPr>
                <w:snapToGrid w:val="0"/>
                <w:color w:val="000000"/>
              </w:rPr>
              <w:t xml:space="preserve"> </w:t>
            </w:r>
            <w:r w:rsidR="00AA6B62">
              <w:rPr>
                <w:snapToGrid w:val="0"/>
                <w:color w:val="000000"/>
              </w:rPr>
              <w:t>(</w:t>
            </w:r>
            <w:r w:rsidR="00B86317" w:rsidRPr="00AA2107">
              <w:rPr>
                <w:snapToGrid w:val="0"/>
                <w:color w:val="000000"/>
              </w:rPr>
              <w:t>question</w:t>
            </w:r>
            <w:r w:rsidR="00237FCB" w:rsidRPr="00AA2107">
              <w:rPr>
                <w:snapToGrid w:val="0"/>
                <w:color w:val="000000"/>
              </w:rPr>
              <w:t xml:space="preserve">s </w:t>
            </w:r>
            <w:r w:rsidR="005C2B38" w:rsidRPr="00AA2107">
              <w:rPr>
                <w:snapToGrid w:val="0"/>
                <w:color w:val="000000"/>
              </w:rPr>
              <w:t>#</w:t>
            </w:r>
            <w:r w:rsidR="00237FCB" w:rsidRPr="00AA2107">
              <w:rPr>
                <w:snapToGrid w:val="0"/>
                <w:color w:val="000000"/>
              </w:rPr>
              <w:t>4-5</w:t>
            </w:r>
            <w:r w:rsidR="00AA6B62">
              <w:rPr>
                <w:snapToGrid w:val="0"/>
                <w:color w:val="000000"/>
              </w:rPr>
              <w:t>)</w:t>
            </w:r>
            <w:r w:rsidRPr="00AA2107">
              <w:rPr>
                <w:snapToGrid w:val="0"/>
                <w:color w:val="000000"/>
              </w:rPr>
              <w:t>.</w:t>
            </w:r>
          </w:p>
          <w:p w14:paraId="28578B59" w14:textId="77777777" w:rsidR="00C015B2" w:rsidRDefault="00C015B2" w:rsidP="00C015B2">
            <w:pPr>
              <w:ind w:left="360"/>
              <w:rPr>
                <w:snapToGrid w:val="0"/>
                <w:color w:val="000000"/>
              </w:rPr>
            </w:pPr>
          </w:p>
          <w:p w14:paraId="41898BE1" w14:textId="77777777" w:rsidR="00C015B2" w:rsidRDefault="006E50EF" w:rsidP="00C015B2">
            <w:pPr>
              <w:ind w:left="360"/>
              <w:rPr>
                <w:snapToGrid w:val="0"/>
                <w:color w:val="000000"/>
              </w:rPr>
            </w:pPr>
            <w:r w:rsidRPr="00AA2107">
              <w:rPr>
                <w:snapToGrid w:val="0"/>
                <w:color w:val="000000"/>
              </w:rPr>
              <w:t>Please indicate which measure the hospital will report on</w:t>
            </w:r>
            <w:r w:rsidRPr="00AA2107">
              <w:rPr>
                <w:i/>
                <w:snapToGrid w:val="0"/>
                <w:color w:val="000000"/>
              </w:rPr>
              <w:t>:</w:t>
            </w:r>
          </w:p>
          <w:p w14:paraId="54C81991" w14:textId="77777777" w:rsidR="00C015B2" w:rsidRDefault="00C015B2" w:rsidP="00C015B2">
            <w:pPr>
              <w:ind w:left="360"/>
              <w:rPr>
                <w:snapToGrid w:val="0"/>
                <w:color w:val="000000"/>
              </w:rPr>
            </w:pPr>
          </w:p>
          <w:p w14:paraId="1B89BFEC" w14:textId="37D371D9" w:rsidR="006E50EF" w:rsidRPr="00C015B2" w:rsidRDefault="006E50EF" w:rsidP="001A1E9B">
            <w:pPr>
              <w:spacing w:after="120"/>
              <w:ind w:left="360"/>
              <w:rPr>
                <w:snapToGrid w:val="0"/>
                <w:color w:val="000000"/>
              </w:rPr>
            </w:pPr>
            <w:r w:rsidRPr="00AA2107">
              <w:rPr>
                <w:i/>
                <w:snapToGrid w:val="0"/>
                <w:color w:val="000000"/>
              </w:rPr>
              <w:t>If you elec</w:t>
            </w:r>
            <w:r w:rsidR="00237FCB" w:rsidRPr="00AA2107">
              <w:rPr>
                <w:i/>
                <w:snapToGrid w:val="0"/>
                <w:color w:val="000000"/>
              </w:rPr>
              <w:t xml:space="preserve">t to report on Volume, answer questions </w:t>
            </w:r>
            <w:r w:rsidR="005C2B38" w:rsidRPr="00AA2107">
              <w:rPr>
                <w:i/>
                <w:snapToGrid w:val="0"/>
                <w:color w:val="000000"/>
              </w:rPr>
              <w:t>#</w:t>
            </w:r>
            <w:r w:rsidR="00237FCB" w:rsidRPr="00AA2107">
              <w:rPr>
                <w:i/>
                <w:snapToGrid w:val="0"/>
                <w:color w:val="000000"/>
              </w:rPr>
              <w:t xml:space="preserve">4-5, and skip questions </w:t>
            </w:r>
            <w:r w:rsidR="005C2B38" w:rsidRPr="00AA2107">
              <w:rPr>
                <w:i/>
                <w:snapToGrid w:val="0"/>
                <w:color w:val="000000"/>
              </w:rPr>
              <w:t>#</w:t>
            </w:r>
            <w:r w:rsidR="00237FCB" w:rsidRPr="00AA2107">
              <w:rPr>
                <w:i/>
                <w:snapToGrid w:val="0"/>
                <w:color w:val="000000"/>
              </w:rPr>
              <w:t>6-11</w:t>
            </w:r>
            <w:r w:rsidRPr="00AA2107">
              <w:rPr>
                <w:i/>
                <w:snapToGrid w:val="0"/>
                <w:color w:val="000000"/>
              </w:rPr>
              <w:t xml:space="preserve">. If you elect to report on the </w:t>
            </w:r>
            <w:r w:rsidR="00AA6B62">
              <w:rPr>
                <w:i/>
                <w:snapToGrid w:val="0"/>
                <w:color w:val="000000"/>
              </w:rPr>
              <w:t xml:space="preserve">VON </w:t>
            </w:r>
            <w:r w:rsidRPr="00AA2107">
              <w:rPr>
                <w:i/>
                <w:snapToGrid w:val="0"/>
                <w:color w:val="000000"/>
              </w:rPr>
              <w:t>Natio</w:t>
            </w:r>
            <w:r w:rsidR="00237FCB" w:rsidRPr="00AA2107">
              <w:rPr>
                <w:i/>
                <w:snapToGrid w:val="0"/>
                <w:color w:val="000000"/>
              </w:rPr>
              <w:t xml:space="preserve">nal Performance Measure, skip questions </w:t>
            </w:r>
            <w:r w:rsidR="005C2B38" w:rsidRPr="00AA2107">
              <w:rPr>
                <w:i/>
                <w:snapToGrid w:val="0"/>
                <w:color w:val="000000"/>
              </w:rPr>
              <w:t>#</w:t>
            </w:r>
            <w:r w:rsidR="00237FCB" w:rsidRPr="00AA2107">
              <w:rPr>
                <w:i/>
                <w:snapToGrid w:val="0"/>
                <w:color w:val="000000"/>
              </w:rPr>
              <w:t>4-5</w:t>
            </w:r>
            <w:r w:rsidRPr="00AA2107">
              <w:rPr>
                <w:i/>
                <w:snapToGrid w:val="0"/>
                <w:color w:val="000000"/>
              </w:rPr>
              <w:t xml:space="preserve">, and report on </w:t>
            </w:r>
            <w:r w:rsidR="00237FCB" w:rsidRPr="00AA2107">
              <w:rPr>
                <w:i/>
                <w:snapToGrid w:val="0"/>
                <w:color w:val="000000"/>
              </w:rPr>
              <w:t xml:space="preserve">questions </w:t>
            </w:r>
            <w:r w:rsidR="005C2B38" w:rsidRPr="00AA2107">
              <w:rPr>
                <w:i/>
                <w:snapToGrid w:val="0"/>
                <w:color w:val="000000"/>
              </w:rPr>
              <w:t>#</w:t>
            </w:r>
            <w:r w:rsidR="00237FCB" w:rsidRPr="00AA2107">
              <w:rPr>
                <w:i/>
                <w:snapToGrid w:val="0"/>
                <w:color w:val="000000"/>
              </w:rPr>
              <w:t>6-11.</w:t>
            </w:r>
          </w:p>
        </w:tc>
        <w:tc>
          <w:tcPr>
            <w:tcW w:w="2430" w:type="dxa"/>
            <w:vAlign w:val="center"/>
          </w:tcPr>
          <w:p w14:paraId="0E9477F6" w14:textId="77777777" w:rsidR="006E50EF" w:rsidRDefault="006E50EF" w:rsidP="003F763E">
            <w:pPr>
              <w:jc w:val="center"/>
              <w:rPr>
                <w:snapToGrid w:val="0"/>
              </w:rPr>
            </w:pPr>
            <w:r w:rsidRPr="00690231">
              <w:rPr>
                <w:snapToGrid w:val="0"/>
              </w:rPr>
              <w:t>Volume</w:t>
            </w:r>
          </w:p>
          <w:p w14:paraId="70CAC6D2" w14:textId="77777777" w:rsidR="003F763E" w:rsidRPr="00690231" w:rsidRDefault="003F763E" w:rsidP="003F763E">
            <w:pPr>
              <w:jc w:val="center"/>
              <w:rPr>
                <w:snapToGrid w:val="0"/>
              </w:rPr>
            </w:pPr>
          </w:p>
          <w:p w14:paraId="2E3A57CF" w14:textId="77777777" w:rsidR="006E50EF" w:rsidRPr="00690231" w:rsidRDefault="006E50EF" w:rsidP="003F763E">
            <w:pPr>
              <w:jc w:val="center"/>
              <w:rPr>
                <w:snapToGrid w:val="0"/>
              </w:rPr>
            </w:pPr>
          </w:p>
          <w:p w14:paraId="0F475ADF" w14:textId="77777777" w:rsidR="006E50EF" w:rsidRDefault="00D23BFE" w:rsidP="003F763E">
            <w:pPr>
              <w:jc w:val="center"/>
              <w:rPr>
                <w:i/>
                <w:snapToGrid w:val="0"/>
              </w:rPr>
            </w:pPr>
            <w:r>
              <w:rPr>
                <w:snapToGrid w:val="0"/>
              </w:rPr>
              <w:t xml:space="preserve">VON </w:t>
            </w:r>
            <w:r w:rsidR="006E50EF" w:rsidRPr="00690231">
              <w:rPr>
                <w:snapToGrid w:val="0"/>
              </w:rPr>
              <w:t>National Performance Measure</w:t>
            </w:r>
          </w:p>
        </w:tc>
      </w:tr>
    </w:tbl>
    <w:p w14:paraId="2716AE36" w14:textId="77777777" w:rsidR="006E50EF" w:rsidRDefault="006E50EF"/>
    <w:p w14:paraId="2C261972" w14:textId="77777777" w:rsidR="006E50EF" w:rsidRDefault="00C4254C" w:rsidP="007D1EA1">
      <w:r>
        <w:br w:type="page"/>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2"/>
        <w:gridCol w:w="2892"/>
      </w:tblGrid>
      <w:tr w:rsidR="006E50EF" w:rsidRPr="00FF4955" w14:paraId="7F176472" w14:textId="77777777" w:rsidTr="001A1E9B">
        <w:trPr>
          <w:cantSplit/>
          <w:trHeight w:val="232"/>
          <w:jc w:val="center"/>
        </w:trPr>
        <w:tc>
          <w:tcPr>
            <w:tcW w:w="9468" w:type="dxa"/>
            <w:gridSpan w:val="2"/>
            <w:tcBorders>
              <w:top w:val="single" w:sz="24" w:space="0" w:color="auto"/>
              <w:left w:val="nil"/>
              <w:right w:val="nil"/>
            </w:tcBorders>
          </w:tcPr>
          <w:p w14:paraId="4CAAFD5C" w14:textId="77777777" w:rsidR="006E50EF" w:rsidRPr="00A943F2" w:rsidRDefault="006E50EF" w:rsidP="0070197E">
            <w:pPr>
              <w:pStyle w:val="Header"/>
              <w:tabs>
                <w:tab w:val="clear" w:pos="4320"/>
                <w:tab w:val="clear" w:pos="8640"/>
              </w:tabs>
              <w:rPr>
                <w:snapToGrid w:val="0"/>
              </w:rPr>
            </w:pPr>
          </w:p>
          <w:p w14:paraId="56C68F2F" w14:textId="77777777" w:rsidR="006E50EF" w:rsidRPr="00A943F2" w:rsidRDefault="006E50EF" w:rsidP="007A44CB">
            <w:pPr>
              <w:pStyle w:val="Heading3"/>
              <w:rPr>
                <w:snapToGrid w:val="0"/>
              </w:rPr>
            </w:pPr>
            <w:bookmarkStart w:id="152" w:name="_Toc447195014"/>
            <w:r w:rsidRPr="00A943F2">
              <w:rPr>
                <w:snapToGrid w:val="0"/>
              </w:rPr>
              <w:t>Neonatal Intensive Care Unit(s) – Volume</w:t>
            </w:r>
            <w:bookmarkEnd w:id="152"/>
          </w:p>
          <w:p w14:paraId="1A6FD2F8" w14:textId="77777777" w:rsidR="006E50EF" w:rsidRPr="00A943F2" w:rsidRDefault="006E50EF" w:rsidP="0070197E">
            <w:pPr>
              <w:pStyle w:val="Header"/>
              <w:tabs>
                <w:tab w:val="clear" w:pos="4320"/>
                <w:tab w:val="clear" w:pos="8640"/>
              </w:tabs>
              <w:rPr>
                <w:b/>
                <w:snapToGrid w:val="0"/>
                <w:sz w:val="24"/>
              </w:rPr>
            </w:pPr>
          </w:p>
          <w:p w14:paraId="35F09169" w14:textId="77777777" w:rsidR="000D6150" w:rsidRDefault="006E50EF" w:rsidP="0070197E">
            <w:pPr>
              <w:pStyle w:val="Header"/>
              <w:tabs>
                <w:tab w:val="clear" w:pos="4320"/>
                <w:tab w:val="clear" w:pos="8640"/>
              </w:tabs>
            </w:pPr>
            <w:r w:rsidRPr="00A943F2">
              <w:rPr>
                <w:b/>
                <w:snapToGrid w:val="0"/>
              </w:rPr>
              <w:t xml:space="preserve">Specifications: </w:t>
            </w:r>
            <w:r w:rsidRPr="00A943F2">
              <w:rPr>
                <w:snapToGrid w:val="0"/>
                <w:color w:val="000000"/>
              </w:rPr>
              <w:t>S</w:t>
            </w:r>
            <w:r w:rsidRPr="00A943F2">
              <w:t xml:space="preserve">ee </w:t>
            </w:r>
            <w:hyperlink w:anchor="HighRiskVol" w:history="1">
              <w:r w:rsidR="00A943F2">
                <w:rPr>
                  <w:rStyle w:val="Hyperlink"/>
                  <w:b/>
                  <w:i/>
                </w:rPr>
                <w:t>High-</w:t>
              </w:r>
              <w:r w:rsidRPr="00A943F2">
                <w:rPr>
                  <w:rStyle w:val="Hyperlink"/>
                  <w:b/>
                  <w:i/>
                </w:rPr>
                <w:t>Risk Deliveries Volume Standard</w:t>
              </w:r>
            </w:hyperlink>
            <w:r w:rsidRPr="00A943F2">
              <w:t xml:space="preserve"> in </w:t>
            </w:r>
            <w:r w:rsidR="00271B13" w:rsidRPr="00A943F2">
              <w:t xml:space="preserve">the </w:t>
            </w:r>
            <w:r w:rsidRPr="00A943F2">
              <w:t xml:space="preserve">Maternity Care Reference Information on </w:t>
            </w:r>
            <w:r w:rsidRPr="000D6150">
              <w:t>page</w:t>
            </w:r>
            <w:r w:rsidR="00D44799" w:rsidRPr="000D6150">
              <w:t xml:space="preserve"> 7</w:t>
            </w:r>
            <w:r w:rsidR="00254838" w:rsidRPr="000D6150">
              <w:t>2</w:t>
            </w:r>
            <w:r w:rsidRPr="000D6150">
              <w:t>.</w:t>
            </w:r>
          </w:p>
          <w:p w14:paraId="657B88D1" w14:textId="61711C00" w:rsidR="00A924FE" w:rsidRDefault="006E50EF" w:rsidP="0070197E">
            <w:pPr>
              <w:pStyle w:val="Header"/>
              <w:tabs>
                <w:tab w:val="clear" w:pos="4320"/>
                <w:tab w:val="clear" w:pos="8640"/>
              </w:tabs>
            </w:pPr>
            <w:r w:rsidRPr="00A943F2">
              <w:t xml:space="preserve"> </w:t>
            </w: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A924FE" w14:paraId="0965B3E8" w14:textId="77777777" w:rsidTr="00A924FE">
              <w:trPr>
                <w:jc w:val="center"/>
              </w:trPr>
              <w:tc>
                <w:tcPr>
                  <w:tcW w:w="9673" w:type="dxa"/>
                </w:tcPr>
                <w:p w14:paraId="4F3C95CA" w14:textId="77777777" w:rsidR="00A924FE" w:rsidRPr="00A943F2" w:rsidRDefault="00A924FE" w:rsidP="001A1E9B">
                  <w:pPr>
                    <w:spacing w:before="120"/>
                    <w:rPr>
                      <w:b/>
                      <w:snapToGrid w:val="0"/>
                    </w:rPr>
                  </w:pPr>
                  <w:r w:rsidRPr="00A943F2">
                    <w:rPr>
                      <w:b/>
                      <w:snapToGrid w:val="0"/>
                    </w:rPr>
                    <w:t>Reporting Time Period: 12 months</w:t>
                  </w:r>
                </w:p>
                <w:p w14:paraId="624B3462" w14:textId="77777777" w:rsidR="00A924FE" w:rsidRPr="00A943F2" w:rsidRDefault="00A924FE" w:rsidP="00A924FE">
                  <w:pPr>
                    <w:rPr>
                      <w:b/>
                      <w:snapToGrid w:val="0"/>
                    </w:rPr>
                  </w:pPr>
                  <w:r w:rsidRPr="00A943F2">
                    <w:rPr>
                      <w:snapToGrid w:val="0"/>
                    </w:rPr>
                    <w:t>Answer questions #4-5 based on the 12-month reporting time period:</w:t>
                  </w:r>
                </w:p>
                <w:p w14:paraId="7A2570CF" w14:textId="77777777" w:rsidR="00A924FE" w:rsidRDefault="00A924FE" w:rsidP="001A1E9B">
                  <w:pPr>
                    <w:pStyle w:val="Header"/>
                    <w:tabs>
                      <w:tab w:val="clear" w:pos="4320"/>
                      <w:tab w:val="clear" w:pos="8640"/>
                    </w:tabs>
                    <w:spacing w:after="120"/>
                  </w:pPr>
                  <w:r w:rsidRPr="00A943F2">
                    <w:rPr>
                      <w:snapToGrid w:val="0"/>
                    </w:rPr>
                    <w:t>10/01/2014 – 09/30/2015</w:t>
                  </w:r>
                </w:p>
              </w:tc>
            </w:tr>
          </w:tbl>
          <w:p w14:paraId="1DB384C1" w14:textId="77777777" w:rsidR="001D4878" w:rsidRPr="00A924FE" w:rsidRDefault="001D4878" w:rsidP="00A924FE">
            <w:pPr>
              <w:rPr>
                <w:snapToGrid w:val="0"/>
              </w:rPr>
            </w:pPr>
          </w:p>
          <w:p w14:paraId="0AF89FCE" w14:textId="77777777" w:rsidR="001D4878" w:rsidRPr="000D6150" w:rsidRDefault="001D4878" w:rsidP="000D6150">
            <w:pPr>
              <w:rPr>
                <w:i/>
                <w:snapToGrid w:val="0"/>
              </w:rPr>
            </w:pPr>
          </w:p>
        </w:tc>
      </w:tr>
      <w:tr w:rsidR="006E50EF" w14:paraId="529E158C" w14:textId="77777777" w:rsidTr="001A1E9B">
        <w:trPr>
          <w:jc w:val="center"/>
        </w:trPr>
        <w:tc>
          <w:tcPr>
            <w:tcW w:w="7038" w:type="dxa"/>
            <w:vAlign w:val="center"/>
          </w:tcPr>
          <w:p w14:paraId="3F75559C" w14:textId="77777777" w:rsidR="006E50EF" w:rsidRPr="00A943F2" w:rsidRDefault="00742C50" w:rsidP="00ED58C1">
            <w:pPr>
              <w:numPr>
                <w:ilvl w:val="0"/>
                <w:numId w:val="15"/>
              </w:numPr>
              <w:rPr>
                <w:color w:val="0000FF"/>
                <w:u w:val="single"/>
              </w:rPr>
            </w:pPr>
            <w:r w:rsidRPr="00A943F2">
              <w:rPr>
                <w:snapToGrid w:val="0"/>
                <w:color w:val="000000"/>
              </w:rPr>
              <w:t>12-month</w:t>
            </w:r>
            <w:r w:rsidR="00A943F2" w:rsidRPr="006D12EB">
              <w:rPr>
                <w:color w:val="0000FF"/>
              </w:rPr>
              <w:t xml:space="preserve"> </w:t>
            </w:r>
            <w:r w:rsidR="001D4878" w:rsidRPr="00A943F2">
              <w:rPr>
                <w:snapToGrid w:val="0"/>
                <w:color w:val="000000"/>
              </w:rPr>
              <w:t>r</w:t>
            </w:r>
            <w:r w:rsidR="00D01039" w:rsidRPr="00A943F2">
              <w:rPr>
                <w:snapToGrid w:val="0"/>
                <w:color w:val="000000"/>
              </w:rPr>
              <w:t xml:space="preserve">eporting </w:t>
            </w:r>
            <w:r w:rsidR="00B53747" w:rsidRPr="00A943F2">
              <w:rPr>
                <w:snapToGrid w:val="0"/>
                <w:color w:val="000000"/>
              </w:rPr>
              <w:t xml:space="preserve">time </w:t>
            </w:r>
            <w:r w:rsidR="00585EF8" w:rsidRPr="00A943F2">
              <w:rPr>
                <w:snapToGrid w:val="0"/>
                <w:color w:val="000000"/>
              </w:rPr>
              <w:t>period used</w:t>
            </w:r>
            <w:r w:rsidR="001D4878" w:rsidRPr="00A943F2">
              <w:rPr>
                <w:snapToGrid w:val="0"/>
                <w:color w:val="000000"/>
              </w:rPr>
              <w:t xml:space="preserve">: </w:t>
            </w:r>
          </w:p>
        </w:tc>
        <w:tc>
          <w:tcPr>
            <w:tcW w:w="2866" w:type="dxa"/>
            <w:vAlign w:val="center"/>
          </w:tcPr>
          <w:p w14:paraId="1362269A" w14:textId="77777777" w:rsidR="00D01039" w:rsidRPr="00A943F2" w:rsidRDefault="001D4878" w:rsidP="00ED58C1">
            <w:pPr>
              <w:pStyle w:val="ListParagraph"/>
              <w:numPr>
                <w:ilvl w:val="0"/>
                <w:numId w:val="60"/>
              </w:numPr>
              <w:rPr>
                <w:i/>
              </w:rPr>
            </w:pPr>
            <w:r w:rsidRPr="00A943F2">
              <w:t>10/01/2014 - 0</w:t>
            </w:r>
            <w:r w:rsidR="008473CB" w:rsidRPr="00A943F2">
              <w:t>9/30/2015</w:t>
            </w:r>
          </w:p>
          <w:p w14:paraId="376FAF1F" w14:textId="77777777" w:rsidR="00CC562F" w:rsidRPr="00A943F2" w:rsidRDefault="00CC562F" w:rsidP="00CC562F">
            <w:pPr>
              <w:pStyle w:val="ListParagraph"/>
              <w:rPr>
                <w:i/>
              </w:rPr>
            </w:pPr>
          </w:p>
        </w:tc>
      </w:tr>
      <w:tr w:rsidR="00D01039" w14:paraId="1DD03EE7" w14:textId="77777777" w:rsidTr="001A1E9B">
        <w:trPr>
          <w:trHeight w:val="638"/>
          <w:jc w:val="center"/>
        </w:trPr>
        <w:tc>
          <w:tcPr>
            <w:tcW w:w="7038" w:type="dxa"/>
            <w:vAlign w:val="center"/>
          </w:tcPr>
          <w:p w14:paraId="15AD7B2C" w14:textId="77777777" w:rsidR="00D01039" w:rsidRPr="00EB51B7" w:rsidRDefault="00D01039" w:rsidP="00ED58C1">
            <w:pPr>
              <w:numPr>
                <w:ilvl w:val="0"/>
                <w:numId w:val="15"/>
              </w:numPr>
              <w:rPr>
                <w:color w:val="0000FF"/>
                <w:u w:val="single"/>
              </w:rPr>
            </w:pPr>
            <w:r w:rsidRPr="00FF4955">
              <w:rPr>
                <w:snapToGrid w:val="0"/>
                <w:color w:val="000000"/>
              </w:rPr>
              <w:t xml:space="preserve">For </w:t>
            </w:r>
            <w:r w:rsidRPr="00FF4955">
              <w:rPr>
                <w:snapToGrid w:val="0"/>
              </w:rPr>
              <w:t>the Reporting Time Period</w:t>
            </w:r>
            <w:r w:rsidRPr="00FF4955">
              <w:rPr>
                <w:snapToGrid w:val="0"/>
                <w:color w:val="000000"/>
              </w:rPr>
              <w:t xml:space="preserve">, how many very-low birth-weight babies were admitted to your hospital’s neonatal intensive care unit(s)? </w:t>
            </w:r>
          </w:p>
        </w:tc>
        <w:tc>
          <w:tcPr>
            <w:tcW w:w="2430" w:type="dxa"/>
            <w:vAlign w:val="center"/>
          </w:tcPr>
          <w:p w14:paraId="3B5AFC42" w14:textId="77777777" w:rsidR="00D01039" w:rsidRPr="00A943F2" w:rsidRDefault="00D01039" w:rsidP="00EB51B7">
            <w:pPr>
              <w:jc w:val="center"/>
            </w:pPr>
            <w:r w:rsidRPr="00A943F2">
              <w:t>_______</w:t>
            </w:r>
          </w:p>
          <w:p w14:paraId="2C8C4F70" w14:textId="77777777" w:rsidR="00EB51B7" w:rsidRPr="00A943F2" w:rsidRDefault="00EB51B7" w:rsidP="00EB51B7">
            <w:pPr>
              <w:jc w:val="center"/>
              <w:rPr>
                <w:i/>
              </w:rPr>
            </w:pPr>
          </w:p>
        </w:tc>
      </w:tr>
    </w:tbl>
    <w:p w14:paraId="5DE8A996" w14:textId="4B4C0803" w:rsidR="00AE1A2D" w:rsidRDefault="00AE1A2D"/>
    <w:tbl>
      <w:tblPr>
        <w:tblW w:w="9994"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7429"/>
        <w:gridCol w:w="2565"/>
      </w:tblGrid>
      <w:tr w:rsidR="006E50EF" w14:paraId="12D38DDC" w14:textId="77777777" w:rsidTr="00AE1A2D">
        <w:trPr>
          <w:cantSplit/>
          <w:jc w:val="center"/>
        </w:trPr>
        <w:tc>
          <w:tcPr>
            <w:tcW w:w="9994" w:type="dxa"/>
            <w:gridSpan w:val="2"/>
            <w:tcBorders>
              <w:top w:val="single" w:sz="24" w:space="0" w:color="auto"/>
            </w:tcBorders>
          </w:tcPr>
          <w:p w14:paraId="1C4EC201" w14:textId="7BCC0BAB" w:rsidR="006E50EF" w:rsidRPr="00FF4955" w:rsidRDefault="006E50EF" w:rsidP="0070197E">
            <w:pPr>
              <w:pStyle w:val="Header"/>
              <w:tabs>
                <w:tab w:val="clear" w:pos="4320"/>
                <w:tab w:val="clear" w:pos="8640"/>
              </w:tabs>
              <w:rPr>
                <w:b/>
                <w:snapToGrid w:val="0"/>
                <w:color w:val="000000"/>
              </w:rPr>
            </w:pPr>
          </w:p>
          <w:p w14:paraId="1475617B" w14:textId="77777777" w:rsidR="006E50EF" w:rsidRPr="00FF4955" w:rsidRDefault="006E50EF" w:rsidP="007A44CB">
            <w:pPr>
              <w:pStyle w:val="Heading3"/>
              <w:rPr>
                <w:snapToGrid w:val="0"/>
              </w:rPr>
            </w:pPr>
            <w:bookmarkStart w:id="153" w:name="_Toc447195015"/>
            <w:r w:rsidRPr="00FF4955">
              <w:rPr>
                <w:snapToGrid w:val="0"/>
              </w:rPr>
              <w:t>Neonatal Intensive Care Unit(s) – National Performance Measurement</w:t>
            </w:r>
            <w:bookmarkEnd w:id="153"/>
          </w:p>
          <w:p w14:paraId="7629593D" w14:textId="77777777" w:rsidR="006E50EF" w:rsidRPr="00FF4955" w:rsidRDefault="006E50EF" w:rsidP="0070197E">
            <w:pPr>
              <w:pStyle w:val="Header"/>
              <w:tabs>
                <w:tab w:val="clear" w:pos="4320"/>
                <w:tab w:val="clear" w:pos="8640"/>
              </w:tabs>
              <w:rPr>
                <w:b/>
              </w:rPr>
            </w:pPr>
          </w:p>
          <w:p w14:paraId="2B5163C9" w14:textId="77777777" w:rsidR="006E50EF" w:rsidRPr="00FF4955" w:rsidRDefault="006E50EF" w:rsidP="0070197E">
            <w:pPr>
              <w:pStyle w:val="Header"/>
              <w:tabs>
                <w:tab w:val="clear" w:pos="4320"/>
                <w:tab w:val="clear" w:pos="8640"/>
              </w:tabs>
            </w:pPr>
            <w:r w:rsidRPr="0061158D">
              <w:rPr>
                <w:b/>
              </w:rPr>
              <w:t xml:space="preserve">Specifications: </w:t>
            </w:r>
            <w:r w:rsidRPr="0061158D">
              <w:t xml:space="preserve">See </w:t>
            </w:r>
            <w:hyperlink w:anchor="_VON_National_Performance" w:history="1">
              <w:r w:rsidR="00A943F2">
                <w:rPr>
                  <w:rStyle w:val="Hyperlink"/>
                  <w:b/>
                  <w:i/>
                </w:rPr>
                <w:t>VON National Performance</w:t>
              </w:r>
              <w:r w:rsidRPr="0061158D">
                <w:rPr>
                  <w:rStyle w:val="Hyperlink"/>
                  <w:b/>
                  <w:i/>
                </w:rPr>
                <w:t xml:space="preserve"> Measure</w:t>
              </w:r>
              <w:r w:rsidR="001635E4" w:rsidRPr="0061158D">
                <w:rPr>
                  <w:rStyle w:val="Hyperlink"/>
                  <w:b/>
                  <w:i/>
                </w:rPr>
                <w:t xml:space="preserve"> Specifications</w:t>
              </w:r>
            </w:hyperlink>
            <w:r w:rsidRPr="0061158D">
              <w:rPr>
                <w:b/>
                <w:i/>
              </w:rPr>
              <w:t xml:space="preserve"> </w:t>
            </w:r>
            <w:r w:rsidRPr="0061158D">
              <w:t xml:space="preserve">in </w:t>
            </w:r>
            <w:r w:rsidR="00271B13">
              <w:t xml:space="preserve">the </w:t>
            </w:r>
            <w:r w:rsidRPr="0061158D">
              <w:t xml:space="preserve">Maternity Care Reference Information on </w:t>
            </w:r>
            <w:r w:rsidRPr="000D6150">
              <w:t xml:space="preserve">page </w:t>
            </w:r>
            <w:r w:rsidR="009B1FFB" w:rsidRPr="000D6150">
              <w:t>7</w:t>
            </w:r>
            <w:r w:rsidR="00254838" w:rsidRPr="000D6150">
              <w:t>3</w:t>
            </w:r>
            <w:r w:rsidRPr="000D6150">
              <w:t>.</w:t>
            </w:r>
            <w:r>
              <w:t xml:space="preserve"> </w:t>
            </w:r>
          </w:p>
          <w:p w14:paraId="6C6DDBC6" w14:textId="77777777" w:rsidR="00EC2703" w:rsidRDefault="00EC2703" w:rsidP="0070197E">
            <w:pPr>
              <w:pStyle w:val="Header"/>
              <w:tabs>
                <w:tab w:val="clear" w:pos="4320"/>
                <w:tab w:val="clear" w:pos="8640"/>
              </w:tabs>
              <w:rPr>
                <w:b/>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8B6153" w14:paraId="662C944C" w14:textId="77777777" w:rsidTr="000469EC">
              <w:trPr>
                <w:jc w:val="center"/>
              </w:trPr>
              <w:tc>
                <w:tcPr>
                  <w:tcW w:w="9673" w:type="dxa"/>
                </w:tcPr>
                <w:p w14:paraId="4D953F41" w14:textId="77777777" w:rsidR="008B6153" w:rsidRDefault="008B6153" w:rsidP="001A1E9B">
                  <w:pPr>
                    <w:spacing w:before="120"/>
                  </w:pPr>
                  <w:r w:rsidRPr="00FF4955">
                    <w:rPr>
                      <w:b/>
                    </w:rPr>
                    <w:t>Reporting Time Period:</w:t>
                  </w:r>
                  <w:r w:rsidRPr="00FF4955">
                    <w:t xml:space="preserve"> </w:t>
                  </w:r>
                </w:p>
                <w:p w14:paraId="71A8720F" w14:textId="77777777" w:rsidR="008B6153" w:rsidRPr="008B6153" w:rsidRDefault="008B6153" w:rsidP="001A1E9B">
                  <w:pPr>
                    <w:spacing w:after="120"/>
                    <w:rPr>
                      <w:b/>
                    </w:rPr>
                  </w:pPr>
                  <w:r w:rsidRPr="00FF4955">
                    <w:t xml:space="preserve">Base your responses on the latest 12-month or 36-month report received from the Vermont Oxford Network (VON) </w:t>
                  </w:r>
                  <w:r w:rsidRPr="00FF4955">
                    <w:rPr>
                      <w:b/>
                    </w:rPr>
                    <w:t>for the Death or Morbidity Measure.</w:t>
                  </w:r>
                </w:p>
              </w:tc>
            </w:tr>
          </w:tbl>
          <w:p w14:paraId="57420259" w14:textId="77777777" w:rsidR="000B1D5E" w:rsidRPr="00FF4955" w:rsidRDefault="000B1D5E" w:rsidP="0070197E"/>
          <w:p w14:paraId="1A60E8E6" w14:textId="77777777" w:rsidR="006E50EF" w:rsidRPr="00FF4955" w:rsidRDefault="006E50EF" w:rsidP="0070197E"/>
        </w:tc>
      </w:tr>
      <w:tr w:rsidR="006E50EF" w14:paraId="6EA94F40" w14:textId="77777777" w:rsidTr="00AE1A2D">
        <w:tblPrEx>
          <w:tblBorders>
            <w:top w:val="single" w:sz="4" w:space="0" w:color="auto"/>
            <w:left w:val="single" w:sz="4" w:space="0" w:color="auto"/>
            <w:bottom w:val="single" w:sz="4" w:space="0" w:color="auto"/>
            <w:right w:val="single" w:sz="4" w:space="0" w:color="auto"/>
          </w:tblBorders>
        </w:tblPrEx>
        <w:trPr>
          <w:jc w:val="center"/>
        </w:trPr>
        <w:tc>
          <w:tcPr>
            <w:tcW w:w="7429" w:type="dxa"/>
          </w:tcPr>
          <w:p w14:paraId="58F5DD47" w14:textId="77777777" w:rsidR="005A2722" w:rsidRPr="00A943F2" w:rsidRDefault="00075DD7" w:rsidP="001A1E9B">
            <w:pPr>
              <w:pStyle w:val="ListParagraph"/>
              <w:numPr>
                <w:ilvl w:val="0"/>
                <w:numId w:val="15"/>
              </w:numPr>
              <w:spacing w:before="120"/>
              <w:rPr>
                <w:snapToGrid w:val="0"/>
                <w:color w:val="000000"/>
              </w:rPr>
            </w:pPr>
            <w:r w:rsidRPr="00A943F2">
              <w:rPr>
                <w:snapToGrid w:val="0"/>
                <w:color w:val="000000"/>
              </w:rPr>
              <w:t xml:space="preserve">Does </w:t>
            </w:r>
            <w:r w:rsidR="006E50EF" w:rsidRPr="00A943F2">
              <w:rPr>
                <w:snapToGrid w:val="0"/>
                <w:color w:val="000000"/>
              </w:rPr>
              <w:t xml:space="preserve">your </w:t>
            </w:r>
            <w:r w:rsidRPr="00A943F2">
              <w:rPr>
                <w:snapToGrid w:val="0"/>
              </w:rPr>
              <w:t>hospital participate</w:t>
            </w:r>
            <w:r w:rsidR="006E50EF" w:rsidRPr="00A943F2">
              <w:rPr>
                <w:snapToGrid w:val="0"/>
              </w:rPr>
              <w:t xml:space="preserve"> in the Vermont Oxford Network performance reporting system</w:t>
            </w:r>
            <w:r w:rsidR="006E50EF" w:rsidRPr="00A943F2">
              <w:rPr>
                <w:snapToGrid w:val="0"/>
                <w:color w:val="000000"/>
              </w:rPr>
              <w:t xml:space="preserve"> for hi</w:t>
            </w:r>
            <w:r w:rsidRPr="00A943F2">
              <w:rPr>
                <w:snapToGrid w:val="0"/>
                <w:color w:val="000000"/>
              </w:rPr>
              <w:t>gh-risk deliveries and did your hospital submit</w:t>
            </w:r>
            <w:r w:rsidR="006E50EF" w:rsidRPr="00A943F2">
              <w:rPr>
                <w:snapToGrid w:val="0"/>
                <w:color w:val="000000"/>
              </w:rPr>
              <w:t xml:space="preserve"> data for </w:t>
            </w:r>
            <w:r w:rsidR="006E50EF" w:rsidRPr="00A943F2">
              <w:rPr>
                <w:snapToGrid w:val="0"/>
                <w:color w:val="000000"/>
                <w:u w:val="single"/>
              </w:rPr>
              <w:t>all</w:t>
            </w:r>
            <w:r w:rsidRPr="00A943F2">
              <w:rPr>
                <w:snapToGrid w:val="0"/>
                <w:color w:val="000000"/>
              </w:rPr>
              <w:t xml:space="preserve"> such deliveries during</w:t>
            </w:r>
            <w:r w:rsidR="006E50EF" w:rsidRPr="00A943F2">
              <w:rPr>
                <w:snapToGrid w:val="0"/>
                <w:color w:val="000000"/>
              </w:rPr>
              <w:t xml:space="preserve"> the most recent 12-month period for which performance reports have been released?</w:t>
            </w:r>
          </w:p>
          <w:p w14:paraId="6B36DB03" w14:textId="77777777" w:rsidR="005A2722" w:rsidRPr="00A943F2" w:rsidRDefault="005A2722" w:rsidP="005A2722">
            <w:pPr>
              <w:pStyle w:val="ListParagraph"/>
              <w:ind w:left="360"/>
              <w:rPr>
                <w:snapToGrid w:val="0"/>
                <w:color w:val="0000FF"/>
                <w:u w:val="single"/>
              </w:rPr>
            </w:pPr>
          </w:p>
          <w:p w14:paraId="327CE359" w14:textId="77777777" w:rsidR="006E50EF" w:rsidRPr="00A943F2" w:rsidRDefault="00CA7EAE" w:rsidP="005A2722">
            <w:pPr>
              <w:pStyle w:val="ListParagraph"/>
              <w:ind w:left="360"/>
              <w:rPr>
                <w:snapToGrid w:val="0"/>
                <w:color w:val="000000"/>
              </w:rPr>
            </w:pPr>
            <w:r w:rsidRPr="00A943F2">
              <w:rPr>
                <w:i/>
                <w:snapToGrid w:val="0"/>
                <w:color w:val="000000"/>
              </w:rPr>
              <w:t>If “no,”</w:t>
            </w:r>
            <w:r w:rsidR="006E50EF" w:rsidRPr="00A943F2">
              <w:rPr>
                <w:i/>
                <w:snapToGrid w:val="0"/>
                <w:color w:val="000000"/>
              </w:rPr>
              <w:t xml:space="preserve"> please return to </w:t>
            </w:r>
            <w:r w:rsidR="00C5593E" w:rsidRPr="00A943F2">
              <w:rPr>
                <w:i/>
                <w:snapToGrid w:val="0"/>
                <w:color w:val="000000"/>
              </w:rPr>
              <w:t>question #</w:t>
            </w:r>
            <w:r w:rsidR="006E50EF" w:rsidRPr="00A943F2">
              <w:rPr>
                <w:i/>
                <w:snapToGrid w:val="0"/>
                <w:color w:val="000000"/>
              </w:rPr>
              <w:t xml:space="preserve">3 and </w:t>
            </w:r>
            <w:r w:rsidR="00D60707" w:rsidRPr="00A943F2">
              <w:rPr>
                <w:i/>
                <w:snapToGrid w:val="0"/>
                <w:color w:val="000000"/>
              </w:rPr>
              <w:t>select “Volume,” then complete question</w:t>
            </w:r>
            <w:r w:rsidR="00633157" w:rsidRPr="00A943F2">
              <w:rPr>
                <w:i/>
                <w:snapToGrid w:val="0"/>
                <w:color w:val="000000"/>
              </w:rPr>
              <w:t>s</w:t>
            </w:r>
            <w:r w:rsidR="00D60707" w:rsidRPr="00A943F2">
              <w:rPr>
                <w:i/>
                <w:snapToGrid w:val="0"/>
                <w:color w:val="000000"/>
              </w:rPr>
              <w:t xml:space="preserve"> #</w:t>
            </w:r>
            <w:r w:rsidR="006E50EF" w:rsidRPr="00A943F2">
              <w:rPr>
                <w:i/>
                <w:snapToGrid w:val="0"/>
                <w:color w:val="000000"/>
              </w:rPr>
              <w:t>4</w:t>
            </w:r>
            <w:r w:rsidR="00633157" w:rsidRPr="00A943F2">
              <w:rPr>
                <w:i/>
                <w:snapToGrid w:val="0"/>
                <w:color w:val="000000"/>
              </w:rPr>
              <w:t xml:space="preserve"> and #5</w:t>
            </w:r>
            <w:r w:rsidR="006E50EF" w:rsidRPr="00A943F2">
              <w:rPr>
                <w:i/>
                <w:snapToGrid w:val="0"/>
                <w:color w:val="000000"/>
              </w:rPr>
              <w:t>.</w:t>
            </w:r>
          </w:p>
        </w:tc>
        <w:tc>
          <w:tcPr>
            <w:tcW w:w="2565" w:type="dxa"/>
            <w:vAlign w:val="center"/>
          </w:tcPr>
          <w:p w14:paraId="7C2A9E7A" w14:textId="77777777" w:rsidR="006E50EF" w:rsidRPr="00A943F2" w:rsidRDefault="006E50EF" w:rsidP="00E25580">
            <w:pPr>
              <w:jc w:val="center"/>
              <w:rPr>
                <w:i/>
                <w:snapToGrid w:val="0"/>
              </w:rPr>
            </w:pPr>
            <w:r w:rsidRPr="00A943F2">
              <w:rPr>
                <w:i/>
                <w:snapToGrid w:val="0"/>
              </w:rPr>
              <w:t>Yes</w:t>
            </w:r>
          </w:p>
          <w:p w14:paraId="0A0EA3A9" w14:textId="77777777" w:rsidR="006E50EF" w:rsidRPr="00A943F2" w:rsidRDefault="006E50EF" w:rsidP="00E25580">
            <w:pPr>
              <w:jc w:val="center"/>
              <w:rPr>
                <w:i/>
                <w:snapToGrid w:val="0"/>
              </w:rPr>
            </w:pPr>
            <w:r w:rsidRPr="00A943F2">
              <w:rPr>
                <w:i/>
                <w:snapToGrid w:val="0"/>
              </w:rPr>
              <w:t>No</w:t>
            </w:r>
          </w:p>
        </w:tc>
      </w:tr>
      <w:tr w:rsidR="006E50EF" w14:paraId="5797AD0B"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05247AD"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rPr>
              <w:t>What is t</w:t>
            </w:r>
            <w:r w:rsidRPr="00A943F2">
              <w:rPr>
                <w:snapToGrid w:val="0"/>
                <w:color w:val="000000"/>
              </w:rPr>
              <w:t xml:space="preserve">he most recent 12-month or 36-month </w:t>
            </w:r>
            <w:r w:rsidRPr="00A943F2">
              <w:rPr>
                <w:snapToGrid w:val="0"/>
              </w:rPr>
              <w:t>reporting period for which VON performance results are available? Time period ending:</w:t>
            </w:r>
          </w:p>
        </w:tc>
        <w:tc>
          <w:tcPr>
            <w:tcW w:w="2565" w:type="dxa"/>
          </w:tcPr>
          <w:p w14:paraId="1F94BAC0" w14:textId="77777777" w:rsidR="006E50EF" w:rsidRPr="00A943F2" w:rsidRDefault="006E50EF" w:rsidP="0070197E">
            <w:pPr>
              <w:jc w:val="center"/>
            </w:pPr>
          </w:p>
          <w:p w14:paraId="27CD17D1" w14:textId="77777777" w:rsidR="006E50EF" w:rsidRPr="00A943F2" w:rsidRDefault="006E50EF" w:rsidP="0070197E">
            <w:pPr>
              <w:jc w:val="center"/>
            </w:pPr>
            <w:r w:rsidRPr="00A943F2">
              <w:t>__________</w:t>
            </w:r>
          </w:p>
          <w:p w14:paraId="02176C05" w14:textId="77777777" w:rsidR="006E50EF" w:rsidRPr="00A943F2" w:rsidRDefault="006E50EF" w:rsidP="0070197E">
            <w:pPr>
              <w:jc w:val="center"/>
              <w:rPr>
                <w:b/>
              </w:rPr>
            </w:pPr>
            <w:r w:rsidRPr="00A943F2">
              <w:rPr>
                <w:i/>
              </w:rPr>
              <w:t>YYYY</w:t>
            </w:r>
            <w:r w:rsidRPr="00A943F2">
              <w:rPr>
                <w:i/>
              </w:rPr>
              <w:br/>
            </w:r>
            <w:r w:rsidR="00FE6860" w:rsidRPr="00A943F2">
              <w:rPr>
                <w:i/>
                <w:snapToGrid w:val="0"/>
                <w:sz w:val="16"/>
              </w:rPr>
              <w:t>Format:</w:t>
            </w:r>
            <w:r w:rsidRPr="00A943F2">
              <w:rPr>
                <w:i/>
                <w:snapToGrid w:val="0"/>
                <w:sz w:val="16"/>
              </w:rPr>
              <w:t xml:space="preserve"> 20</w:t>
            </w:r>
            <w:r w:rsidR="00961071" w:rsidRPr="00A943F2">
              <w:rPr>
                <w:i/>
                <w:snapToGrid w:val="0"/>
                <w:sz w:val="16"/>
              </w:rPr>
              <w:t>1</w:t>
            </w:r>
            <w:r w:rsidR="00FE6860" w:rsidRPr="00A943F2">
              <w:rPr>
                <w:i/>
                <w:snapToGrid w:val="0"/>
                <w:sz w:val="16"/>
              </w:rPr>
              <w:t>5</w:t>
            </w:r>
          </w:p>
        </w:tc>
      </w:tr>
      <w:tr w:rsidR="006E50EF" w14:paraId="5E965C25"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0D665CC"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rPr>
              <w:t>From the report for that time period, what is your hospital’s volume?</w:t>
            </w:r>
          </w:p>
        </w:tc>
        <w:tc>
          <w:tcPr>
            <w:tcW w:w="2565" w:type="dxa"/>
          </w:tcPr>
          <w:p w14:paraId="6C0C3C0B" w14:textId="77777777" w:rsidR="006E50EF" w:rsidRPr="00A943F2" w:rsidRDefault="006E50EF" w:rsidP="0070197E">
            <w:pPr>
              <w:jc w:val="center"/>
            </w:pPr>
          </w:p>
          <w:p w14:paraId="2C68526E" w14:textId="77777777" w:rsidR="006E50EF" w:rsidRPr="00A943F2" w:rsidRDefault="006E50EF" w:rsidP="00FE6860">
            <w:pPr>
              <w:jc w:val="center"/>
            </w:pPr>
            <w:r w:rsidRPr="00A943F2">
              <w:t>_______</w:t>
            </w:r>
          </w:p>
          <w:p w14:paraId="392F171C" w14:textId="77777777" w:rsidR="006E50EF" w:rsidRPr="00A943F2" w:rsidRDefault="006E50EF" w:rsidP="0070197E">
            <w:pPr>
              <w:jc w:val="center"/>
              <w:rPr>
                <w:i/>
                <w:sz w:val="16"/>
                <w:szCs w:val="16"/>
              </w:rPr>
            </w:pPr>
          </w:p>
        </w:tc>
      </w:tr>
      <w:tr w:rsidR="006E50EF" w14:paraId="4E03B124"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4959E284"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color w:val="000000"/>
              </w:rPr>
              <w:t xml:space="preserve">From the same report, what was your hospital’s </w:t>
            </w:r>
            <w:r w:rsidRPr="00A943F2">
              <w:rPr>
                <w:b/>
                <w:snapToGrid w:val="0"/>
                <w:color w:val="000000"/>
              </w:rPr>
              <w:t>SMR 95% lowe</w:t>
            </w:r>
            <w:r w:rsidRPr="00A943F2">
              <w:rPr>
                <w:snapToGrid w:val="0"/>
                <w:color w:val="000000"/>
              </w:rPr>
              <w:t xml:space="preserve">r </w:t>
            </w:r>
            <w:r w:rsidRPr="00A943F2">
              <w:rPr>
                <w:b/>
                <w:snapToGrid w:val="0"/>
                <w:color w:val="000000"/>
              </w:rPr>
              <w:t>bound</w:t>
            </w:r>
            <w:r w:rsidRPr="00A943F2">
              <w:rPr>
                <w:snapToGrid w:val="0"/>
                <w:color w:val="000000"/>
              </w:rPr>
              <w:t xml:space="preserve">? </w:t>
            </w:r>
          </w:p>
        </w:tc>
        <w:tc>
          <w:tcPr>
            <w:tcW w:w="2565" w:type="dxa"/>
          </w:tcPr>
          <w:p w14:paraId="1853AB16" w14:textId="77777777" w:rsidR="00FE6860" w:rsidRPr="00A943F2" w:rsidRDefault="00FE6860" w:rsidP="00FE6860">
            <w:pPr>
              <w:jc w:val="center"/>
              <w:rPr>
                <w:i/>
                <w:snapToGrid w:val="0"/>
              </w:rPr>
            </w:pPr>
          </w:p>
          <w:p w14:paraId="5CD72942" w14:textId="77777777" w:rsidR="006E50EF" w:rsidRPr="00A943F2" w:rsidRDefault="00FE6860" w:rsidP="00FE6860">
            <w:pPr>
              <w:jc w:val="center"/>
              <w:rPr>
                <w:i/>
                <w:snapToGrid w:val="0"/>
              </w:rPr>
            </w:pPr>
            <w:r w:rsidRPr="00A943F2">
              <w:rPr>
                <w:i/>
                <w:snapToGrid w:val="0"/>
              </w:rPr>
              <w:t>_______</w:t>
            </w:r>
          </w:p>
          <w:p w14:paraId="4556A0A5" w14:textId="77777777" w:rsidR="006E50EF" w:rsidRPr="00A943F2" w:rsidRDefault="00FE6860" w:rsidP="0070197E">
            <w:pPr>
              <w:jc w:val="center"/>
              <w:rPr>
                <w:i/>
                <w:snapToGrid w:val="0"/>
                <w:sz w:val="16"/>
              </w:rPr>
            </w:pPr>
            <w:r w:rsidRPr="00A943F2">
              <w:rPr>
                <w:i/>
                <w:snapToGrid w:val="0"/>
                <w:sz w:val="16"/>
              </w:rPr>
              <w:t xml:space="preserve">   Format: 0.8</w:t>
            </w:r>
          </w:p>
          <w:p w14:paraId="275DA15A" w14:textId="77777777" w:rsidR="00FE6860" w:rsidRPr="00A943F2" w:rsidRDefault="00FE6860" w:rsidP="0070197E">
            <w:pPr>
              <w:jc w:val="center"/>
              <w:rPr>
                <w:i/>
                <w:snapToGrid w:val="0"/>
              </w:rPr>
            </w:pPr>
          </w:p>
        </w:tc>
      </w:tr>
      <w:tr w:rsidR="006E50EF" w14:paraId="03904491"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EAF9BCC" w14:textId="77777777" w:rsidR="006E50EF" w:rsidRPr="00A943F2" w:rsidRDefault="006E50EF" w:rsidP="00ED58C1">
            <w:pPr>
              <w:pStyle w:val="Header"/>
              <w:numPr>
                <w:ilvl w:val="0"/>
                <w:numId w:val="15"/>
              </w:numPr>
              <w:tabs>
                <w:tab w:val="clear" w:pos="4320"/>
                <w:tab w:val="clear" w:pos="8640"/>
              </w:tabs>
              <w:rPr>
                <w:snapToGrid w:val="0"/>
                <w:color w:val="000000"/>
              </w:rPr>
            </w:pPr>
            <w:r w:rsidRPr="00A943F2">
              <w:rPr>
                <w:snapToGrid w:val="0"/>
                <w:color w:val="000000"/>
              </w:rPr>
              <w:t>From the report for that time period, what was your hospital’s observed to expected ratio of morbidity or mortality (</w:t>
            </w:r>
            <w:r w:rsidRPr="00A943F2">
              <w:rPr>
                <w:b/>
                <w:snapToGrid w:val="0"/>
                <w:color w:val="000000"/>
              </w:rPr>
              <w:t>SMR shrunken</w:t>
            </w:r>
            <w:r w:rsidRPr="00A943F2">
              <w:rPr>
                <w:snapToGrid w:val="0"/>
                <w:color w:val="000000"/>
              </w:rPr>
              <w:t>)?</w:t>
            </w:r>
          </w:p>
        </w:tc>
        <w:tc>
          <w:tcPr>
            <w:tcW w:w="2565" w:type="dxa"/>
          </w:tcPr>
          <w:p w14:paraId="31F8ECA1" w14:textId="77777777" w:rsidR="006E50EF" w:rsidRPr="00A943F2" w:rsidRDefault="006E50EF" w:rsidP="0070197E">
            <w:pPr>
              <w:jc w:val="center"/>
              <w:rPr>
                <w:i/>
                <w:snapToGrid w:val="0"/>
              </w:rPr>
            </w:pPr>
          </w:p>
          <w:p w14:paraId="359A985B" w14:textId="77777777" w:rsidR="006E50EF" w:rsidRPr="00A943F2" w:rsidRDefault="006E50EF" w:rsidP="0070197E">
            <w:pPr>
              <w:jc w:val="center"/>
              <w:rPr>
                <w:i/>
                <w:snapToGrid w:val="0"/>
              </w:rPr>
            </w:pPr>
            <w:r w:rsidRPr="00A943F2">
              <w:rPr>
                <w:i/>
                <w:snapToGrid w:val="0"/>
              </w:rPr>
              <w:t xml:space="preserve">   _______</w:t>
            </w:r>
          </w:p>
          <w:p w14:paraId="06D3B9EC" w14:textId="77777777" w:rsidR="006E50EF" w:rsidRPr="00A943F2" w:rsidRDefault="00FE6860" w:rsidP="0070197E">
            <w:pPr>
              <w:jc w:val="center"/>
              <w:rPr>
                <w:i/>
                <w:snapToGrid w:val="0"/>
              </w:rPr>
            </w:pPr>
            <w:r w:rsidRPr="00A943F2">
              <w:rPr>
                <w:i/>
                <w:snapToGrid w:val="0"/>
                <w:sz w:val="16"/>
              </w:rPr>
              <w:t xml:space="preserve">  Format: 1.0</w:t>
            </w:r>
            <w:r w:rsidR="006E50EF" w:rsidRPr="00A943F2">
              <w:rPr>
                <w:i/>
                <w:snapToGrid w:val="0"/>
              </w:rPr>
              <w:br/>
            </w:r>
          </w:p>
        </w:tc>
      </w:tr>
      <w:tr w:rsidR="006E50EF" w14:paraId="5366DD0E"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50A31A22" w14:textId="77777777" w:rsidR="006E50EF" w:rsidRPr="00A943F2" w:rsidRDefault="006E50EF" w:rsidP="00ED58C1">
            <w:pPr>
              <w:pStyle w:val="Header"/>
              <w:numPr>
                <w:ilvl w:val="0"/>
                <w:numId w:val="15"/>
              </w:numPr>
              <w:tabs>
                <w:tab w:val="clear" w:pos="4320"/>
                <w:tab w:val="clear" w:pos="8640"/>
              </w:tabs>
              <w:rPr>
                <w:snapToGrid w:val="0"/>
                <w:color w:val="000000"/>
              </w:rPr>
            </w:pPr>
            <w:r w:rsidRPr="00A943F2">
              <w:rPr>
                <w:snapToGrid w:val="0"/>
                <w:color w:val="000000"/>
              </w:rPr>
              <w:t xml:space="preserve">From the same report, what was your hospital’s </w:t>
            </w:r>
            <w:r w:rsidRPr="00A943F2">
              <w:rPr>
                <w:b/>
                <w:snapToGrid w:val="0"/>
                <w:color w:val="000000"/>
              </w:rPr>
              <w:t>SMR 95% upper bound</w:t>
            </w:r>
            <w:r w:rsidRPr="00A943F2">
              <w:rPr>
                <w:snapToGrid w:val="0"/>
                <w:color w:val="000000"/>
              </w:rPr>
              <w:t xml:space="preserve">? </w:t>
            </w:r>
          </w:p>
        </w:tc>
        <w:tc>
          <w:tcPr>
            <w:tcW w:w="2565" w:type="dxa"/>
          </w:tcPr>
          <w:p w14:paraId="1C2E71AE" w14:textId="77777777" w:rsidR="006E50EF" w:rsidRPr="00A943F2" w:rsidRDefault="006E50EF" w:rsidP="0070197E">
            <w:pPr>
              <w:jc w:val="center"/>
              <w:rPr>
                <w:i/>
                <w:snapToGrid w:val="0"/>
              </w:rPr>
            </w:pPr>
          </w:p>
          <w:p w14:paraId="3CCBE632" w14:textId="77777777" w:rsidR="006E50EF" w:rsidRPr="00A943F2" w:rsidRDefault="006E50EF" w:rsidP="0070197E">
            <w:pPr>
              <w:jc w:val="center"/>
              <w:rPr>
                <w:i/>
                <w:snapToGrid w:val="0"/>
              </w:rPr>
            </w:pPr>
            <w:r w:rsidRPr="00A943F2">
              <w:rPr>
                <w:i/>
                <w:snapToGrid w:val="0"/>
              </w:rPr>
              <w:t xml:space="preserve">   _______</w:t>
            </w:r>
          </w:p>
          <w:p w14:paraId="754AD8AA" w14:textId="77777777" w:rsidR="006E50EF" w:rsidRPr="00A943F2" w:rsidRDefault="00FE6860" w:rsidP="0070197E">
            <w:pPr>
              <w:jc w:val="center"/>
              <w:rPr>
                <w:i/>
                <w:snapToGrid w:val="0"/>
              </w:rPr>
            </w:pPr>
            <w:r w:rsidRPr="00A943F2">
              <w:rPr>
                <w:i/>
                <w:snapToGrid w:val="0"/>
                <w:sz w:val="16"/>
              </w:rPr>
              <w:t xml:space="preserve">  Format: 1.2</w:t>
            </w:r>
            <w:r w:rsidR="006E50EF" w:rsidRPr="00A943F2">
              <w:rPr>
                <w:i/>
                <w:snapToGrid w:val="0"/>
              </w:rPr>
              <w:br/>
            </w:r>
          </w:p>
        </w:tc>
      </w:tr>
    </w:tbl>
    <w:p w14:paraId="50B59710" w14:textId="3EDC3707" w:rsidR="00AE1A2D" w:rsidRDefault="00AE1A2D"/>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6"/>
        <w:gridCol w:w="2988"/>
      </w:tblGrid>
      <w:tr w:rsidR="006E50EF" w14:paraId="0C43CB3F" w14:textId="77777777" w:rsidTr="00AE1A2D">
        <w:trPr>
          <w:cantSplit/>
          <w:trHeight w:val="232"/>
          <w:jc w:val="center"/>
        </w:trPr>
        <w:tc>
          <w:tcPr>
            <w:tcW w:w="9468" w:type="dxa"/>
            <w:gridSpan w:val="2"/>
            <w:tcBorders>
              <w:top w:val="single" w:sz="24" w:space="0" w:color="auto"/>
              <w:left w:val="nil"/>
              <w:bottom w:val="nil"/>
              <w:right w:val="nil"/>
            </w:tcBorders>
          </w:tcPr>
          <w:p w14:paraId="332F1AA9" w14:textId="41BED31B" w:rsidR="006E50EF" w:rsidRDefault="006E50EF" w:rsidP="0070197E">
            <w:pPr>
              <w:pStyle w:val="Header"/>
              <w:tabs>
                <w:tab w:val="clear" w:pos="4320"/>
                <w:tab w:val="clear" w:pos="8640"/>
              </w:tabs>
              <w:rPr>
                <w:snapToGrid w:val="0"/>
              </w:rPr>
            </w:pPr>
          </w:p>
          <w:p w14:paraId="311E92B9" w14:textId="77777777" w:rsidR="006E50EF" w:rsidRDefault="00193C2A" w:rsidP="007A44CB">
            <w:pPr>
              <w:pStyle w:val="Heading3"/>
            </w:pPr>
            <w:bookmarkStart w:id="154" w:name="_Toc447195016"/>
            <w:r>
              <w:rPr>
                <w:snapToGrid w:val="0"/>
              </w:rPr>
              <w:t xml:space="preserve">Process Measure of Quality </w:t>
            </w:r>
            <w:r w:rsidR="006E50EF">
              <w:rPr>
                <w:snapToGrid w:val="0"/>
              </w:rPr>
              <w:t xml:space="preserve">– </w:t>
            </w:r>
            <w:r>
              <w:rPr>
                <w:snapToGrid w:val="0"/>
              </w:rPr>
              <w:t>Antenatal Steroids</w:t>
            </w:r>
            <w:bookmarkEnd w:id="154"/>
          </w:p>
          <w:p w14:paraId="7CEF8810" w14:textId="77777777" w:rsidR="006E50EF" w:rsidRDefault="006E50EF" w:rsidP="0070197E">
            <w:pPr>
              <w:pStyle w:val="Header"/>
              <w:tabs>
                <w:tab w:val="clear" w:pos="4320"/>
                <w:tab w:val="clear" w:pos="8640"/>
              </w:tabs>
              <w:rPr>
                <w:b/>
                <w:snapToGrid w:val="0"/>
              </w:rPr>
            </w:pPr>
          </w:p>
        </w:tc>
      </w:tr>
      <w:tr w:rsidR="006E50EF" w14:paraId="60A8ADAD" w14:textId="77777777" w:rsidTr="00AE1A2D">
        <w:trPr>
          <w:trHeight w:val="490"/>
          <w:jc w:val="center"/>
        </w:trPr>
        <w:tc>
          <w:tcPr>
            <w:tcW w:w="9468" w:type="dxa"/>
            <w:gridSpan w:val="2"/>
            <w:tcBorders>
              <w:top w:val="nil"/>
              <w:left w:val="nil"/>
              <w:right w:val="nil"/>
            </w:tcBorders>
          </w:tcPr>
          <w:p w14:paraId="1FD8E610" w14:textId="77777777" w:rsidR="002F08EF" w:rsidRDefault="006E50EF" w:rsidP="0070197E">
            <w:pPr>
              <w:rPr>
                <w:rFonts w:cs="Arial"/>
                <w:snapToGrid w:val="0"/>
              </w:rPr>
            </w:pPr>
            <w:r w:rsidRPr="00430419">
              <w:rPr>
                <w:rFonts w:cs="Arial"/>
                <w:b/>
              </w:rPr>
              <w:t>Specifications:</w:t>
            </w:r>
            <w:r w:rsidRPr="00430419">
              <w:rPr>
                <w:rFonts w:cs="Arial"/>
              </w:rPr>
              <w:t xml:space="preserve"> See </w:t>
            </w:r>
            <w:hyperlink w:anchor="_Antenatal_Steroids_Process" w:history="1">
              <w:r w:rsidR="007B740C" w:rsidRPr="00430419">
                <w:rPr>
                  <w:rStyle w:val="Hyperlink"/>
                  <w:rFonts w:cs="Arial"/>
                  <w:b/>
                  <w:i/>
                  <w:snapToGrid w:val="0"/>
                </w:rPr>
                <w:t>Antenatal Steroids</w:t>
              </w:r>
              <w:r w:rsidRPr="00430419">
                <w:rPr>
                  <w:rStyle w:val="Hyperlink"/>
                  <w:rFonts w:cs="Arial"/>
                  <w:b/>
                  <w:i/>
                  <w:snapToGrid w:val="0"/>
                </w:rPr>
                <w:t xml:space="preserve"> Process Measure Specifications</w:t>
              </w:r>
            </w:hyperlink>
            <w:r w:rsidRPr="00430419">
              <w:rPr>
                <w:rFonts w:cs="Arial"/>
                <w:snapToGrid w:val="0"/>
              </w:rPr>
              <w:t xml:space="preserve"> in </w:t>
            </w:r>
            <w:r w:rsidR="00271B13" w:rsidRPr="00430419">
              <w:rPr>
                <w:rFonts w:cs="Arial"/>
                <w:snapToGrid w:val="0"/>
              </w:rPr>
              <w:t xml:space="preserve">the </w:t>
            </w:r>
            <w:r w:rsidRPr="00430419">
              <w:rPr>
                <w:rFonts w:cs="Arial"/>
                <w:snapToGrid w:val="0"/>
              </w:rPr>
              <w:t xml:space="preserve">Maternity Care Reference Information on </w:t>
            </w:r>
            <w:r w:rsidRPr="007F35F0">
              <w:rPr>
                <w:rFonts w:cs="Arial"/>
                <w:snapToGrid w:val="0"/>
              </w:rPr>
              <w:t xml:space="preserve">pages </w:t>
            </w:r>
            <w:r w:rsidR="001B748A" w:rsidRPr="007F35F0">
              <w:rPr>
                <w:rFonts w:cs="Arial"/>
                <w:snapToGrid w:val="0"/>
              </w:rPr>
              <w:t>7</w:t>
            </w:r>
            <w:r w:rsidR="008B1C42" w:rsidRPr="007F35F0">
              <w:rPr>
                <w:rFonts w:cs="Arial"/>
                <w:snapToGrid w:val="0"/>
              </w:rPr>
              <w:t>4</w:t>
            </w:r>
            <w:r w:rsidR="001B748A" w:rsidRPr="007F35F0">
              <w:rPr>
                <w:rFonts w:cs="Arial"/>
                <w:snapToGrid w:val="0"/>
              </w:rPr>
              <w:t>-7</w:t>
            </w:r>
            <w:r w:rsidR="008B1C42" w:rsidRPr="007F35F0">
              <w:rPr>
                <w:rFonts w:cs="Arial"/>
                <w:snapToGrid w:val="0"/>
              </w:rPr>
              <w:t>5</w:t>
            </w:r>
            <w:r w:rsidR="007E4FAA" w:rsidRPr="007F35F0">
              <w:rPr>
                <w:rFonts w:cs="Arial"/>
                <w:snapToGrid w:val="0"/>
              </w:rPr>
              <w:t>.</w:t>
            </w:r>
            <w:r w:rsidR="007E4FAA" w:rsidRPr="00430419">
              <w:rPr>
                <w:rFonts w:cs="Arial"/>
                <w:snapToGrid w:val="0"/>
              </w:rPr>
              <w:t xml:space="preserve"> </w:t>
            </w:r>
          </w:p>
          <w:p w14:paraId="5EFEB3CD" w14:textId="77777777" w:rsidR="00EC2703" w:rsidRPr="00430419" w:rsidRDefault="00EC2703" w:rsidP="0070197E">
            <w:pPr>
              <w:rPr>
                <w:b/>
                <w:snapToGrid w:val="0"/>
              </w:rPr>
            </w:pPr>
          </w:p>
          <w:p w14:paraId="6C449DF4" w14:textId="77777777" w:rsidR="006E50EF" w:rsidRDefault="006E50EF" w:rsidP="0070197E">
            <w:pPr>
              <w:rPr>
                <w:rFonts w:cs="Arial"/>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FE3C7A" w14:paraId="7AF2BC17" w14:textId="77777777" w:rsidTr="000469EC">
              <w:trPr>
                <w:jc w:val="center"/>
              </w:trPr>
              <w:tc>
                <w:tcPr>
                  <w:tcW w:w="9673" w:type="dxa"/>
                </w:tcPr>
                <w:p w14:paraId="1F6C9BB8" w14:textId="77777777" w:rsidR="00FE3C7A" w:rsidRPr="00430419" w:rsidRDefault="00FE3C7A" w:rsidP="001E77A7">
                  <w:pPr>
                    <w:spacing w:before="120"/>
                    <w:rPr>
                      <w:rFonts w:cs="Arial"/>
                      <w:snapToGrid w:val="0"/>
                    </w:rPr>
                  </w:pPr>
                  <w:r w:rsidRPr="00430419">
                    <w:rPr>
                      <w:rFonts w:cs="Arial"/>
                      <w:b/>
                      <w:snapToGrid w:val="0"/>
                    </w:rPr>
                    <w:t>Reporting Time Period:</w:t>
                  </w:r>
                  <w:r w:rsidRPr="00430419">
                    <w:rPr>
                      <w:rFonts w:cs="Arial"/>
                      <w:snapToGrid w:val="0"/>
                    </w:rPr>
                    <w:t xml:space="preserve"> </w:t>
                  </w:r>
                </w:p>
                <w:p w14:paraId="249EA1E9" w14:textId="77777777" w:rsidR="00FE3C7A" w:rsidRPr="00430419" w:rsidRDefault="00FE3C7A" w:rsidP="00FE3C7A">
                  <w:pPr>
                    <w:rPr>
                      <w:rFonts w:cs="Arial"/>
                      <w:snapToGrid w:val="0"/>
                    </w:rPr>
                  </w:pPr>
                  <w:r w:rsidRPr="00430419">
                    <w:rPr>
                      <w:rFonts w:cs="Arial"/>
                      <w:snapToGrid w:val="0"/>
                    </w:rPr>
                    <w:t xml:space="preserve">For hospitals reporting on the </w:t>
                  </w:r>
                  <w:r w:rsidRPr="00430419">
                    <w:rPr>
                      <w:rFonts w:cs="Arial"/>
                      <w:b/>
                      <w:snapToGrid w:val="0"/>
                    </w:rPr>
                    <w:t>VON</w:t>
                  </w:r>
                  <w:r w:rsidRPr="00430419">
                    <w:rPr>
                      <w:rFonts w:cs="Arial"/>
                      <w:snapToGrid w:val="0"/>
                    </w:rPr>
                    <w:t xml:space="preserve"> measure, answer questions #12-17 for the most recent </w:t>
                  </w:r>
                  <w:r w:rsidRPr="006D12EB">
                    <w:rPr>
                      <w:rFonts w:cs="Arial"/>
                      <w:b/>
                      <w:snapToGrid w:val="0"/>
                    </w:rPr>
                    <w:t>12-month</w:t>
                  </w:r>
                  <w:r w:rsidRPr="00430419">
                    <w:rPr>
                      <w:rFonts w:cs="Arial"/>
                      <w:snapToGrid w:val="0"/>
                    </w:rPr>
                    <w:t xml:space="preserve"> period available, ending within the last 12-months.</w:t>
                  </w:r>
                </w:p>
                <w:p w14:paraId="74B626BB" w14:textId="77777777" w:rsidR="00FE3C7A" w:rsidRPr="00430419" w:rsidRDefault="00FE3C7A" w:rsidP="00FE3C7A">
                  <w:pPr>
                    <w:rPr>
                      <w:rFonts w:cs="Arial"/>
                      <w:snapToGrid w:val="0"/>
                    </w:rPr>
                  </w:pPr>
                </w:p>
                <w:p w14:paraId="0AF8D1E4" w14:textId="77777777" w:rsidR="00FE3C7A" w:rsidRPr="00430419" w:rsidRDefault="00FE3C7A" w:rsidP="00FE3C7A">
                  <w:pPr>
                    <w:rPr>
                      <w:rFonts w:cs="Arial"/>
                      <w:snapToGrid w:val="0"/>
                    </w:rPr>
                  </w:pPr>
                  <w:r w:rsidRPr="00430419">
                    <w:rPr>
                      <w:rFonts w:cs="Arial"/>
                      <w:snapToGrid w:val="0"/>
                    </w:rPr>
                    <w:t xml:space="preserve">For hospitals reporting on </w:t>
                  </w:r>
                  <w:r w:rsidRPr="00430419">
                    <w:rPr>
                      <w:rFonts w:cs="Arial"/>
                      <w:b/>
                      <w:snapToGrid w:val="0"/>
                    </w:rPr>
                    <w:t>The Joint Commission</w:t>
                  </w:r>
                  <w:r w:rsidR="005F1134">
                    <w:rPr>
                      <w:rFonts w:cs="Arial"/>
                      <w:b/>
                      <w:snapToGrid w:val="0"/>
                    </w:rPr>
                    <w:t>’</w:t>
                  </w:r>
                  <w:r w:rsidRPr="00430419">
                    <w:rPr>
                      <w:rFonts w:cs="Arial"/>
                      <w:b/>
                      <w:snapToGrid w:val="0"/>
                    </w:rPr>
                    <w:t>s PC-03</w:t>
                  </w:r>
                  <w:r w:rsidRPr="00430419">
                    <w:rPr>
                      <w:rFonts w:cs="Arial"/>
                      <w:snapToGrid w:val="0"/>
                    </w:rPr>
                    <w:t xml:space="preserve"> measure, answer questions #12-17 based on a </w:t>
                  </w:r>
                  <w:r w:rsidRPr="00430419">
                    <w:rPr>
                      <w:rFonts w:cs="Arial"/>
                      <w:b/>
                      <w:snapToGrid w:val="0"/>
                    </w:rPr>
                    <w:t>9-month</w:t>
                  </w:r>
                  <w:r w:rsidRPr="00430419">
                    <w:rPr>
                      <w:rFonts w:cs="Arial"/>
                      <w:snapToGrid w:val="0"/>
                    </w:rPr>
                    <w:t xml:space="preserve"> reporting time period: </w:t>
                  </w:r>
                </w:p>
                <w:p w14:paraId="0698D858" w14:textId="77777777" w:rsidR="00FE3C7A" w:rsidRPr="00430419" w:rsidRDefault="00FE3C7A" w:rsidP="00ED58C1">
                  <w:pPr>
                    <w:pStyle w:val="ListParagraph"/>
                    <w:numPr>
                      <w:ilvl w:val="0"/>
                      <w:numId w:val="59"/>
                    </w:numPr>
                    <w:rPr>
                      <w:i/>
                      <w:snapToGrid w:val="0"/>
                    </w:rPr>
                  </w:pPr>
                  <w:r w:rsidRPr="00430419">
                    <w:rPr>
                      <w:snapToGrid w:val="0"/>
                    </w:rPr>
                    <w:t>Surveys submitted prior to September 1, 2016: 01/01/2015 - 09/30/2015</w:t>
                  </w:r>
                </w:p>
                <w:p w14:paraId="30B06A82" w14:textId="77777777" w:rsidR="00FE3C7A" w:rsidRPr="00FE3C7A" w:rsidRDefault="00FE3C7A" w:rsidP="001E77A7">
                  <w:pPr>
                    <w:pStyle w:val="ListParagraph"/>
                    <w:numPr>
                      <w:ilvl w:val="0"/>
                      <w:numId w:val="59"/>
                    </w:numPr>
                    <w:spacing w:after="120"/>
                    <w:rPr>
                      <w:i/>
                      <w:snapToGrid w:val="0"/>
                    </w:rPr>
                  </w:pPr>
                  <w:r w:rsidRPr="00430419">
                    <w:rPr>
                      <w:snapToGrid w:val="0"/>
                    </w:rPr>
                    <w:t>Surveys (re)submitted on or after September 1, 2016: 10/01/2015 – 06/30/2016</w:t>
                  </w:r>
                </w:p>
              </w:tc>
            </w:tr>
          </w:tbl>
          <w:p w14:paraId="4D26A768" w14:textId="77777777" w:rsidR="00FE3C7A" w:rsidRPr="00430419" w:rsidRDefault="00FE3C7A" w:rsidP="0070197E">
            <w:pPr>
              <w:rPr>
                <w:rFonts w:cs="Arial"/>
                <w:b/>
                <w:snapToGrid w:val="0"/>
              </w:rPr>
            </w:pPr>
          </w:p>
          <w:p w14:paraId="5EF10DBB" w14:textId="77777777" w:rsidR="003A506A" w:rsidRPr="00FE3C7A" w:rsidRDefault="003A506A" w:rsidP="00FE3C7A">
            <w:pPr>
              <w:rPr>
                <w:snapToGrid w:val="0"/>
              </w:rPr>
            </w:pPr>
          </w:p>
        </w:tc>
      </w:tr>
      <w:tr w:rsidR="00700E25" w:rsidRPr="00700E25" w14:paraId="2DA9B735" w14:textId="77777777" w:rsidTr="00AE1A2D">
        <w:trPr>
          <w:cantSplit/>
          <w:trHeight w:val="490"/>
          <w:jc w:val="center"/>
        </w:trPr>
        <w:tc>
          <w:tcPr>
            <w:tcW w:w="6637" w:type="dxa"/>
            <w:vAlign w:val="center"/>
          </w:tcPr>
          <w:p w14:paraId="421BB185" w14:textId="51D63265" w:rsidR="00700E25" w:rsidRPr="00430419" w:rsidRDefault="00700E25" w:rsidP="007F35F0">
            <w:pPr>
              <w:numPr>
                <w:ilvl w:val="0"/>
                <w:numId w:val="15"/>
              </w:numPr>
              <w:spacing w:before="120" w:after="100" w:afterAutospacing="1"/>
              <w:rPr>
                <w:snapToGrid w:val="0"/>
              </w:rPr>
            </w:pPr>
            <w:r w:rsidRPr="00430419">
              <w:rPr>
                <w:snapToGrid w:val="0"/>
              </w:rPr>
              <w:t xml:space="preserve">Do the responses for questions </w:t>
            </w:r>
            <w:r w:rsidR="005C2B38" w:rsidRPr="00430419">
              <w:rPr>
                <w:snapToGrid w:val="0"/>
              </w:rPr>
              <w:t>#</w:t>
            </w:r>
            <w:r w:rsidRPr="00430419">
              <w:rPr>
                <w:snapToGrid w:val="0"/>
              </w:rPr>
              <w:t>15-</w:t>
            </w:r>
            <w:r w:rsidR="00F72DC7" w:rsidRPr="00430419">
              <w:rPr>
                <w:snapToGrid w:val="0"/>
              </w:rPr>
              <w:t xml:space="preserve">17 </w:t>
            </w:r>
            <w:r w:rsidRPr="00430419">
              <w:rPr>
                <w:snapToGrid w:val="0"/>
              </w:rPr>
              <w:t>below represent data collected using VON or The Joint Commission measure specifications?</w:t>
            </w:r>
            <w:r w:rsidR="000B1D5E" w:rsidRPr="00430419">
              <w:rPr>
                <w:snapToGrid w:val="0"/>
              </w:rPr>
              <w:br/>
            </w:r>
            <w:r w:rsidR="000B1D5E" w:rsidRPr="00430419">
              <w:rPr>
                <w:snapToGrid w:val="0"/>
              </w:rPr>
              <w:br/>
            </w:r>
            <w:r w:rsidR="000B1D5E" w:rsidRPr="00430419">
              <w:rPr>
                <w:i/>
                <w:snapToGrid w:val="0"/>
              </w:rPr>
              <w:t>If “VON,” skip question</w:t>
            </w:r>
            <w:r w:rsidR="008053E2" w:rsidRPr="00430419">
              <w:rPr>
                <w:i/>
                <w:snapToGrid w:val="0"/>
              </w:rPr>
              <w:t xml:space="preserve"> #14</w:t>
            </w:r>
            <w:r w:rsidR="000B1D5E" w:rsidRPr="00430419">
              <w:rPr>
                <w:i/>
                <w:snapToGrid w:val="0"/>
              </w:rPr>
              <w:t>.</w:t>
            </w:r>
            <w:r w:rsidR="007F35F0">
              <w:rPr>
                <w:i/>
                <w:snapToGrid w:val="0"/>
              </w:rPr>
              <w:br/>
              <w:t xml:space="preserve">If “The Joint Commission,” skip question #13. </w:t>
            </w:r>
          </w:p>
        </w:tc>
        <w:tc>
          <w:tcPr>
            <w:tcW w:w="2831" w:type="dxa"/>
          </w:tcPr>
          <w:p w14:paraId="09247F1F" w14:textId="77777777" w:rsidR="005D7A3B" w:rsidRDefault="005D7A3B" w:rsidP="0070197E">
            <w:pPr>
              <w:jc w:val="center"/>
              <w:rPr>
                <w:snapToGrid w:val="0"/>
              </w:rPr>
            </w:pPr>
          </w:p>
          <w:p w14:paraId="3B7615D5" w14:textId="77777777" w:rsidR="00700E25" w:rsidRPr="00430419" w:rsidRDefault="00700E25" w:rsidP="0070197E">
            <w:pPr>
              <w:jc w:val="center"/>
              <w:rPr>
                <w:snapToGrid w:val="0"/>
              </w:rPr>
            </w:pPr>
            <w:r w:rsidRPr="00430419">
              <w:rPr>
                <w:snapToGrid w:val="0"/>
              </w:rPr>
              <w:t>VON</w:t>
            </w:r>
          </w:p>
          <w:p w14:paraId="3C30500A" w14:textId="77777777" w:rsidR="00700E25" w:rsidRPr="00430419" w:rsidRDefault="00700E25" w:rsidP="0070197E">
            <w:pPr>
              <w:jc w:val="center"/>
              <w:rPr>
                <w:snapToGrid w:val="0"/>
              </w:rPr>
            </w:pPr>
          </w:p>
          <w:p w14:paraId="247B6A4C" w14:textId="77777777" w:rsidR="00700E25" w:rsidRPr="00430419" w:rsidRDefault="00700E25" w:rsidP="0070197E">
            <w:pPr>
              <w:jc w:val="center"/>
              <w:rPr>
                <w:snapToGrid w:val="0"/>
              </w:rPr>
            </w:pPr>
            <w:r w:rsidRPr="00430419">
              <w:rPr>
                <w:snapToGrid w:val="0"/>
              </w:rPr>
              <w:t>The Joint Commission</w:t>
            </w:r>
          </w:p>
        </w:tc>
      </w:tr>
      <w:tr w:rsidR="00700E25" w14:paraId="0353E6C4" w14:textId="77777777" w:rsidTr="00AE1A2D">
        <w:trPr>
          <w:cantSplit/>
          <w:trHeight w:val="490"/>
          <w:jc w:val="center"/>
        </w:trPr>
        <w:tc>
          <w:tcPr>
            <w:tcW w:w="6637" w:type="dxa"/>
            <w:vAlign w:val="center"/>
          </w:tcPr>
          <w:p w14:paraId="62E63EAC" w14:textId="77777777" w:rsidR="00700E25" w:rsidRPr="00430419" w:rsidRDefault="00700E25" w:rsidP="00ED58C1">
            <w:pPr>
              <w:numPr>
                <w:ilvl w:val="0"/>
                <w:numId w:val="15"/>
              </w:numPr>
              <w:rPr>
                <w:snapToGrid w:val="0"/>
              </w:rPr>
            </w:pPr>
            <w:r w:rsidRPr="00430419">
              <w:rPr>
                <w:snapToGrid w:val="0"/>
              </w:rPr>
              <w:t>If VON, what is t</w:t>
            </w:r>
            <w:r w:rsidRPr="00430419">
              <w:rPr>
                <w:snapToGrid w:val="0"/>
                <w:color w:val="000000"/>
              </w:rPr>
              <w:t xml:space="preserve">he most recent 12-month </w:t>
            </w:r>
            <w:r w:rsidRPr="00430419">
              <w:rPr>
                <w:snapToGrid w:val="0"/>
              </w:rPr>
              <w:t>reporting period for which VON performance results are available? Time period ending:</w:t>
            </w:r>
          </w:p>
        </w:tc>
        <w:tc>
          <w:tcPr>
            <w:tcW w:w="2831" w:type="dxa"/>
          </w:tcPr>
          <w:p w14:paraId="35FF4532" w14:textId="77777777" w:rsidR="00700E25" w:rsidRPr="00430419" w:rsidRDefault="00700E25" w:rsidP="0070197E">
            <w:pPr>
              <w:jc w:val="center"/>
              <w:rPr>
                <w:i/>
                <w:snapToGrid w:val="0"/>
              </w:rPr>
            </w:pPr>
          </w:p>
          <w:p w14:paraId="1D0E5A8B" w14:textId="77777777" w:rsidR="00700E25" w:rsidRPr="00430419" w:rsidRDefault="00700E25" w:rsidP="0070197E">
            <w:pPr>
              <w:jc w:val="center"/>
              <w:rPr>
                <w:i/>
              </w:rPr>
            </w:pPr>
            <w:r w:rsidRPr="00430419">
              <w:rPr>
                <w:i/>
              </w:rPr>
              <w:t>______</w:t>
            </w:r>
          </w:p>
          <w:p w14:paraId="38CF5B58" w14:textId="77777777" w:rsidR="00700E25" w:rsidRDefault="00700E25" w:rsidP="0070197E">
            <w:pPr>
              <w:jc w:val="center"/>
              <w:rPr>
                <w:i/>
                <w:snapToGrid w:val="0"/>
                <w:sz w:val="16"/>
              </w:rPr>
            </w:pPr>
            <w:r w:rsidRPr="00430419">
              <w:rPr>
                <w:i/>
              </w:rPr>
              <w:t>YYYY</w:t>
            </w:r>
            <w:r w:rsidRPr="00430419">
              <w:rPr>
                <w:i/>
              </w:rPr>
              <w:br/>
            </w:r>
            <w:r w:rsidR="003A506A" w:rsidRPr="00430419">
              <w:rPr>
                <w:i/>
                <w:snapToGrid w:val="0"/>
                <w:sz w:val="16"/>
              </w:rPr>
              <w:t>Format: 2015</w:t>
            </w:r>
          </w:p>
          <w:p w14:paraId="4AB455FF" w14:textId="77777777" w:rsidR="007F35F0" w:rsidRPr="00430419" w:rsidRDefault="007F35F0" w:rsidP="0070197E">
            <w:pPr>
              <w:jc w:val="center"/>
              <w:rPr>
                <w:i/>
                <w:snapToGrid w:val="0"/>
              </w:rPr>
            </w:pPr>
          </w:p>
        </w:tc>
      </w:tr>
      <w:tr w:rsidR="00700E25" w14:paraId="49DEB3D4" w14:textId="77777777" w:rsidTr="00AE1A2D">
        <w:trPr>
          <w:cantSplit/>
          <w:trHeight w:val="490"/>
          <w:jc w:val="center"/>
        </w:trPr>
        <w:tc>
          <w:tcPr>
            <w:tcW w:w="6637" w:type="dxa"/>
          </w:tcPr>
          <w:p w14:paraId="44C8997C" w14:textId="77777777" w:rsidR="00700E25" w:rsidRPr="00430419" w:rsidRDefault="00700E25" w:rsidP="007F35F0">
            <w:pPr>
              <w:numPr>
                <w:ilvl w:val="0"/>
                <w:numId w:val="15"/>
              </w:numPr>
              <w:spacing w:before="120" w:after="100" w:afterAutospacing="1"/>
              <w:rPr>
                <w:snapToGrid w:val="0"/>
              </w:rPr>
            </w:pPr>
            <w:r w:rsidRPr="00430419">
              <w:rPr>
                <w:snapToGrid w:val="0"/>
              </w:rPr>
              <w:t xml:space="preserve">If The Joint Commission, </w:t>
            </w:r>
            <w:r w:rsidR="000B1D5E" w:rsidRPr="00430419">
              <w:rPr>
                <w:snapToGrid w:val="0"/>
              </w:rPr>
              <w:t xml:space="preserve">9-month </w:t>
            </w:r>
            <w:r w:rsidRPr="00430419">
              <w:rPr>
                <w:snapToGrid w:val="0"/>
              </w:rPr>
              <w:t>reporting</w:t>
            </w:r>
            <w:r w:rsidR="000B1D5E" w:rsidRPr="00430419">
              <w:rPr>
                <w:snapToGrid w:val="0"/>
              </w:rPr>
              <w:t xml:space="preserve"> time period used:</w:t>
            </w:r>
          </w:p>
        </w:tc>
        <w:tc>
          <w:tcPr>
            <w:tcW w:w="2831" w:type="dxa"/>
          </w:tcPr>
          <w:p w14:paraId="5EB5114D" w14:textId="77777777" w:rsidR="000B1D5E" w:rsidRPr="00430419" w:rsidRDefault="000B1D5E" w:rsidP="007F35F0">
            <w:pPr>
              <w:pStyle w:val="ListParagraph"/>
              <w:numPr>
                <w:ilvl w:val="0"/>
                <w:numId w:val="115"/>
              </w:numPr>
              <w:spacing w:before="120" w:after="120"/>
              <w:rPr>
                <w:i/>
              </w:rPr>
            </w:pPr>
            <w:r w:rsidRPr="00430419">
              <w:t>01/01/2015 - 09/30/2015</w:t>
            </w:r>
          </w:p>
          <w:p w14:paraId="63658CFD" w14:textId="77777777" w:rsidR="00627396" w:rsidRPr="00430419" w:rsidRDefault="000B1D5E" w:rsidP="007F35F0">
            <w:pPr>
              <w:pStyle w:val="ListParagraph"/>
              <w:numPr>
                <w:ilvl w:val="0"/>
                <w:numId w:val="115"/>
              </w:numPr>
              <w:spacing w:after="120"/>
              <w:rPr>
                <w:snapToGrid w:val="0"/>
              </w:rPr>
            </w:pPr>
            <w:r w:rsidRPr="00430419">
              <w:t>10/01/2015 - 06/30/2016</w:t>
            </w:r>
          </w:p>
        </w:tc>
      </w:tr>
      <w:tr w:rsidR="006E50EF" w14:paraId="6966EB27" w14:textId="77777777" w:rsidTr="00AE1A2D">
        <w:trPr>
          <w:cantSplit/>
          <w:trHeight w:val="490"/>
          <w:jc w:val="center"/>
        </w:trPr>
        <w:tc>
          <w:tcPr>
            <w:tcW w:w="6637" w:type="dxa"/>
          </w:tcPr>
          <w:p w14:paraId="7FA5B7C2" w14:textId="70103508" w:rsidR="006E50EF" w:rsidRPr="00430419" w:rsidRDefault="006E50EF" w:rsidP="007F35F0">
            <w:pPr>
              <w:numPr>
                <w:ilvl w:val="0"/>
                <w:numId w:val="15"/>
              </w:numPr>
              <w:spacing w:before="120"/>
              <w:rPr>
                <w:snapToGrid w:val="0"/>
                <w:color w:val="000000"/>
              </w:rPr>
            </w:pPr>
            <w:r w:rsidRPr="00430419">
              <w:rPr>
                <w:snapToGrid w:val="0"/>
              </w:rPr>
              <w:t xml:space="preserve">Has your hospital </w:t>
            </w:r>
            <w:r w:rsidRPr="00430419">
              <w:rPr>
                <w:snapToGrid w:val="0"/>
                <w:color w:val="000000"/>
              </w:rPr>
              <w:t xml:space="preserve">performed a medical record audit on </w:t>
            </w:r>
            <w:r w:rsidRPr="00430419">
              <w:rPr>
                <w:snapToGrid w:val="0"/>
              </w:rPr>
              <w:t xml:space="preserve">all cases </w:t>
            </w:r>
            <w:r w:rsidRPr="00BE7CED">
              <w:rPr>
                <w:snapToGrid w:val="0"/>
              </w:rPr>
              <w:t>(or a sufficient sample of them</w:t>
            </w:r>
            <w:r w:rsidR="001E3E1B" w:rsidRPr="00430419">
              <w:rPr>
                <w:snapToGrid w:val="0"/>
              </w:rPr>
              <w:t xml:space="preserve">) </w:t>
            </w:r>
            <w:r w:rsidRPr="00430419">
              <w:rPr>
                <w:snapToGrid w:val="0"/>
                <w:color w:val="000000"/>
              </w:rPr>
              <w:t xml:space="preserve">for certain high-risk deliveries for the Reporting Time Period, </w:t>
            </w:r>
            <w:r w:rsidRPr="00430419">
              <w:rPr>
                <w:b/>
                <w:snapToGrid w:val="0"/>
                <w:color w:val="000000"/>
              </w:rPr>
              <w:t>and</w:t>
            </w:r>
            <w:r w:rsidRPr="00430419">
              <w:rPr>
                <w:snapToGrid w:val="0"/>
                <w:color w:val="000000"/>
              </w:rPr>
              <w:t xml:space="preserve"> measured adherence to the antenatal steroids clinical process guideline for these high-risk deliveries.</w:t>
            </w:r>
            <w:r w:rsidRPr="00430419">
              <w:rPr>
                <w:snapToGrid w:val="0"/>
                <w:color w:val="000000"/>
              </w:rPr>
              <w:br/>
            </w:r>
          </w:p>
          <w:p w14:paraId="13879553" w14:textId="77777777" w:rsidR="006E50EF" w:rsidRPr="00430419" w:rsidRDefault="007E025B" w:rsidP="0070197E">
            <w:pPr>
              <w:ind w:left="360"/>
              <w:rPr>
                <w:i/>
                <w:snapToGrid w:val="0"/>
              </w:rPr>
            </w:pPr>
            <w:r w:rsidRPr="00430419">
              <w:rPr>
                <w:i/>
                <w:snapToGrid w:val="0"/>
              </w:rPr>
              <w:t>If “no,”</w:t>
            </w:r>
            <w:r w:rsidR="00937FEA" w:rsidRPr="00430419">
              <w:rPr>
                <w:i/>
                <w:snapToGrid w:val="0"/>
              </w:rPr>
              <w:t xml:space="preserve"> skip questions </w:t>
            </w:r>
            <w:r w:rsidR="005C2B38" w:rsidRPr="00430419">
              <w:rPr>
                <w:i/>
                <w:snapToGrid w:val="0"/>
              </w:rPr>
              <w:t>#</w:t>
            </w:r>
            <w:r w:rsidR="00937FEA" w:rsidRPr="00430419">
              <w:rPr>
                <w:i/>
                <w:snapToGrid w:val="0"/>
              </w:rPr>
              <w:t>16-17.</w:t>
            </w:r>
          </w:p>
          <w:p w14:paraId="537850C4" w14:textId="77777777" w:rsidR="006E50EF" w:rsidRPr="00430419" w:rsidRDefault="007E025B" w:rsidP="007F35F0">
            <w:pPr>
              <w:spacing w:after="120"/>
              <w:ind w:left="360"/>
              <w:rPr>
                <w:i/>
                <w:snapToGrid w:val="0"/>
                <w:color w:val="000000"/>
              </w:rPr>
            </w:pPr>
            <w:r w:rsidRPr="00430419">
              <w:rPr>
                <w:i/>
                <w:snapToGrid w:val="0"/>
              </w:rPr>
              <w:t>If “yes</w:t>
            </w:r>
            <w:r w:rsidR="004A055D">
              <w:rPr>
                <w:i/>
                <w:snapToGrid w:val="0"/>
              </w:rPr>
              <w:t>,</w:t>
            </w:r>
            <w:r w:rsidR="006E50EF" w:rsidRPr="00430419">
              <w:rPr>
                <w:i/>
                <w:snapToGrid w:val="0"/>
              </w:rPr>
              <w:t xml:space="preserve"> but </w:t>
            </w:r>
            <w:r w:rsidR="008602AB" w:rsidRPr="00430419">
              <w:rPr>
                <w:i/>
                <w:snapToGrid w:val="0"/>
              </w:rPr>
              <w:t xml:space="preserve">fewer than 10 </w:t>
            </w:r>
            <w:r w:rsidR="006E50EF" w:rsidRPr="00430419">
              <w:rPr>
                <w:i/>
                <w:snapToGrid w:val="0"/>
              </w:rPr>
              <w:t>cases met the inclusion criteria for the denominator,</w:t>
            </w:r>
            <w:r w:rsidR="004A055D">
              <w:rPr>
                <w:i/>
                <w:snapToGrid w:val="0"/>
              </w:rPr>
              <w:t>”</w:t>
            </w:r>
            <w:r w:rsidR="006E50EF" w:rsidRPr="00430419">
              <w:rPr>
                <w:i/>
                <w:snapToGrid w:val="0"/>
              </w:rPr>
              <w:t xml:space="preserve"> skip </w:t>
            </w:r>
            <w:r w:rsidR="00937FEA" w:rsidRPr="00430419">
              <w:rPr>
                <w:i/>
                <w:snapToGrid w:val="0"/>
              </w:rPr>
              <w:t xml:space="preserve">questions </w:t>
            </w:r>
            <w:r w:rsidR="005C2B38" w:rsidRPr="00430419">
              <w:rPr>
                <w:i/>
                <w:snapToGrid w:val="0"/>
              </w:rPr>
              <w:t>#</w:t>
            </w:r>
            <w:r w:rsidR="00937FEA" w:rsidRPr="00430419">
              <w:rPr>
                <w:i/>
                <w:snapToGrid w:val="0"/>
              </w:rPr>
              <w:t>16-17.</w:t>
            </w:r>
          </w:p>
        </w:tc>
        <w:tc>
          <w:tcPr>
            <w:tcW w:w="2831" w:type="dxa"/>
            <w:vAlign w:val="center"/>
          </w:tcPr>
          <w:p w14:paraId="49BF5136" w14:textId="77777777" w:rsidR="00937FEA" w:rsidRPr="00430419" w:rsidRDefault="00937FEA" w:rsidP="0070197E">
            <w:pPr>
              <w:jc w:val="center"/>
              <w:rPr>
                <w:i/>
                <w:snapToGrid w:val="0"/>
              </w:rPr>
            </w:pPr>
          </w:p>
          <w:p w14:paraId="4B9B4E92" w14:textId="77777777" w:rsidR="006E50EF" w:rsidRPr="00430419" w:rsidRDefault="006E50EF" w:rsidP="0070197E">
            <w:pPr>
              <w:jc w:val="center"/>
              <w:rPr>
                <w:i/>
                <w:snapToGrid w:val="0"/>
              </w:rPr>
            </w:pPr>
            <w:r w:rsidRPr="00430419">
              <w:rPr>
                <w:i/>
                <w:snapToGrid w:val="0"/>
              </w:rPr>
              <w:t>Yes</w:t>
            </w:r>
          </w:p>
          <w:p w14:paraId="20221B98" w14:textId="77777777" w:rsidR="00937FEA" w:rsidRPr="00430419" w:rsidRDefault="00937FEA" w:rsidP="0070197E">
            <w:pPr>
              <w:jc w:val="center"/>
              <w:rPr>
                <w:i/>
                <w:snapToGrid w:val="0"/>
              </w:rPr>
            </w:pPr>
          </w:p>
          <w:p w14:paraId="578966EA" w14:textId="77777777" w:rsidR="006E50EF" w:rsidRPr="00430419" w:rsidRDefault="006E50EF" w:rsidP="0070197E">
            <w:pPr>
              <w:jc w:val="center"/>
              <w:rPr>
                <w:i/>
                <w:snapToGrid w:val="0"/>
              </w:rPr>
            </w:pPr>
            <w:r w:rsidRPr="00430419">
              <w:rPr>
                <w:i/>
                <w:snapToGrid w:val="0"/>
              </w:rPr>
              <w:t>No</w:t>
            </w:r>
          </w:p>
          <w:p w14:paraId="4D3E10E6" w14:textId="77777777" w:rsidR="006E50EF" w:rsidRPr="00430419" w:rsidRDefault="006E50EF" w:rsidP="0070197E">
            <w:pPr>
              <w:jc w:val="center"/>
              <w:rPr>
                <w:i/>
                <w:snapToGrid w:val="0"/>
              </w:rPr>
            </w:pPr>
          </w:p>
          <w:p w14:paraId="611B24FD" w14:textId="77777777" w:rsidR="006E50EF" w:rsidRPr="00430419" w:rsidRDefault="006E50EF" w:rsidP="0070197E">
            <w:pPr>
              <w:jc w:val="center"/>
              <w:rPr>
                <w:snapToGrid w:val="0"/>
              </w:rPr>
            </w:pPr>
            <w:r w:rsidRPr="00430419">
              <w:rPr>
                <w:i/>
                <w:snapToGrid w:val="0"/>
              </w:rPr>
              <w:t xml:space="preserve">Yes, but </w:t>
            </w:r>
            <w:r w:rsidR="008602AB" w:rsidRPr="00430419">
              <w:rPr>
                <w:i/>
                <w:snapToGrid w:val="0"/>
              </w:rPr>
              <w:t xml:space="preserve">fewer than 10 </w:t>
            </w:r>
            <w:r w:rsidRPr="00430419">
              <w:rPr>
                <w:i/>
                <w:snapToGrid w:val="0"/>
              </w:rPr>
              <w:t xml:space="preserve"> cases met the inclusion criteria for the denominator</w:t>
            </w:r>
          </w:p>
        </w:tc>
      </w:tr>
      <w:tr w:rsidR="006E50EF" w14:paraId="1AD29705" w14:textId="77777777" w:rsidTr="00AE1A2D">
        <w:trPr>
          <w:cantSplit/>
          <w:trHeight w:val="872"/>
          <w:jc w:val="center"/>
        </w:trPr>
        <w:tc>
          <w:tcPr>
            <w:tcW w:w="6637" w:type="dxa"/>
            <w:vAlign w:val="center"/>
          </w:tcPr>
          <w:p w14:paraId="2C5830EE" w14:textId="77777777" w:rsidR="006E50EF" w:rsidRPr="00430419" w:rsidRDefault="006E50EF" w:rsidP="007F35F0">
            <w:pPr>
              <w:numPr>
                <w:ilvl w:val="0"/>
                <w:numId w:val="15"/>
              </w:numPr>
              <w:spacing w:before="120" w:after="120"/>
              <w:rPr>
                <w:snapToGrid w:val="0"/>
              </w:rPr>
            </w:pPr>
            <w:r w:rsidRPr="00430419">
              <w:rPr>
                <w:snapToGrid w:val="0"/>
              </w:rPr>
              <w:t>Number of cases measured against the guideline, eit</w:t>
            </w:r>
            <w:r w:rsidR="001E3E1B" w:rsidRPr="00430419">
              <w:rPr>
                <w:snapToGrid w:val="0"/>
              </w:rPr>
              <w:t>her all cases or a sufficient sample of them, for these deliveries (</w:t>
            </w:r>
            <w:r w:rsidRPr="00430419">
              <w:rPr>
                <w:snapToGrid w:val="0"/>
              </w:rPr>
              <w:t xml:space="preserve">i.e. number of cases audited and meeting the criteria for inclusion in the </w:t>
            </w:r>
            <w:r w:rsidRPr="00430419">
              <w:rPr>
                <w:b/>
                <w:snapToGrid w:val="0"/>
              </w:rPr>
              <w:t>denominator</w:t>
            </w:r>
            <w:r w:rsidR="001E3E1B" w:rsidRPr="00430419">
              <w:rPr>
                <w:snapToGrid w:val="0"/>
              </w:rPr>
              <w:t xml:space="preserve"> of the measure)</w:t>
            </w:r>
          </w:p>
        </w:tc>
        <w:tc>
          <w:tcPr>
            <w:tcW w:w="2831" w:type="dxa"/>
          </w:tcPr>
          <w:p w14:paraId="4E59D44E" w14:textId="77777777" w:rsidR="006E50EF" w:rsidRPr="00430419" w:rsidRDefault="006E50EF" w:rsidP="0070197E">
            <w:pPr>
              <w:jc w:val="center"/>
            </w:pPr>
          </w:p>
          <w:p w14:paraId="673296DD" w14:textId="77777777" w:rsidR="006E50EF" w:rsidRPr="00430419" w:rsidRDefault="006E50EF" w:rsidP="0070197E">
            <w:pPr>
              <w:jc w:val="center"/>
              <w:rPr>
                <w:i/>
              </w:rPr>
            </w:pPr>
            <w:r w:rsidRPr="00430419">
              <w:t>_______</w:t>
            </w:r>
          </w:p>
        </w:tc>
      </w:tr>
      <w:tr w:rsidR="006E50EF" w14:paraId="657EF1CF" w14:textId="77777777" w:rsidTr="00AE1A2D">
        <w:trPr>
          <w:cantSplit/>
          <w:trHeight w:val="890"/>
          <w:jc w:val="center"/>
        </w:trPr>
        <w:tc>
          <w:tcPr>
            <w:tcW w:w="6637" w:type="dxa"/>
            <w:vAlign w:val="center"/>
          </w:tcPr>
          <w:p w14:paraId="1BF86286" w14:textId="77777777" w:rsidR="006E50EF" w:rsidRDefault="006E50EF" w:rsidP="00ED58C1">
            <w:pPr>
              <w:numPr>
                <w:ilvl w:val="0"/>
                <w:numId w:val="15"/>
              </w:numPr>
              <w:rPr>
                <w:snapToGrid w:val="0"/>
                <w:color w:val="000000"/>
              </w:rPr>
            </w:pPr>
            <w:r>
              <w:rPr>
                <w:snapToGrid w:val="0"/>
              </w:rPr>
              <w:t xml:space="preserve">Number of cases </w:t>
            </w:r>
            <w:r w:rsidRPr="002D5BCF">
              <w:rPr>
                <w:snapToGrid w:val="0"/>
              </w:rPr>
              <w:t xml:space="preserve">in </w:t>
            </w:r>
            <w:r w:rsidRPr="00D60707">
              <w:rPr>
                <w:snapToGrid w:val="0"/>
              </w:rPr>
              <w:t xml:space="preserve">question </w:t>
            </w:r>
            <w:r w:rsidR="005C2B38" w:rsidRPr="00D60707">
              <w:rPr>
                <w:snapToGrid w:val="0"/>
              </w:rPr>
              <w:t>#</w:t>
            </w:r>
            <w:r w:rsidR="00937FEA" w:rsidRPr="00D60707">
              <w:rPr>
                <w:snapToGrid w:val="0"/>
              </w:rPr>
              <w:t>16</w:t>
            </w:r>
            <w:r w:rsidRPr="00D60707">
              <w:rPr>
                <w:snapToGrid w:val="0"/>
              </w:rPr>
              <w:t xml:space="preserve"> that </w:t>
            </w:r>
            <w:r w:rsidRPr="00D60707">
              <w:rPr>
                <w:snapToGrid w:val="0"/>
                <w:color w:val="000000"/>
              </w:rPr>
              <w:t>adhere to the  clinical process guideline for this condition (</w:t>
            </w:r>
            <w:r w:rsidRPr="00D60707">
              <w:rPr>
                <w:b/>
                <w:snapToGrid w:val="0"/>
                <w:color w:val="000000"/>
              </w:rPr>
              <w:t>numerator</w:t>
            </w:r>
            <w:r w:rsidRPr="00D60707">
              <w:rPr>
                <w:snapToGrid w:val="0"/>
                <w:color w:val="000000"/>
              </w:rPr>
              <w:t>)</w:t>
            </w:r>
          </w:p>
        </w:tc>
        <w:tc>
          <w:tcPr>
            <w:tcW w:w="2831" w:type="dxa"/>
          </w:tcPr>
          <w:p w14:paraId="22E88201" w14:textId="77777777" w:rsidR="006E50EF" w:rsidRDefault="006E50EF" w:rsidP="0070197E">
            <w:pPr>
              <w:jc w:val="center"/>
            </w:pPr>
          </w:p>
          <w:p w14:paraId="4CD0133D" w14:textId="77777777" w:rsidR="006E50EF" w:rsidRDefault="006E50EF" w:rsidP="0070197E">
            <w:pPr>
              <w:jc w:val="center"/>
              <w:rPr>
                <w:i/>
              </w:rPr>
            </w:pPr>
            <w:r>
              <w:t>_______</w:t>
            </w:r>
          </w:p>
        </w:tc>
      </w:tr>
    </w:tbl>
    <w:p w14:paraId="520F8C8E" w14:textId="77777777" w:rsidR="006E50EF" w:rsidRDefault="006E50EF" w:rsidP="007D1EA1">
      <w:pPr>
        <w:rPr>
          <w:b/>
          <w:snapToGrid w:val="0"/>
          <w:color w:val="000000"/>
        </w:rPr>
      </w:pPr>
    </w:p>
    <w:p w14:paraId="3990152E" w14:textId="77777777" w:rsidR="006E50EF" w:rsidRDefault="006E50EF">
      <w:pPr>
        <w:rPr>
          <w:b/>
          <w:snapToGrid w:val="0"/>
          <w:color w:val="000000"/>
        </w:rPr>
      </w:pPr>
    </w:p>
    <w:p w14:paraId="0506D8F2" w14:textId="77777777" w:rsidR="001E77A7" w:rsidRDefault="001E77A7">
      <w:pPr>
        <w:rPr>
          <w:b/>
          <w:snapToGrid w:val="0"/>
          <w:color w:val="000000"/>
        </w:rPr>
      </w:pPr>
    </w:p>
    <w:p w14:paraId="72BD74C8" w14:textId="77777777" w:rsidR="001E77A7" w:rsidRDefault="001E77A7">
      <w:pPr>
        <w:rPr>
          <w:b/>
          <w:snapToGrid w:val="0"/>
          <w:color w:val="000000"/>
        </w:rPr>
      </w:pPr>
    </w:p>
    <w:p w14:paraId="693617B0" w14:textId="77777777" w:rsidR="001E77A7" w:rsidRDefault="001E77A7">
      <w:pPr>
        <w:rPr>
          <w:b/>
          <w:snapToGrid w:val="0"/>
          <w:color w:val="000000"/>
        </w:rPr>
      </w:pPr>
    </w:p>
    <w:p w14:paraId="18801FCC" w14:textId="77777777" w:rsidR="006E50EF" w:rsidRDefault="006E50EF">
      <w:pPr>
        <w:rPr>
          <w:b/>
          <w:snapToGrid w:val="0"/>
          <w:color w:val="000000"/>
        </w:rPr>
      </w:pPr>
      <w:r>
        <w:rPr>
          <w:b/>
          <w:snapToGrid w:val="0"/>
          <w:color w:val="000000"/>
        </w:rPr>
        <w:lastRenderedPageBreak/>
        <w:t>Affirmation of Accuracy</w:t>
      </w:r>
    </w:p>
    <w:p w14:paraId="0650A703" w14:textId="77777777" w:rsidR="006E50EF" w:rsidRDefault="006E50EF">
      <w:pPr>
        <w:rPr>
          <w:snapToGrid w:val="0"/>
          <w:color w:val="000000"/>
        </w:rPr>
      </w:pPr>
    </w:p>
    <w:p w14:paraId="5F23BFA8"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Maternity Care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797C7841" w14:textId="77777777" w:rsidR="00456023" w:rsidRPr="00362B11" w:rsidRDefault="00456023" w:rsidP="00456023">
      <w:pPr>
        <w:rPr>
          <w:rFonts w:cs="Arial"/>
          <w:color w:val="000000"/>
        </w:rPr>
      </w:pPr>
    </w:p>
    <w:p w14:paraId="371E48DB"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1FDDBB20" w14:textId="77777777" w:rsidR="006E50EF" w:rsidRDefault="006E50EF">
      <w:pPr>
        <w:rPr>
          <w:snapToGrid w:val="0"/>
          <w:color w:val="000000"/>
        </w:rPr>
      </w:pPr>
    </w:p>
    <w:p w14:paraId="18606BA1" w14:textId="77777777" w:rsidR="006E50EF" w:rsidRDefault="006E50EF">
      <w:pPr>
        <w:rPr>
          <w:snapToGrid w:val="0"/>
          <w:color w:val="000000"/>
        </w:rPr>
      </w:pPr>
    </w:p>
    <w:p w14:paraId="460DD163" w14:textId="77777777" w:rsidR="006E50EF" w:rsidRDefault="006E50EF">
      <w:pPr>
        <w:spacing w:line="240" w:lineRule="exact"/>
        <w:rPr>
          <w:snapToGrid w:val="0"/>
          <w:color w:val="000000"/>
        </w:rPr>
      </w:pPr>
      <w:r>
        <w:rPr>
          <w:snapToGrid w:val="0"/>
          <w:color w:val="000000"/>
        </w:rPr>
        <w:t>Affirmed by _____________________, the hospital’s ___________________________,</w:t>
      </w:r>
    </w:p>
    <w:p w14:paraId="1B268AE6" w14:textId="77777777" w:rsidR="006E50EF" w:rsidRDefault="006E50EF">
      <w:pPr>
        <w:pStyle w:val="BodyText2"/>
        <w:spacing w:line="240" w:lineRule="exact"/>
      </w:pPr>
      <w:r>
        <w:tab/>
      </w:r>
      <w:r>
        <w:tab/>
        <w:t xml:space="preserve">   (name)</w:t>
      </w:r>
      <w:r>
        <w:tab/>
      </w:r>
      <w:r>
        <w:tab/>
      </w:r>
      <w:r>
        <w:tab/>
      </w:r>
      <w:r>
        <w:tab/>
      </w:r>
      <w:r>
        <w:tab/>
      </w:r>
      <w:r>
        <w:tab/>
        <w:t>(title)</w:t>
      </w:r>
    </w:p>
    <w:p w14:paraId="30AB5B6B" w14:textId="77777777" w:rsidR="006E50EF" w:rsidRDefault="006E50EF">
      <w:pPr>
        <w:rPr>
          <w:snapToGrid w:val="0"/>
        </w:rPr>
      </w:pPr>
      <w:r>
        <w:rPr>
          <w:snapToGrid w:val="0"/>
        </w:rPr>
        <w:t>on _______________________.</w:t>
      </w:r>
    </w:p>
    <w:p w14:paraId="38DEE4C0" w14:textId="77777777" w:rsidR="006E50EF" w:rsidRDefault="006E50EF">
      <w:pPr>
        <w:spacing w:line="240" w:lineRule="exact"/>
        <w:rPr>
          <w:i/>
        </w:rPr>
      </w:pPr>
      <w:r>
        <w:rPr>
          <w:i/>
        </w:rPr>
        <w:t xml:space="preserve">                    (date)</w:t>
      </w:r>
    </w:p>
    <w:p w14:paraId="59FA5B29" w14:textId="77777777" w:rsidR="006E50EF" w:rsidRDefault="006E50EF">
      <w:pPr>
        <w:rPr>
          <w:i/>
        </w:rPr>
      </w:pPr>
      <w:r>
        <w:rPr>
          <w:i/>
        </w:rPr>
        <w:br w:type="page"/>
      </w:r>
    </w:p>
    <w:p w14:paraId="748823AF" w14:textId="77777777" w:rsidR="006E50EF" w:rsidRDefault="006E50EF" w:rsidP="002C3E94">
      <w:pPr>
        <w:pStyle w:val="Title"/>
      </w:pPr>
      <w:bookmarkStart w:id="155" w:name="_Toc383775038"/>
      <w:bookmarkStart w:id="156" w:name="_Toc447195017"/>
      <w:bookmarkStart w:id="157" w:name="_Toc383775033"/>
      <w:r w:rsidRPr="00CC1CB6">
        <w:lastRenderedPageBreak/>
        <w:t xml:space="preserve">Section 4: </w:t>
      </w:r>
      <w:r w:rsidR="004F68CC">
        <w:t>2016</w:t>
      </w:r>
      <w:r w:rsidRPr="00CC1CB6">
        <w:t xml:space="preserve"> Maternity Care</w:t>
      </w:r>
      <w:bookmarkEnd w:id="155"/>
      <w:r w:rsidRPr="00CC1CB6">
        <w:t xml:space="preserve"> </w:t>
      </w:r>
      <w:bookmarkStart w:id="158" w:name="_Toc236210621"/>
      <w:r>
        <w:t>Reference Information</w:t>
      </w:r>
      <w:bookmarkEnd w:id="156"/>
    </w:p>
    <w:p w14:paraId="25CDF114" w14:textId="77777777" w:rsidR="006E50EF" w:rsidRPr="00CC1CB6" w:rsidRDefault="006E50EF" w:rsidP="00CD7AE6">
      <w:pPr>
        <w:rPr>
          <w:bCs/>
          <w:sz w:val="32"/>
          <w:lang w:eastAsia="ja-JP"/>
        </w:rPr>
      </w:pPr>
    </w:p>
    <w:p w14:paraId="68A65385" w14:textId="77777777" w:rsidR="00047ADA" w:rsidRPr="00BC2D78" w:rsidRDefault="00047ADA" w:rsidP="007A44CB">
      <w:pPr>
        <w:pStyle w:val="Heading3"/>
      </w:pPr>
      <w:bookmarkStart w:id="159" w:name="_Toc383775039"/>
      <w:bookmarkStart w:id="160" w:name="_Toc447195018"/>
      <w:bookmarkStart w:id="161" w:name="_Toc236210637"/>
      <w:bookmarkStart w:id="162" w:name="_Toc383775041"/>
      <w:bookmarkEnd w:id="158"/>
      <w:r w:rsidRPr="00BC2D78">
        <w:rPr>
          <w:rFonts w:hint="eastAsia"/>
        </w:rPr>
        <w:t>What</w:t>
      </w:r>
      <w:r w:rsidRPr="00BC2D78">
        <w:t>’</w:t>
      </w:r>
      <w:r w:rsidRPr="00BC2D78">
        <w:rPr>
          <w:rFonts w:hint="eastAsia"/>
        </w:rPr>
        <w:t xml:space="preserve">s New in the </w:t>
      </w:r>
      <w:bookmarkEnd w:id="159"/>
      <w:r>
        <w:t>2016 Survey</w:t>
      </w:r>
      <w:bookmarkEnd w:id="160"/>
    </w:p>
    <w:p w14:paraId="4FDF0B8D" w14:textId="77777777" w:rsidR="00047ADA" w:rsidRPr="00BC2D78" w:rsidRDefault="00047ADA" w:rsidP="00047ADA">
      <w:pPr>
        <w:rPr>
          <w:lang w:eastAsia="ja-JP"/>
        </w:rPr>
      </w:pPr>
    </w:p>
    <w:p w14:paraId="3ACB1230" w14:textId="77777777" w:rsidR="00047ADA" w:rsidRDefault="00047ADA" w:rsidP="00047ADA">
      <w:r>
        <w:t xml:space="preserve">Most of the measures in Section 4 have two sets of measure specifications: </w:t>
      </w:r>
    </w:p>
    <w:p w14:paraId="1B859FD8" w14:textId="77777777" w:rsidR="00047ADA" w:rsidRPr="000F77C7" w:rsidRDefault="00047ADA" w:rsidP="00ED58C1">
      <w:pPr>
        <w:pStyle w:val="ListParagraph"/>
        <w:numPr>
          <w:ilvl w:val="0"/>
          <w:numId w:val="107"/>
        </w:numPr>
        <w:rPr>
          <w:rFonts w:cs="Arial"/>
          <w:lang w:eastAsia="ja-JP"/>
        </w:rPr>
      </w:pPr>
      <w:r>
        <w:t xml:space="preserve">The first set should be used by  hospitals that submit a survey prior to September 1, 2016 and will only use </w:t>
      </w:r>
      <w:r w:rsidRPr="002D67D5">
        <w:rPr>
          <w:b/>
        </w:rPr>
        <w:t>ICD-9 administrative codes</w:t>
      </w:r>
      <w:r>
        <w:t xml:space="preserve"> </w:t>
      </w:r>
    </w:p>
    <w:p w14:paraId="7051E43A" w14:textId="77777777" w:rsidR="00047ADA" w:rsidRPr="000F77C7" w:rsidRDefault="00047ADA" w:rsidP="00ED58C1">
      <w:pPr>
        <w:pStyle w:val="ListParagraph"/>
        <w:numPr>
          <w:ilvl w:val="0"/>
          <w:numId w:val="107"/>
        </w:numPr>
        <w:rPr>
          <w:rFonts w:cs="Arial"/>
          <w:lang w:eastAsia="ja-JP"/>
        </w:rPr>
      </w:pPr>
      <w:r>
        <w:t xml:space="preserve">The second set should be used by hospitals that (re)submit a survey on or after September 1, 2016 and will only use </w:t>
      </w:r>
      <w:r w:rsidRPr="002D67D5">
        <w:rPr>
          <w:b/>
        </w:rPr>
        <w:t>ICD-10 administrative codes</w:t>
      </w:r>
    </w:p>
    <w:p w14:paraId="10AD7F35" w14:textId="77777777" w:rsidR="00047ADA" w:rsidRPr="00561898" w:rsidRDefault="00047ADA" w:rsidP="00ED58C1">
      <w:pPr>
        <w:pStyle w:val="ListParagraph"/>
        <w:numPr>
          <w:ilvl w:val="0"/>
          <w:numId w:val="107"/>
        </w:numPr>
        <w:rPr>
          <w:rFonts w:cs="Arial"/>
          <w:b/>
          <w:lang w:eastAsia="ja-JP"/>
        </w:rPr>
      </w:pPr>
      <w:r>
        <w:t xml:space="preserve">The high-risk deliveries volume standard only has one set of measure specifications which </w:t>
      </w:r>
      <w:r w:rsidR="00F93087">
        <w:t xml:space="preserve">use </w:t>
      </w:r>
      <w:r w:rsidRPr="00561898">
        <w:rPr>
          <w:b/>
        </w:rPr>
        <w:t>ICD-9 administrative codes</w:t>
      </w:r>
    </w:p>
    <w:p w14:paraId="6AF5CAB9" w14:textId="77777777" w:rsidR="00047ADA" w:rsidRDefault="00047ADA" w:rsidP="00047ADA">
      <w:pPr>
        <w:rPr>
          <w:rFonts w:cs="Arial"/>
          <w:lang w:eastAsia="ja-JP"/>
        </w:rPr>
      </w:pPr>
    </w:p>
    <w:p w14:paraId="726F1D6E" w14:textId="77777777" w:rsidR="00047ADA" w:rsidRDefault="00047ADA" w:rsidP="00047ADA">
      <w:pPr>
        <w:rPr>
          <w:rFonts w:cs="Arial"/>
          <w:lang w:eastAsia="ja-JP"/>
        </w:rPr>
      </w:pPr>
      <w:r>
        <w:rPr>
          <w:rFonts w:cs="Arial"/>
          <w:lang w:eastAsia="ja-JP"/>
        </w:rPr>
        <w:t>In addition, most of the measures in Section 4 have a 9-month reporting period to accommodate the transition from ICD-9 administrative codes to ICD-10 administrative codes, with the following exceptions:</w:t>
      </w:r>
    </w:p>
    <w:p w14:paraId="2BC8F97A" w14:textId="77777777" w:rsidR="00047ADA" w:rsidRDefault="00047ADA" w:rsidP="00ED58C1">
      <w:pPr>
        <w:pStyle w:val="ListParagraph"/>
        <w:numPr>
          <w:ilvl w:val="0"/>
          <w:numId w:val="108"/>
        </w:numPr>
        <w:rPr>
          <w:rFonts w:cs="Arial"/>
          <w:lang w:eastAsia="ja-JP"/>
        </w:rPr>
      </w:pPr>
      <w:r>
        <w:rPr>
          <w:rFonts w:cs="Arial"/>
          <w:lang w:eastAsia="ja-JP"/>
        </w:rPr>
        <w:t>Hospitals reporting on the high-risk deliveries volume standard will report on a 12-month period</w:t>
      </w:r>
    </w:p>
    <w:p w14:paraId="5817822E" w14:textId="77777777" w:rsidR="00047ADA" w:rsidRPr="000F77C7" w:rsidRDefault="00047ADA" w:rsidP="00ED58C1">
      <w:pPr>
        <w:pStyle w:val="ListParagraph"/>
        <w:numPr>
          <w:ilvl w:val="0"/>
          <w:numId w:val="108"/>
        </w:numPr>
        <w:rPr>
          <w:rFonts w:cs="Arial"/>
          <w:lang w:eastAsia="ja-JP"/>
        </w:rPr>
      </w:pPr>
      <w:r>
        <w:rPr>
          <w:rFonts w:cs="Arial"/>
          <w:lang w:eastAsia="ja-JP"/>
        </w:rPr>
        <w:t>Hospitals reporting on the high-risk deliveries outcome and process measure</w:t>
      </w:r>
      <w:r w:rsidR="008B49BB">
        <w:rPr>
          <w:rFonts w:cs="Arial"/>
          <w:lang w:eastAsia="ja-JP"/>
        </w:rPr>
        <w:t>s</w:t>
      </w:r>
      <w:r>
        <w:rPr>
          <w:rFonts w:cs="Arial"/>
          <w:lang w:eastAsia="ja-JP"/>
        </w:rPr>
        <w:t xml:space="preserve"> using a Vermont Oxford Network report, will use the most recent 12- or 36-month report.</w:t>
      </w:r>
    </w:p>
    <w:p w14:paraId="18E9F5C8" w14:textId="77777777" w:rsidR="00047ADA" w:rsidRPr="00BC2D78" w:rsidRDefault="00047ADA" w:rsidP="00047ADA">
      <w:pPr>
        <w:rPr>
          <w:lang w:eastAsia="ja-JP"/>
        </w:rPr>
      </w:pPr>
    </w:p>
    <w:p w14:paraId="6286AFAE" w14:textId="77777777" w:rsidR="00047ADA" w:rsidRPr="00BC2D78" w:rsidRDefault="00047ADA" w:rsidP="007A44CB">
      <w:pPr>
        <w:pStyle w:val="Heading3"/>
      </w:pPr>
      <w:bookmarkStart w:id="163" w:name="_Toc236210622"/>
      <w:bookmarkStart w:id="164" w:name="_Toc383775040"/>
      <w:bookmarkStart w:id="165" w:name="_Toc447195019"/>
      <w:r w:rsidRPr="00BC2D78">
        <w:rPr>
          <w:rFonts w:hint="eastAsia"/>
        </w:rPr>
        <w:t>Change Summary</w:t>
      </w:r>
      <w:bookmarkEnd w:id="163"/>
      <w:r w:rsidRPr="00BC2D78">
        <w:rPr>
          <w:rFonts w:hint="eastAsia"/>
        </w:rPr>
        <w:t xml:space="preserve"> since Release</w:t>
      </w:r>
      <w:bookmarkEnd w:id="164"/>
      <w:bookmarkEnd w:id="165"/>
    </w:p>
    <w:p w14:paraId="640E7EA0" w14:textId="77777777" w:rsidR="00047ADA" w:rsidRPr="00BC2D78" w:rsidRDefault="00047ADA" w:rsidP="00047ADA">
      <w:pPr>
        <w:rPr>
          <w:lang w:eastAsia="ja-JP"/>
        </w:rPr>
      </w:pPr>
    </w:p>
    <w:p w14:paraId="1B1CA6DB" w14:textId="661472C3" w:rsidR="00047ADA" w:rsidRDefault="00047ADA" w:rsidP="00047ADA">
      <w:pPr>
        <w:pStyle w:val="BodyText3"/>
        <w:rPr>
          <w:lang w:eastAsia="ja-JP"/>
        </w:rPr>
      </w:pPr>
      <w:r w:rsidRPr="00CC2024">
        <w:rPr>
          <w:lang w:eastAsia="ja-JP"/>
        </w:rPr>
        <w:t xml:space="preserve">If substantive changes are made to this section of the survey after release on April 1, </w:t>
      </w:r>
      <w:r>
        <w:rPr>
          <w:lang w:eastAsia="ja-JP"/>
        </w:rPr>
        <w:t>2016</w:t>
      </w:r>
      <w:r w:rsidRPr="00CC2024">
        <w:rPr>
          <w:lang w:eastAsia="ja-JP"/>
        </w:rPr>
        <w:t>, they will be documented in this Change Summary section.</w:t>
      </w:r>
    </w:p>
    <w:p w14:paraId="398399AD" w14:textId="77777777" w:rsidR="00066B62" w:rsidRPr="00066B62" w:rsidRDefault="00066B62" w:rsidP="00047ADA">
      <w:pPr>
        <w:pStyle w:val="BodyText3"/>
        <w:rPr>
          <w:lang w:eastAsia="ja-JP"/>
        </w:rPr>
      </w:pPr>
    </w:p>
    <w:p w14:paraId="2987741E" w14:textId="4C7E6090" w:rsidR="00573876" w:rsidRDefault="00573876" w:rsidP="00047ADA">
      <w:pPr>
        <w:pStyle w:val="BodyText3"/>
        <w:rPr>
          <w:b/>
          <w:highlight w:val="yellow"/>
          <w:lang w:eastAsia="ja-JP"/>
        </w:rPr>
      </w:pPr>
      <w:r w:rsidRPr="00260FFA">
        <w:rPr>
          <w:b/>
          <w:highlight w:val="yellow"/>
          <w:lang w:eastAsia="ja-JP"/>
        </w:rPr>
        <w:t>Issued May 6, 2016</w:t>
      </w:r>
    </w:p>
    <w:p w14:paraId="2B0C18B1" w14:textId="77777777" w:rsidR="00260FFA" w:rsidRPr="00260FFA" w:rsidRDefault="00260FFA" w:rsidP="00047ADA">
      <w:pPr>
        <w:pStyle w:val="BodyText3"/>
        <w:rPr>
          <w:b/>
          <w:highlight w:val="yellow"/>
          <w:lang w:eastAsia="ja-JP"/>
        </w:rPr>
      </w:pPr>
    </w:p>
    <w:p w14:paraId="08AB5ED6" w14:textId="3E1B84A4" w:rsidR="00066B62" w:rsidRDefault="00066B62" w:rsidP="00047ADA">
      <w:pPr>
        <w:pStyle w:val="BodyText3"/>
        <w:rPr>
          <w:lang w:eastAsia="ja-JP"/>
        </w:rPr>
      </w:pPr>
      <w:r w:rsidRPr="00066B62">
        <w:rPr>
          <w:highlight w:val="yellow"/>
          <w:lang w:eastAsia="ja-JP"/>
        </w:rPr>
        <w:t>1. The sample size for the Maternity Care Process Measures – New</w:t>
      </w:r>
      <w:r w:rsidR="00634613">
        <w:rPr>
          <w:highlight w:val="yellow"/>
          <w:lang w:eastAsia="ja-JP"/>
        </w:rPr>
        <w:t>born</w:t>
      </w:r>
      <w:r w:rsidRPr="00066B62">
        <w:rPr>
          <w:highlight w:val="yellow"/>
          <w:lang w:eastAsia="ja-JP"/>
        </w:rPr>
        <w:t xml:space="preserve"> Bilirubin Screening Prior to Discharge and DVT Prophylaxis in Women Undergoing Cesarean Section </w:t>
      </w:r>
      <w:r w:rsidR="003C3AF1">
        <w:rPr>
          <w:highlight w:val="yellow"/>
          <w:lang w:eastAsia="ja-JP"/>
        </w:rPr>
        <w:t xml:space="preserve">– </w:t>
      </w:r>
      <w:r w:rsidRPr="00066B62">
        <w:rPr>
          <w:highlight w:val="yellow"/>
          <w:lang w:eastAsia="ja-JP"/>
        </w:rPr>
        <w:t>has been reduced from 60 cases to 45 cases to reflect the change in the reporting period from 12-months in 2015 to 9-months in 2016. This chan</w:t>
      </w:r>
      <w:r w:rsidR="003C3AF1">
        <w:rPr>
          <w:highlight w:val="yellow"/>
          <w:lang w:eastAsia="ja-JP"/>
        </w:rPr>
        <w:t>ge is reflected on pages 70-</w:t>
      </w:r>
      <w:r w:rsidRPr="00066B62">
        <w:rPr>
          <w:highlight w:val="yellow"/>
          <w:lang w:eastAsia="ja-JP"/>
        </w:rPr>
        <w:t>71 of this document, and highlighted in yellow.</w:t>
      </w:r>
    </w:p>
    <w:p w14:paraId="79AF85A9" w14:textId="77777777" w:rsidR="003C3AF1" w:rsidRDefault="003C3AF1" w:rsidP="00047ADA">
      <w:pPr>
        <w:pStyle w:val="BodyText3"/>
        <w:rPr>
          <w:lang w:eastAsia="ja-JP"/>
        </w:rPr>
      </w:pPr>
    </w:p>
    <w:p w14:paraId="5DA7A199" w14:textId="106C2BEB" w:rsidR="003C3AF1" w:rsidRPr="00066B62" w:rsidRDefault="003C3AF1" w:rsidP="00047ADA">
      <w:pPr>
        <w:pStyle w:val="BodyText3"/>
        <w:rPr>
          <w:lang w:eastAsia="ja-JP"/>
        </w:rPr>
      </w:pPr>
      <w:r w:rsidRPr="003C3AF1">
        <w:rPr>
          <w:highlight w:val="yellow"/>
          <w:lang w:eastAsia="ja-JP"/>
        </w:rPr>
        <w:t>In addition, the sample size for the High-Risk Delivery Process Measure – Antenatal Steroids – has been reduced from 60 cases to 45 cases to reflect the change in the reporting period from 12-months in 2015 to 9-months in 2016. This change is reflected on pages 74-75 of this document, and highlighted in yellow.</w:t>
      </w:r>
      <w:r>
        <w:rPr>
          <w:lang w:eastAsia="ja-JP"/>
        </w:rPr>
        <w:t xml:space="preserve"> </w:t>
      </w:r>
    </w:p>
    <w:p w14:paraId="3539D429" w14:textId="77777777" w:rsidR="00EF22AA" w:rsidRPr="00066B62" w:rsidRDefault="00EF22AA">
      <w:pPr>
        <w:rPr>
          <w:b/>
          <w:sz w:val="28"/>
          <w:u w:val="single"/>
          <w:lang w:eastAsia="ja-JP"/>
        </w:rPr>
      </w:pPr>
      <w:r w:rsidRPr="00066B62">
        <w:rPr>
          <w:b/>
        </w:rPr>
        <w:br w:type="page"/>
      </w:r>
    </w:p>
    <w:bookmarkEnd w:id="161"/>
    <w:bookmarkEnd w:id="162"/>
    <w:p w14:paraId="068CF001" w14:textId="77777777" w:rsidR="006E50EF" w:rsidRPr="00BC2D78" w:rsidRDefault="006E50EF" w:rsidP="00CD7AE6">
      <w:pPr>
        <w:rPr>
          <w:lang w:eastAsia="ja-JP"/>
        </w:rPr>
      </w:pPr>
    </w:p>
    <w:p w14:paraId="67E0184C" w14:textId="77777777" w:rsidR="00561898" w:rsidRDefault="00561898" w:rsidP="00954B73">
      <w:pPr>
        <w:pStyle w:val="Heading2"/>
      </w:pPr>
      <w:bookmarkStart w:id="166" w:name="_Toc447195020"/>
      <w:bookmarkStart w:id="167" w:name="_Toc236210638"/>
      <w:bookmarkStart w:id="168" w:name="_Toc383775042"/>
      <w:bookmarkStart w:id="169" w:name="MatVol"/>
      <w:r>
        <w:t>Maternity Care Measure Specifications</w:t>
      </w:r>
      <w:bookmarkEnd w:id="166"/>
      <w:r>
        <w:t xml:space="preserve"> </w:t>
      </w:r>
    </w:p>
    <w:p w14:paraId="1B1115D2" w14:textId="77777777" w:rsidR="00561898" w:rsidRDefault="00561898" w:rsidP="00561898">
      <w:pPr>
        <w:pStyle w:val="Heading3"/>
      </w:pPr>
    </w:p>
    <w:p w14:paraId="797ED694" w14:textId="77777777" w:rsidR="00B943D3" w:rsidRDefault="006E50EF" w:rsidP="00F9779E">
      <w:pPr>
        <w:pStyle w:val="Heading3"/>
      </w:pPr>
      <w:bookmarkStart w:id="170" w:name="_Maternity_Care_Volume_1"/>
      <w:bookmarkStart w:id="171" w:name="_Toc447195021"/>
      <w:bookmarkEnd w:id="170"/>
      <w:r>
        <w:t>Maternity Care</w:t>
      </w:r>
      <w:r w:rsidRPr="00BC2D78">
        <w:rPr>
          <w:rFonts w:hint="eastAsia"/>
        </w:rPr>
        <w:t xml:space="preserve"> Volume</w:t>
      </w:r>
      <w:bookmarkEnd w:id="167"/>
      <w:bookmarkEnd w:id="168"/>
      <w:bookmarkEnd w:id="171"/>
      <w:r w:rsidR="006E0E0B">
        <w:t xml:space="preserve"> </w:t>
      </w:r>
    </w:p>
    <w:p w14:paraId="11FADBF0" w14:textId="77777777" w:rsidR="008B49BB" w:rsidRDefault="008B49BB" w:rsidP="008B49BB">
      <w:pPr>
        <w:rPr>
          <w:lang w:eastAsia="ja-JP"/>
        </w:rPr>
      </w:pPr>
    </w:p>
    <w:p w14:paraId="5FD43684" w14:textId="77777777" w:rsidR="008B49BB" w:rsidRPr="008B49BB" w:rsidRDefault="008B49BB" w:rsidP="008B49BB">
      <w:r>
        <w:rPr>
          <w:b/>
          <w:color w:val="FF0000"/>
          <w:lang w:eastAsia="ja-JP"/>
        </w:rPr>
        <w:t xml:space="preserve">Important Note: </w:t>
      </w:r>
      <w:r w:rsidRPr="00F126A0">
        <w:rPr>
          <w:snapToGrid w:val="0"/>
        </w:rPr>
        <w:t xml:space="preserve">Hospitals that share a Medicare Provider Number are required to report by facility. Please carefully review </w:t>
      </w:r>
      <w:hyperlink r:id="rId78" w:history="1">
        <w:r w:rsidRPr="00F126A0">
          <w:rPr>
            <w:rStyle w:val="Hyperlink"/>
            <w:snapToGrid w:val="0"/>
          </w:rPr>
          <w:t>Leapfrog’s Multi-Campus Reporting Policy</w:t>
        </w:r>
      </w:hyperlink>
      <w:r w:rsidRPr="00F126A0">
        <w:rPr>
          <w:snapToGrid w:val="0"/>
        </w:rPr>
        <w:t>.</w:t>
      </w:r>
    </w:p>
    <w:bookmarkEnd w:id="169"/>
    <w:p w14:paraId="6B3C45DC" w14:textId="77777777" w:rsidR="006E50EF" w:rsidRPr="00BC2D78" w:rsidRDefault="006E50EF"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F9779E" w:rsidRPr="00BC2D78" w14:paraId="76F8037A" w14:textId="77777777" w:rsidTr="00E21246">
        <w:trPr>
          <w:trHeight w:val="305"/>
          <w:jc w:val="center"/>
        </w:trPr>
        <w:tc>
          <w:tcPr>
            <w:tcW w:w="4997" w:type="dxa"/>
            <w:gridSpan w:val="2"/>
            <w:shd w:val="clear" w:color="auto" w:fill="CCCCCC"/>
          </w:tcPr>
          <w:p w14:paraId="0250F5F2" w14:textId="77777777" w:rsidR="00F9779E" w:rsidRPr="00BC2D78" w:rsidRDefault="00F9779E" w:rsidP="00CD7AE6">
            <w:pPr>
              <w:autoSpaceDE w:val="0"/>
              <w:autoSpaceDN w:val="0"/>
              <w:adjustRightInd w:val="0"/>
              <w:rPr>
                <w:b/>
                <w:bCs/>
              </w:rPr>
            </w:pPr>
            <w:r w:rsidRPr="00BC2D78">
              <w:rPr>
                <w:b/>
                <w:bCs/>
              </w:rPr>
              <w:t>Total Live Births</w:t>
            </w:r>
          </w:p>
        </w:tc>
      </w:tr>
      <w:tr w:rsidR="00F9779E" w:rsidRPr="00BC2D78" w14:paraId="5839B649" w14:textId="77777777" w:rsidTr="00E21246">
        <w:trPr>
          <w:trHeight w:val="305"/>
          <w:jc w:val="center"/>
        </w:trPr>
        <w:tc>
          <w:tcPr>
            <w:tcW w:w="4997" w:type="dxa"/>
            <w:gridSpan w:val="2"/>
            <w:shd w:val="clear" w:color="auto" w:fill="auto"/>
          </w:tcPr>
          <w:p w14:paraId="23AA52DD" w14:textId="77777777" w:rsidR="00F9779E" w:rsidRPr="00743229" w:rsidRDefault="00F9779E" w:rsidP="00CD7AE6">
            <w:pPr>
              <w:autoSpaceDE w:val="0"/>
              <w:autoSpaceDN w:val="0"/>
              <w:adjustRightInd w:val="0"/>
              <w:rPr>
                <w:bCs/>
              </w:rPr>
            </w:pPr>
            <w:r>
              <w:rPr>
                <w:b/>
                <w:bCs/>
              </w:rPr>
              <w:t xml:space="preserve">Source: </w:t>
            </w:r>
            <w:r w:rsidRPr="00E071AA">
              <w:rPr>
                <w:bCs/>
              </w:rPr>
              <w:t>The Leapfrog Group</w:t>
            </w:r>
          </w:p>
        </w:tc>
      </w:tr>
      <w:tr w:rsidR="00F9779E" w:rsidRPr="00BC2D78" w14:paraId="79F3067D" w14:textId="77777777" w:rsidTr="00E21246">
        <w:trPr>
          <w:trHeight w:val="305"/>
          <w:jc w:val="center"/>
        </w:trPr>
        <w:tc>
          <w:tcPr>
            <w:tcW w:w="4945" w:type="dxa"/>
            <w:shd w:val="clear" w:color="auto" w:fill="auto"/>
          </w:tcPr>
          <w:p w14:paraId="3912EBBB" w14:textId="77777777" w:rsidR="00F9779E" w:rsidRPr="00B943D3" w:rsidRDefault="00F9779E" w:rsidP="00F9779E">
            <w:pPr>
              <w:rPr>
                <w:color w:val="FF0000"/>
                <w:lang w:eastAsia="ja-JP"/>
              </w:rPr>
            </w:pPr>
            <w:r>
              <w:rPr>
                <w:color w:val="FF0000"/>
                <w:lang w:eastAsia="ja-JP"/>
              </w:rPr>
              <w:t xml:space="preserve">Use the following </w:t>
            </w:r>
            <w:r w:rsidRPr="00B943D3">
              <w:rPr>
                <w:color w:val="FF0000"/>
                <w:lang w:eastAsia="ja-JP"/>
              </w:rPr>
              <w:t xml:space="preserve">measure specifications </w:t>
            </w:r>
            <w:r w:rsidR="00714892">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 xml:space="preserve">. </w:t>
            </w:r>
          </w:p>
          <w:p w14:paraId="25EA3D47" w14:textId="77777777" w:rsidR="00F9779E" w:rsidRDefault="00F9779E" w:rsidP="00CD7AE6">
            <w:pPr>
              <w:autoSpaceDE w:val="0"/>
              <w:autoSpaceDN w:val="0"/>
              <w:adjustRightInd w:val="0"/>
              <w:rPr>
                <w:b/>
                <w:bCs/>
              </w:rPr>
            </w:pPr>
          </w:p>
          <w:p w14:paraId="263D8631" w14:textId="77777777" w:rsidR="00F9779E" w:rsidRPr="006E0E0B" w:rsidRDefault="00F9779E" w:rsidP="00CD7AE6">
            <w:pPr>
              <w:autoSpaceDE w:val="0"/>
              <w:autoSpaceDN w:val="0"/>
              <w:adjustRightInd w:val="0"/>
              <w:rPr>
                <w:b/>
                <w:bCs/>
              </w:rPr>
            </w:pPr>
            <w:r w:rsidRPr="006E0E0B">
              <w:rPr>
                <w:b/>
                <w:bCs/>
              </w:rPr>
              <w:t>Reporting Time Period:</w:t>
            </w:r>
            <w:r>
              <w:rPr>
                <w:b/>
                <w:bCs/>
              </w:rPr>
              <w:t xml:space="preserve"> 9 months</w:t>
            </w:r>
          </w:p>
          <w:p w14:paraId="2151BE86" w14:textId="77777777" w:rsidR="00F9779E" w:rsidRPr="00B943D3" w:rsidRDefault="00F9779E" w:rsidP="00CD7AE6">
            <w:pPr>
              <w:autoSpaceDE w:val="0"/>
              <w:autoSpaceDN w:val="0"/>
              <w:adjustRightInd w:val="0"/>
              <w:rPr>
                <w:bCs/>
              </w:rPr>
            </w:pPr>
            <w:r>
              <w:rPr>
                <w:bCs/>
              </w:rPr>
              <w:t xml:space="preserve">January 1, 2015 – September </w:t>
            </w:r>
            <w:r w:rsidR="00E21246">
              <w:rPr>
                <w:bCs/>
              </w:rPr>
              <w:t>30, 2015</w:t>
            </w:r>
          </w:p>
        </w:tc>
        <w:tc>
          <w:tcPr>
            <w:tcW w:w="4997" w:type="dxa"/>
          </w:tcPr>
          <w:p w14:paraId="5806E169" w14:textId="77777777" w:rsidR="00F9779E" w:rsidRDefault="00F9779E" w:rsidP="00F9779E">
            <w:pPr>
              <w:autoSpaceDE w:val="0"/>
              <w:autoSpaceDN w:val="0"/>
              <w:adjustRightInd w:val="0"/>
              <w:rPr>
                <w:rFonts w:cs="Arial"/>
                <w:b/>
              </w:rPr>
            </w:pPr>
            <w:r w:rsidRPr="00B943D3">
              <w:rPr>
                <w:rFonts w:cs="Arial"/>
                <w:color w:val="FF0000"/>
              </w:rPr>
              <w:t xml:space="preserve">Use the following measure specifications for surveys </w:t>
            </w:r>
            <w:r w:rsidR="00E23046">
              <w:rPr>
                <w:rFonts w:cs="Arial"/>
                <w:color w:val="FF0000"/>
              </w:rPr>
              <w:t>(re)</w:t>
            </w:r>
            <w:r w:rsidRPr="00B943D3">
              <w:rPr>
                <w:rFonts w:cs="Arial"/>
                <w:color w:val="FF0000"/>
              </w:rPr>
              <w:t xml:space="preserve">submitted </w:t>
            </w:r>
            <w:r w:rsidRPr="00E21246">
              <w:rPr>
                <w:rFonts w:cs="Arial"/>
                <w:b/>
                <w:color w:val="FF0000"/>
                <w:u w:val="single"/>
              </w:rPr>
              <w:t>on or after September 1, 2016</w:t>
            </w:r>
            <w:r w:rsidRPr="00E21246">
              <w:rPr>
                <w:rFonts w:cs="Arial"/>
                <w:color w:val="FF0000"/>
              </w:rPr>
              <w:t>.</w:t>
            </w:r>
            <w:r w:rsidRPr="007C045C">
              <w:rPr>
                <w:rFonts w:cs="Arial"/>
              </w:rPr>
              <w:br/>
            </w:r>
          </w:p>
          <w:p w14:paraId="1B0264F8" w14:textId="77777777" w:rsidR="00F9779E" w:rsidRDefault="00F9779E" w:rsidP="00CD7AE6">
            <w:pPr>
              <w:autoSpaceDE w:val="0"/>
              <w:autoSpaceDN w:val="0"/>
              <w:adjustRightInd w:val="0"/>
              <w:rPr>
                <w:rFonts w:cs="Arial"/>
                <w:snapToGrid w:val="0"/>
              </w:rPr>
            </w:pPr>
            <w:r w:rsidRPr="007C045C">
              <w:rPr>
                <w:rFonts w:cs="Arial"/>
                <w:b/>
              </w:rPr>
              <w:t>Reporting Time Period:</w:t>
            </w:r>
            <w:r>
              <w:rPr>
                <w:rFonts w:cs="Arial"/>
                <w:b/>
              </w:rPr>
              <w:t xml:space="preserve"> 9 months</w:t>
            </w:r>
            <w:r>
              <w:rPr>
                <w:rFonts w:cs="Arial"/>
                <w:b/>
              </w:rPr>
              <w:br/>
            </w:r>
            <w:r w:rsidRPr="007C045C">
              <w:rPr>
                <w:rFonts w:cs="Arial"/>
                <w:snapToGrid w:val="0"/>
              </w:rPr>
              <w:t>Octobe</w:t>
            </w:r>
            <w:r w:rsidR="00E21246">
              <w:rPr>
                <w:rFonts w:cs="Arial"/>
                <w:snapToGrid w:val="0"/>
              </w:rPr>
              <w:t>r 1, 2015 – June 30, 2016</w:t>
            </w:r>
          </w:p>
          <w:p w14:paraId="45E8402E" w14:textId="77777777" w:rsidR="00E21246" w:rsidRPr="00E21246" w:rsidRDefault="00E21246" w:rsidP="00CD7AE6">
            <w:pPr>
              <w:autoSpaceDE w:val="0"/>
              <w:autoSpaceDN w:val="0"/>
              <w:adjustRightInd w:val="0"/>
              <w:rPr>
                <w:rFonts w:cs="Arial"/>
                <w:snapToGrid w:val="0"/>
              </w:rPr>
            </w:pPr>
          </w:p>
        </w:tc>
      </w:tr>
      <w:tr w:rsidR="00F9779E" w:rsidRPr="00BC2D78" w14:paraId="01F31911" w14:textId="77777777" w:rsidTr="00E21246">
        <w:trPr>
          <w:jc w:val="center"/>
        </w:trPr>
        <w:tc>
          <w:tcPr>
            <w:tcW w:w="4997" w:type="dxa"/>
            <w:shd w:val="clear" w:color="auto" w:fill="auto"/>
          </w:tcPr>
          <w:p w14:paraId="7B4CEB2F" w14:textId="77777777" w:rsidR="00F9779E" w:rsidRPr="00BC2D78" w:rsidRDefault="00F9779E" w:rsidP="00CD7AE6">
            <w:pPr>
              <w:autoSpaceDE w:val="0"/>
              <w:autoSpaceDN w:val="0"/>
              <w:adjustRightInd w:val="0"/>
            </w:pPr>
            <w:r>
              <w:rPr>
                <w:b/>
              </w:rPr>
              <w:t>Question 3:</w:t>
            </w:r>
            <w:r>
              <w:t xml:space="preserve"> </w:t>
            </w:r>
            <w:r w:rsidRPr="00BC2D78">
              <w:t xml:space="preserve">The number of live births </w:t>
            </w:r>
            <w:r>
              <w:t xml:space="preserve">at this hospital location, </w:t>
            </w:r>
            <w:r w:rsidRPr="00BC2D78">
              <w:t>reported to your state during the reporting time period.</w:t>
            </w:r>
          </w:p>
          <w:p w14:paraId="50E75AFE" w14:textId="77777777" w:rsidR="00F9779E" w:rsidRPr="00BC2D78" w:rsidRDefault="00F9779E" w:rsidP="00CD7AE6">
            <w:pPr>
              <w:autoSpaceDE w:val="0"/>
              <w:autoSpaceDN w:val="0"/>
              <w:adjustRightInd w:val="0"/>
            </w:pPr>
          </w:p>
          <w:p w14:paraId="569A91EC" w14:textId="77777777" w:rsidR="00F9779E" w:rsidRPr="00BC2D78" w:rsidRDefault="00F9779E" w:rsidP="00CD7AE6">
            <w:pPr>
              <w:autoSpaceDE w:val="0"/>
              <w:autoSpaceDN w:val="0"/>
              <w:adjustRightInd w:val="0"/>
              <w:rPr>
                <w:rFonts w:cs="Arial"/>
              </w:rPr>
            </w:pPr>
            <w:r w:rsidRPr="00BC2D78">
              <w:rPr>
                <w:rFonts w:cs="Arial"/>
              </w:rPr>
              <w:t>Alternatively, the below list of V codes can be used to identify live births, with the caution that these codes are coded for the newborn, not the mother; likely to be found in your hospital’s birth CIS/medical record system; but often not in claims data since normal newborn care may be included in the mother’s claim without baby’s diagnosis coding.</w:t>
            </w:r>
          </w:p>
          <w:p w14:paraId="02DCE7CD" w14:textId="77777777" w:rsidR="00F9779E" w:rsidRPr="00BC2D78" w:rsidRDefault="00F9779E" w:rsidP="00CD7AE6">
            <w:pPr>
              <w:autoSpaceDE w:val="0"/>
              <w:autoSpaceDN w:val="0"/>
              <w:adjustRightInd w:val="0"/>
              <w:rPr>
                <w:rFonts w:cs="Arial"/>
              </w:rPr>
            </w:pPr>
          </w:p>
          <w:p w14:paraId="6FB54783" w14:textId="77777777" w:rsidR="00F9779E" w:rsidRPr="00BC2D78" w:rsidRDefault="00F9779E" w:rsidP="00CD7AE6">
            <w:pPr>
              <w:rPr>
                <w:rFonts w:ascii="Times New Roman" w:hAnsi="Times New Roman"/>
                <w:sz w:val="24"/>
                <w:szCs w:val="24"/>
              </w:rPr>
            </w:pPr>
            <w:r w:rsidRPr="00BC2D78">
              <w:rPr>
                <w:rFonts w:cs="Arial"/>
              </w:rPr>
              <w:t>V30 - Single liveborn</w:t>
            </w:r>
          </w:p>
          <w:p w14:paraId="18855498" w14:textId="77777777" w:rsidR="00F9779E" w:rsidRPr="00BC2D78" w:rsidRDefault="00F9779E" w:rsidP="00CD7AE6">
            <w:pPr>
              <w:rPr>
                <w:rFonts w:ascii="Times New Roman" w:hAnsi="Times New Roman"/>
                <w:sz w:val="24"/>
                <w:szCs w:val="24"/>
              </w:rPr>
            </w:pPr>
            <w:r w:rsidRPr="00BC2D78">
              <w:rPr>
                <w:rFonts w:cs="Arial"/>
              </w:rPr>
              <w:t>V31 - Twin, mate liveborn</w:t>
            </w:r>
          </w:p>
          <w:p w14:paraId="4E0B1A44" w14:textId="77777777" w:rsidR="00F9779E" w:rsidRPr="00BC2D78" w:rsidRDefault="00F9779E" w:rsidP="00CD7AE6">
            <w:pPr>
              <w:rPr>
                <w:rFonts w:ascii="Times New Roman" w:hAnsi="Times New Roman"/>
                <w:sz w:val="24"/>
                <w:szCs w:val="24"/>
              </w:rPr>
            </w:pPr>
            <w:r w:rsidRPr="00BC2D78">
              <w:rPr>
                <w:rFonts w:cs="Arial"/>
              </w:rPr>
              <w:t>V32 - Twin, mate stillborn</w:t>
            </w:r>
          </w:p>
          <w:p w14:paraId="1AFB94BF" w14:textId="77777777" w:rsidR="00F9779E" w:rsidRPr="00BC2D78" w:rsidRDefault="00F9779E" w:rsidP="00CD7AE6">
            <w:pPr>
              <w:rPr>
                <w:rFonts w:ascii="Times New Roman" w:hAnsi="Times New Roman"/>
                <w:sz w:val="24"/>
                <w:szCs w:val="24"/>
              </w:rPr>
            </w:pPr>
            <w:r w:rsidRPr="00BC2D78">
              <w:rPr>
                <w:rFonts w:cs="Arial"/>
              </w:rPr>
              <w:t>V33 - Twin, unspecified</w:t>
            </w:r>
          </w:p>
          <w:p w14:paraId="40862865" w14:textId="77777777" w:rsidR="00F9779E" w:rsidRPr="00BC2D78" w:rsidRDefault="00F9779E" w:rsidP="00CD7AE6">
            <w:pPr>
              <w:rPr>
                <w:rFonts w:ascii="Times New Roman" w:hAnsi="Times New Roman"/>
                <w:sz w:val="24"/>
                <w:szCs w:val="24"/>
              </w:rPr>
            </w:pPr>
            <w:r w:rsidRPr="00BC2D78">
              <w:rPr>
                <w:rFonts w:cs="Arial"/>
              </w:rPr>
              <w:t>V34 - Other multiple, mates all liveborn</w:t>
            </w:r>
          </w:p>
          <w:p w14:paraId="75C88FB1" w14:textId="77777777" w:rsidR="00F9779E" w:rsidRPr="00BC2D78" w:rsidRDefault="00F9779E" w:rsidP="00CD7AE6">
            <w:pPr>
              <w:rPr>
                <w:rFonts w:ascii="Times New Roman" w:hAnsi="Times New Roman"/>
                <w:sz w:val="24"/>
                <w:szCs w:val="24"/>
              </w:rPr>
            </w:pPr>
            <w:r w:rsidRPr="00BC2D78">
              <w:rPr>
                <w:rFonts w:cs="Arial"/>
              </w:rPr>
              <w:t>V36 - Other multiple, mates live- and stillborn</w:t>
            </w:r>
          </w:p>
          <w:p w14:paraId="2A3D73CF" w14:textId="77777777" w:rsidR="00F9779E" w:rsidRPr="00BC2D78" w:rsidRDefault="00F9779E" w:rsidP="00CD7AE6">
            <w:pPr>
              <w:rPr>
                <w:rFonts w:ascii="Times New Roman" w:hAnsi="Times New Roman"/>
                <w:sz w:val="24"/>
                <w:szCs w:val="24"/>
              </w:rPr>
            </w:pPr>
            <w:r w:rsidRPr="00BC2D78">
              <w:rPr>
                <w:rFonts w:cs="Arial"/>
              </w:rPr>
              <w:t>V37 - Other multiple, unspecified</w:t>
            </w:r>
          </w:p>
          <w:p w14:paraId="1290A571" w14:textId="77777777" w:rsidR="00F9779E" w:rsidRPr="00BC2D78" w:rsidRDefault="00F9779E" w:rsidP="00CD7AE6">
            <w:pPr>
              <w:rPr>
                <w:rFonts w:ascii="Times New Roman" w:hAnsi="Times New Roman"/>
                <w:sz w:val="24"/>
                <w:szCs w:val="24"/>
              </w:rPr>
            </w:pPr>
            <w:r w:rsidRPr="00BC2D78">
              <w:rPr>
                <w:rFonts w:cs="Arial"/>
              </w:rPr>
              <w:t>V39 - Unspecified</w:t>
            </w:r>
          </w:p>
          <w:p w14:paraId="5227A057" w14:textId="77777777" w:rsidR="00F9779E" w:rsidRPr="00BC2D78" w:rsidRDefault="00F9779E" w:rsidP="00CD7AE6">
            <w:pPr>
              <w:autoSpaceDE w:val="0"/>
              <w:autoSpaceDN w:val="0"/>
              <w:adjustRightInd w:val="0"/>
            </w:pPr>
          </w:p>
          <w:p w14:paraId="553EFD99" w14:textId="77777777" w:rsidR="00F9779E" w:rsidRPr="00BC2D78" w:rsidRDefault="00F9779E" w:rsidP="00CD7AE6">
            <w:pPr>
              <w:autoSpaceDE w:val="0"/>
              <w:autoSpaceDN w:val="0"/>
              <w:adjustRightInd w:val="0"/>
            </w:pPr>
            <w:r w:rsidRPr="00BC2D78">
              <w:t>Note:  This data point is simply used to qualify a hospital for further reporting of the normal delivery measures.</w:t>
            </w:r>
          </w:p>
          <w:p w14:paraId="6C93C82C" w14:textId="77777777" w:rsidR="00F9779E" w:rsidRPr="00BC2D78" w:rsidRDefault="00F9779E" w:rsidP="00CD7AE6">
            <w:pPr>
              <w:autoSpaceDE w:val="0"/>
              <w:autoSpaceDN w:val="0"/>
              <w:adjustRightInd w:val="0"/>
            </w:pPr>
          </w:p>
        </w:tc>
        <w:tc>
          <w:tcPr>
            <w:tcW w:w="4997" w:type="dxa"/>
          </w:tcPr>
          <w:p w14:paraId="7C7327E8" w14:textId="77777777" w:rsidR="00F9779E" w:rsidRPr="007C045C" w:rsidRDefault="00F9779E" w:rsidP="00F9779E">
            <w:pPr>
              <w:autoSpaceDE w:val="0"/>
              <w:autoSpaceDN w:val="0"/>
              <w:adjustRightInd w:val="0"/>
              <w:rPr>
                <w:rFonts w:cs="Arial"/>
              </w:rPr>
            </w:pPr>
            <w:r w:rsidRPr="007C045C">
              <w:rPr>
                <w:rFonts w:cs="Arial"/>
                <w:b/>
              </w:rPr>
              <w:t>Question 3:</w:t>
            </w:r>
            <w:r w:rsidRPr="007C045C">
              <w:rPr>
                <w:rFonts w:cs="Arial"/>
              </w:rPr>
              <w:t xml:space="preserve"> The number of live births at this hospital location, reported to your state during the reporting time period.</w:t>
            </w:r>
          </w:p>
          <w:p w14:paraId="68CEED15" w14:textId="77777777" w:rsidR="00F9779E" w:rsidRDefault="00F9779E" w:rsidP="00F9779E">
            <w:pPr>
              <w:autoSpaceDE w:val="0"/>
              <w:autoSpaceDN w:val="0"/>
              <w:adjustRightInd w:val="0"/>
              <w:rPr>
                <w:rFonts w:cs="Arial"/>
              </w:rPr>
            </w:pPr>
          </w:p>
          <w:p w14:paraId="656A3DEE" w14:textId="77777777" w:rsidR="00F9779E" w:rsidRPr="007C045C" w:rsidRDefault="00F9779E" w:rsidP="00F9779E">
            <w:pPr>
              <w:autoSpaceDE w:val="0"/>
              <w:autoSpaceDN w:val="0"/>
              <w:adjustRightInd w:val="0"/>
              <w:rPr>
                <w:rFonts w:cs="Arial"/>
              </w:rPr>
            </w:pPr>
            <w:r w:rsidRPr="007C045C">
              <w:rPr>
                <w:rFonts w:cs="Arial"/>
              </w:rPr>
              <w:t>Alternatively, the below list of Z codes can be used to identify live births, with the caution that these codes are coded for the newborn, not the mother; likely to be found in your hospital’s birth CIS/medical record system; but often not in claims data since normal newborn care may be included in the mother’s claim without baby’s diagnosis coding.</w:t>
            </w:r>
          </w:p>
          <w:p w14:paraId="37D6C49A"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Z38.00 – Z38.01: Single liveborn infant, born in hospital</w:t>
            </w:r>
          </w:p>
          <w:p w14:paraId="45412C6D"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Z38.30 – Z38.31: Twin liveborn infant, born in hospital</w:t>
            </w:r>
          </w:p>
          <w:p w14:paraId="70521B53"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Z38.61 – Z38.69: Other multiple liveborn infant, born in hospital</w:t>
            </w:r>
          </w:p>
          <w:p w14:paraId="18EF352B" w14:textId="77777777" w:rsidR="00F9779E" w:rsidRDefault="00F9779E" w:rsidP="00F9779E">
            <w:pPr>
              <w:autoSpaceDE w:val="0"/>
              <w:autoSpaceDN w:val="0"/>
              <w:adjustRightInd w:val="0"/>
              <w:rPr>
                <w:rFonts w:cs="Arial"/>
              </w:rPr>
            </w:pPr>
            <w:r w:rsidRPr="007C045C">
              <w:rPr>
                <w:rFonts w:cs="Arial"/>
              </w:rPr>
              <w:t>Note:  This data point is simply used to qualify a hospital for further reporting of the normal delivery measures.</w:t>
            </w:r>
          </w:p>
          <w:p w14:paraId="2BD76965" w14:textId="77777777" w:rsidR="00F9779E" w:rsidRDefault="00F9779E" w:rsidP="00CD7AE6">
            <w:pPr>
              <w:autoSpaceDE w:val="0"/>
              <w:autoSpaceDN w:val="0"/>
              <w:adjustRightInd w:val="0"/>
              <w:rPr>
                <w:b/>
              </w:rPr>
            </w:pPr>
          </w:p>
        </w:tc>
      </w:tr>
    </w:tbl>
    <w:p w14:paraId="66155EB1" w14:textId="77777777" w:rsidR="006E50EF" w:rsidRDefault="006E50EF" w:rsidP="00CD7AE6">
      <w:pPr>
        <w:rPr>
          <w:lang w:eastAsia="ja-JP"/>
        </w:rPr>
      </w:pPr>
      <w:bookmarkStart w:id="172" w:name="_Toc236210639"/>
    </w:p>
    <w:p w14:paraId="5CDE8B03" w14:textId="77777777" w:rsidR="00743229" w:rsidRDefault="00743229">
      <w:pPr>
        <w:rPr>
          <w:b/>
          <w:i/>
          <w:sz w:val="24"/>
          <w:szCs w:val="24"/>
          <w:lang w:eastAsia="ja-JP"/>
        </w:rPr>
      </w:pPr>
      <w:bookmarkStart w:id="173" w:name="_Toc383775044"/>
      <w:bookmarkStart w:id="174" w:name="EEDSpecs"/>
      <w:bookmarkEnd w:id="172"/>
      <w:r>
        <w:br w:type="page"/>
      </w:r>
    </w:p>
    <w:p w14:paraId="6087D358" w14:textId="77777777" w:rsidR="006E50EF" w:rsidRPr="005B7CB8" w:rsidRDefault="006E50EF" w:rsidP="00561898">
      <w:pPr>
        <w:pStyle w:val="Heading3"/>
      </w:pPr>
      <w:bookmarkStart w:id="175" w:name="_Early_Elective_Deliveries"/>
      <w:bookmarkStart w:id="176" w:name="_Toc447195022"/>
      <w:bookmarkEnd w:id="175"/>
      <w:r w:rsidRPr="005B7CB8">
        <w:lastRenderedPageBreak/>
        <w:t>Early Elective Deliveries</w:t>
      </w:r>
      <w:bookmarkEnd w:id="173"/>
      <w:bookmarkEnd w:id="176"/>
    </w:p>
    <w:bookmarkEnd w:id="174"/>
    <w:p w14:paraId="55C3CE54" w14:textId="77777777" w:rsidR="006E50EF" w:rsidRPr="00BC2D78" w:rsidRDefault="006E50EF" w:rsidP="00CD7AE6">
      <w:pPr>
        <w:rPr>
          <w:lang w:eastAsia="ja-JP"/>
        </w:rPr>
      </w:pPr>
    </w:p>
    <w:p w14:paraId="53CF53EA" w14:textId="77777777" w:rsidR="006E50EF" w:rsidRPr="00FF33A8" w:rsidRDefault="006E50EF" w:rsidP="00CD7AE6">
      <w:pPr>
        <w:rPr>
          <w:b/>
        </w:rPr>
      </w:pPr>
      <w:r w:rsidRPr="00FF33A8">
        <w:rPr>
          <w:b/>
          <w:color w:val="FF0000"/>
        </w:rPr>
        <w:t xml:space="preserve">Important Notes: </w:t>
      </w:r>
      <w:r w:rsidRPr="00FF33A8">
        <w:rPr>
          <w:b/>
        </w:rPr>
        <w:t xml:space="preserve"> </w:t>
      </w:r>
    </w:p>
    <w:p w14:paraId="53D32B52" w14:textId="77777777" w:rsidR="006E50EF" w:rsidRPr="00BC2D78" w:rsidRDefault="006E50EF" w:rsidP="00CD7AE6">
      <w:pPr>
        <w:rPr>
          <w:i/>
        </w:rPr>
      </w:pPr>
    </w:p>
    <w:p w14:paraId="6731D788" w14:textId="77777777" w:rsidR="006E50EF" w:rsidRPr="00713F7C" w:rsidRDefault="006E50EF" w:rsidP="00CD7AE6">
      <w:r w:rsidRPr="00713F7C">
        <w:t>Note 1:  Early Elective Deliveries can be reported based on all eligible cases OR a sufficient sample of cases as outlined in</w:t>
      </w:r>
      <w:r w:rsidR="001B0698">
        <w:t xml:space="preserve"> the denominator specifications. </w:t>
      </w:r>
    </w:p>
    <w:p w14:paraId="7E266813" w14:textId="77777777" w:rsidR="006E50EF" w:rsidRPr="00713F7C" w:rsidRDefault="006E50EF" w:rsidP="00CD7AE6">
      <w:pPr>
        <w:rPr>
          <w:b/>
          <w:color w:val="FF0000"/>
        </w:rPr>
      </w:pPr>
    </w:p>
    <w:p w14:paraId="2273A1C8" w14:textId="77777777" w:rsidR="006E50EF" w:rsidRDefault="006E50EF" w:rsidP="00CD7AE6">
      <w:r w:rsidRPr="00713F7C">
        <w:t>Note 2:  Leapfrog uses the specifications created by The Joint Commission</w:t>
      </w:r>
      <w:r w:rsidR="001B0698">
        <w:t xml:space="preserve"> (TJ</w:t>
      </w:r>
      <w:r w:rsidR="00087761">
        <w:t>C</w:t>
      </w:r>
      <w:r w:rsidR="001B0698">
        <w:t>)</w:t>
      </w:r>
      <w:r w:rsidRPr="00713F7C">
        <w:t xml:space="preserve"> for the Elective Delivery Prior to 39 </w:t>
      </w:r>
      <w:r w:rsidR="005E24B3">
        <w:t>W</w:t>
      </w:r>
      <w:r w:rsidRPr="00713F7C">
        <w:t>eeks measure. As such, Leapfrog will update its instructions annually, and more frequently if appropriate, to maintain ali</w:t>
      </w:r>
      <w:r w:rsidR="001B0698">
        <w:t>gnment with TJC</w:t>
      </w:r>
      <w:r>
        <w:t>.</w:t>
      </w:r>
      <w:r w:rsidRPr="00713F7C">
        <w:t xml:space="preserve"> </w:t>
      </w:r>
      <w:r>
        <w:t xml:space="preserve"> </w:t>
      </w:r>
      <w:r w:rsidRPr="00713F7C">
        <w:t>Hospitals c</w:t>
      </w:r>
      <w:r w:rsidR="001B0698">
        <w:t>an access TJC’s</w:t>
      </w:r>
      <w:r w:rsidRPr="00713F7C">
        <w:t xml:space="preserve"> meas</w:t>
      </w:r>
      <w:r w:rsidR="000B0143">
        <w:t>ure specifications directly using the links in the table below.</w:t>
      </w:r>
    </w:p>
    <w:p w14:paraId="49123951" w14:textId="77777777" w:rsidR="007E4FAA" w:rsidRDefault="007E4FAA" w:rsidP="00CD7AE6"/>
    <w:p w14:paraId="5B2DB316" w14:textId="77777777" w:rsidR="007E4FAA" w:rsidRPr="002A1A1A" w:rsidRDefault="007E4FAA" w:rsidP="00CD7AE6">
      <w:r>
        <w:t xml:space="preserve">Note 3: </w:t>
      </w:r>
      <w:r w:rsidR="002A1A1A" w:rsidRPr="00F126A0">
        <w:rPr>
          <w:snapToGrid w:val="0"/>
        </w:rPr>
        <w:t xml:space="preserve">Hospitals that share a Medicare Provider Number are required to report by facility. Please carefully review </w:t>
      </w:r>
      <w:hyperlink r:id="rId79" w:history="1">
        <w:r w:rsidR="002A1A1A" w:rsidRPr="00F126A0">
          <w:rPr>
            <w:rStyle w:val="Hyperlink"/>
            <w:snapToGrid w:val="0"/>
          </w:rPr>
          <w:t>Leapfrog’s Multi-Campus Reporting Policy</w:t>
        </w:r>
      </w:hyperlink>
      <w:r w:rsidR="002A1A1A" w:rsidRPr="00F126A0">
        <w:rPr>
          <w:snapToGrid w:val="0"/>
        </w:rPr>
        <w:t>.</w:t>
      </w:r>
    </w:p>
    <w:p w14:paraId="033C4AF5" w14:textId="77777777" w:rsidR="00E21246" w:rsidRDefault="00E21246" w:rsidP="00CD7AE6">
      <w:pPr>
        <w:rPr>
          <w:snapToGrid w:val="0"/>
        </w:rPr>
      </w:pPr>
    </w:p>
    <w:p w14:paraId="3B144510" w14:textId="77777777" w:rsidR="00E21246" w:rsidRPr="002A1A1A" w:rsidRDefault="00E21246" w:rsidP="00E21246">
      <w:pPr>
        <w:pStyle w:val="BodyText"/>
        <w:rPr>
          <w:rFonts w:cs="Arial"/>
          <w:b/>
          <w:i w:val="0"/>
          <w:color w:val="FF0000"/>
        </w:rPr>
      </w:pPr>
      <w:r w:rsidRPr="00E071AA">
        <w:rPr>
          <w:rFonts w:cs="Arial"/>
          <w:b/>
          <w:i w:val="0"/>
          <w:color w:val="FF0000"/>
        </w:rPr>
        <w:t>Note</w:t>
      </w:r>
      <w:r w:rsidR="00A02948">
        <w:rPr>
          <w:rFonts w:cs="Arial"/>
          <w:b/>
          <w:i w:val="0"/>
          <w:color w:val="FF0000"/>
        </w:rPr>
        <w:t>s</w:t>
      </w:r>
      <w:r w:rsidRPr="00E071AA">
        <w:rPr>
          <w:rFonts w:cs="Arial"/>
          <w:b/>
          <w:i w:val="0"/>
          <w:color w:val="FF0000"/>
        </w:rPr>
        <w:t xml:space="preserve"> on Changes</w:t>
      </w:r>
      <w:r w:rsidR="000B0143">
        <w:rPr>
          <w:rFonts w:cs="Arial"/>
          <w:b/>
          <w:i w:val="0"/>
          <w:color w:val="FF0000"/>
        </w:rPr>
        <w:t xml:space="preserve"> between PC-01 version 2015A1 and 2015B2</w:t>
      </w:r>
      <w:r w:rsidRPr="00E071AA">
        <w:rPr>
          <w:rFonts w:cs="Arial"/>
          <w:b/>
          <w:i w:val="0"/>
          <w:color w:val="FF0000"/>
        </w:rPr>
        <w:t>:</w:t>
      </w:r>
      <w:r w:rsidR="002A1A1A">
        <w:rPr>
          <w:rFonts w:cs="Arial"/>
          <w:b/>
          <w:i w:val="0"/>
          <w:color w:val="FF0000"/>
        </w:rPr>
        <w:t xml:space="preserve"> </w:t>
      </w:r>
      <w:r w:rsidR="000B0143">
        <w:rPr>
          <w:rFonts w:cs="Arial"/>
          <w:i w:val="0"/>
        </w:rPr>
        <w:t xml:space="preserve">In version 2015B2, </w:t>
      </w:r>
      <w:r w:rsidRPr="00E071AA">
        <w:rPr>
          <w:rFonts w:cs="Arial"/>
          <w:i w:val="0"/>
        </w:rPr>
        <w:t>the measure specification for identifying the numerator for early elective deliveries no longer includes the inclusion criterion for cesarean births where the patient is “not experiencing spontaneous rupture of membranes.”</w:t>
      </w:r>
    </w:p>
    <w:p w14:paraId="13AA492A" w14:textId="77777777" w:rsidR="002A1A1A" w:rsidRPr="00B33552" w:rsidRDefault="002A1A1A" w:rsidP="00B33552">
      <w:pPr>
        <w:autoSpaceDE w:val="0"/>
        <w:autoSpaceDN w:val="0"/>
        <w:adjustRightInd w:val="0"/>
        <w:rPr>
          <w:b/>
          <w:snapToGrid w:val="0"/>
          <w:color w:val="00000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7"/>
        <w:gridCol w:w="4997"/>
      </w:tblGrid>
      <w:tr w:rsidR="003B15F7" w:rsidRPr="00BC2D78" w14:paraId="22E36564" w14:textId="77777777" w:rsidTr="002A1A1A">
        <w:trPr>
          <w:trHeight w:val="358"/>
          <w:jc w:val="center"/>
        </w:trPr>
        <w:tc>
          <w:tcPr>
            <w:tcW w:w="4997" w:type="dxa"/>
            <w:shd w:val="clear" w:color="auto" w:fill="auto"/>
          </w:tcPr>
          <w:p w14:paraId="06C58C47" w14:textId="77777777" w:rsidR="003B15F7" w:rsidRPr="00B33552" w:rsidRDefault="003B15F7" w:rsidP="00B33552">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67550E">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63A34639" w14:textId="77777777" w:rsidR="003B15F7" w:rsidRDefault="003B15F7" w:rsidP="00B33552">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67550E">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09C9EF06" w14:textId="77777777" w:rsidR="00B33552" w:rsidRPr="00B33552" w:rsidRDefault="00B33552" w:rsidP="00B33552">
            <w:pPr>
              <w:jc w:val="center"/>
              <w:rPr>
                <w:color w:val="FF0000"/>
                <w:lang w:eastAsia="ja-JP"/>
              </w:rPr>
            </w:pPr>
          </w:p>
        </w:tc>
      </w:tr>
      <w:tr w:rsidR="003B15F7" w:rsidRPr="00BC2D78" w14:paraId="600F3736" w14:textId="77777777" w:rsidTr="003B15F7">
        <w:trPr>
          <w:trHeight w:val="358"/>
          <w:jc w:val="center"/>
        </w:trPr>
        <w:tc>
          <w:tcPr>
            <w:tcW w:w="9994" w:type="dxa"/>
            <w:gridSpan w:val="2"/>
            <w:shd w:val="clear" w:color="auto" w:fill="CCCCCC"/>
          </w:tcPr>
          <w:p w14:paraId="08B56740" w14:textId="77777777" w:rsidR="003B15F7" w:rsidRDefault="003B15F7" w:rsidP="003B15F7">
            <w:pPr>
              <w:autoSpaceDE w:val="0"/>
              <w:autoSpaceDN w:val="0"/>
              <w:adjustRightInd w:val="0"/>
              <w:rPr>
                <w:b/>
                <w:snapToGrid w:val="0"/>
                <w:color w:val="000000"/>
              </w:rPr>
            </w:pPr>
            <w:r w:rsidRPr="00BC2D78">
              <w:br w:type="page"/>
            </w:r>
            <w:r w:rsidRPr="00BC2D78">
              <w:rPr>
                <w:b/>
                <w:snapToGrid w:val="0"/>
                <w:color w:val="000000"/>
              </w:rPr>
              <w:t xml:space="preserve">Elective Delivery </w:t>
            </w:r>
            <w:r>
              <w:rPr>
                <w:b/>
                <w:snapToGrid w:val="0"/>
                <w:color w:val="000000"/>
              </w:rPr>
              <w:t xml:space="preserve">At or After 37 Completed Weeks or </w:t>
            </w:r>
            <w:r w:rsidRPr="00BC2D78">
              <w:rPr>
                <w:b/>
                <w:snapToGrid w:val="0"/>
                <w:color w:val="000000"/>
              </w:rPr>
              <w:t>Prior to 39 Completed Weeks</w:t>
            </w:r>
            <w:r>
              <w:rPr>
                <w:b/>
                <w:snapToGrid w:val="0"/>
                <w:color w:val="000000"/>
              </w:rPr>
              <w:t xml:space="preserve"> of</w:t>
            </w:r>
            <w:r w:rsidRPr="00BC2D78">
              <w:rPr>
                <w:b/>
                <w:snapToGrid w:val="0"/>
                <w:color w:val="000000"/>
              </w:rPr>
              <w:t xml:space="preserve"> Gestation</w:t>
            </w:r>
          </w:p>
          <w:p w14:paraId="3246C563" w14:textId="77777777" w:rsidR="003B15F7" w:rsidRPr="00BC2D78" w:rsidRDefault="003B15F7" w:rsidP="003B15F7">
            <w:pPr>
              <w:autoSpaceDE w:val="0"/>
              <w:autoSpaceDN w:val="0"/>
              <w:adjustRightInd w:val="0"/>
            </w:pPr>
          </w:p>
        </w:tc>
      </w:tr>
      <w:tr w:rsidR="003B15F7" w:rsidRPr="00BC2D78" w14:paraId="600BE88B" w14:textId="77777777" w:rsidTr="003B15F7">
        <w:trPr>
          <w:jc w:val="center"/>
        </w:trPr>
        <w:tc>
          <w:tcPr>
            <w:tcW w:w="4997" w:type="dxa"/>
          </w:tcPr>
          <w:p w14:paraId="42C60110" w14:textId="77777777" w:rsidR="003B15F7" w:rsidRDefault="003B15F7" w:rsidP="003B15F7">
            <w:pPr>
              <w:autoSpaceDE w:val="0"/>
              <w:autoSpaceDN w:val="0"/>
              <w:adjustRightInd w:val="0"/>
              <w:rPr>
                <w:b/>
              </w:rPr>
            </w:pPr>
            <w:r w:rsidRPr="00FF33A8">
              <w:rPr>
                <w:b/>
              </w:rPr>
              <w:t>Source:</w:t>
            </w:r>
            <w:r w:rsidRPr="00CD048B">
              <w:t xml:space="preserve"> Joint Commission PC-01 </w:t>
            </w:r>
            <w:r w:rsidR="00C306D8" w:rsidRPr="002A1A1A">
              <w:rPr>
                <w:b/>
              </w:rPr>
              <w:t>(</w:t>
            </w:r>
            <w:r>
              <w:rPr>
                <w:b/>
              </w:rPr>
              <w:t xml:space="preserve">version </w:t>
            </w:r>
            <w:r w:rsidRPr="00E21246">
              <w:rPr>
                <w:b/>
              </w:rPr>
              <w:t>2015A1</w:t>
            </w:r>
            <w:r w:rsidR="00C306D8">
              <w:rPr>
                <w:b/>
              </w:rPr>
              <w:t>)</w:t>
            </w:r>
          </w:p>
          <w:p w14:paraId="4123929D" w14:textId="77777777" w:rsidR="00B33552" w:rsidRDefault="00B33552" w:rsidP="003B15F7">
            <w:pPr>
              <w:autoSpaceDE w:val="0"/>
              <w:autoSpaceDN w:val="0"/>
              <w:adjustRightInd w:val="0"/>
              <w:rPr>
                <w:b/>
              </w:rPr>
            </w:pPr>
          </w:p>
          <w:p w14:paraId="0CBC55AC" w14:textId="77777777" w:rsidR="00B33552" w:rsidRPr="006E0E0B" w:rsidRDefault="00B33552" w:rsidP="00B33552">
            <w:pPr>
              <w:autoSpaceDE w:val="0"/>
              <w:autoSpaceDN w:val="0"/>
              <w:adjustRightInd w:val="0"/>
              <w:rPr>
                <w:b/>
                <w:bCs/>
              </w:rPr>
            </w:pPr>
            <w:r w:rsidRPr="006E0E0B">
              <w:rPr>
                <w:b/>
                <w:bCs/>
              </w:rPr>
              <w:t>Reporting Time Period:</w:t>
            </w:r>
            <w:r>
              <w:rPr>
                <w:b/>
                <w:bCs/>
              </w:rPr>
              <w:t xml:space="preserve"> 9 months</w:t>
            </w:r>
          </w:p>
          <w:p w14:paraId="302F69A6" w14:textId="77777777" w:rsidR="00B33552" w:rsidRPr="00E21246" w:rsidRDefault="00B33552" w:rsidP="00B33552">
            <w:pPr>
              <w:autoSpaceDE w:val="0"/>
              <w:autoSpaceDN w:val="0"/>
              <w:adjustRightInd w:val="0"/>
              <w:rPr>
                <w:b/>
              </w:rPr>
            </w:pPr>
            <w:r>
              <w:rPr>
                <w:bCs/>
              </w:rPr>
              <w:t>January 1, 2015 – September 30, 2015</w:t>
            </w:r>
          </w:p>
          <w:p w14:paraId="25F4C7B1" w14:textId="77777777" w:rsidR="003B15F7" w:rsidRPr="00FF33A8" w:rsidRDefault="003B15F7" w:rsidP="003B15F7">
            <w:pPr>
              <w:autoSpaceDE w:val="0"/>
              <w:autoSpaceDN w:val="0"/>
              <w:adjustRightInd w:val="0"/>
              <w:rPr>
                <w:b/>
              </w:rPr>
            </w:pPr>
          </w:p>
        </w:tc>
        <w:tc>
          <w:tcPr>
            <w:tcW w:w="4997" w:type="dxa"/>
          </w:tcPr>
          <w:p w14:paraId="3A9DA898" w14:textId="77777777" w:rsidR="003B15F7" w:rsidRDefault="003B15F7" w:rsidP="003B15F7">
            <w:pPr>
              <w:autoSpaceDE w:val="0"/>
              <w:autoSpaceDN w:val="0"/>
              <w:adjustRightInd w:val="0"/>
              <w:rPr>
                <w:rFonts w:cs="Arial"/>
                <w:b/>
              </w:rPr>
            </w:pPr>
            <w:r w:rsidRPr="007C045C">
              <w:rPr>
                <w:rFonts w:cs="Arial"/>
                <w:b/>
              </w:rPr>
              <w:t>Source:</w:t>
            </w:r>
            <w:r w:rsidRPr="007C045C">
              <w:rPr>
                <w:rFonts w:cs="Arial"/>
              </w:rPr>
              <w:t xml:space="preserve"> J</w:t>
            </w:r>
            <w:r>
              <w:rPr>
                <w:rFonts w:cs="Arial"/>
              </w:rPr>
              <w:t xml:space="preserve">oint Commission PC-01 </w:t>
            </w:r>
            <w:r w:rsidR="00C306D8">
              <w:rPr>
                <w:rFonts w:cs="Arial"/>
                <w:b/>
              </w:rPr>
              <w:t>(</w:t>
            </w:r>
            <w:r>
              <w:rPr>
                <w:rFonts w:cs="Arial"/>
                <w:b/>
              </w:rPr>
              <w:t xml:space="preserve">version </w:t>
            </w:r>
            <w:r w:rsidRPr="00E21246">
              <w:rPr>
                <w:rFonts w:cs="Arial"/>
                <w:b/>
              </w:rPr>
              <w:t>2015B2</w:t>
            </w:r>
            <w:r w:rsidR="00C306D8">
              <w:rPr>
                <w:rFonts w:cs="Arial"/>
                <w:b/>
              </w:rPr>
              <w:t>)</w:t>
            </w:r>
          </w:p>
          <w:p w14:paraId="4D599A26" w14:textId="77777777" w:rsidR="00B33552" w:rsidRDefault="00B33552" w:rsidP="003B15F7">
            <w:pPr>
              <w:autoSpaceDE w:val="0"/>
              <w:autoSpaceDN w:val="0"/>
              <w:adjustRightInd w:val="0"/>
              <w:rPr>
                <w:rFonts w:cs="Arial"/>
                <w:b/>
              </w:rPr>
            </w:pPr>
          </w:p>
          <w:p w14:paraId="017B6FDC" w14:textId="77777777" w:rsidR="00B33552" w:rsidRPr="006E0E0B" w:rsidRDefault="00B33552" w:rsidP="00B33552">
            <w:pPr>
              <w:autoSpaceDE w:val="0"/>
              <w:autoSpaceDN w:val="0"/>
              <w:adjustRightInd w:val="0"/>
              <w:rPr>
                <w:b/>
                <w:bCs/>
              </w:rPr>
            </w:pPr>
            <w:r w:rsidRPr="006E0E0B">
              <w:rPr>
                <w:b/>
                <w:bCs/>
              </w:rPr>
              <w:t>Reporting Time Period:</w:t>
            </w:r>
            <w:r>
              <w:rPr>
                <w:b/>
                <w:bCs/>
              </w:rPr>
              <w:t xml:space="preserve"> 9 months</w:t>
            </w:r>
          </w:p>
          <w:p w14:paraId="777F0C68" w14:textId="77777777" w:rsidR="00B33552" w:rsidRPr="00FF33A8" w:rsidRDefault="00B33552" w:rsidP="00B33552">
            <w:pPr>
              <w:autoSpaceDE w:val="0"/>
              <w:autoSpaceDN w:val="0"/>
              <w:adjustRightInd w:val="0"/>
              <w:rPr>
                <w:b/>
              </w:rPr>
            </w:pPr>
            <w:r>
              <w:rPr>
                <w:bCs/>
              </w:rPr>
              <w:t>October 1, 2015 – June 30, 201</w:t>
            </w:r>
            <w:r w:rsidR="0067550E">
              <w:rPr>
                <w:bCs/>
              </w:rPr>
              <w:t>6</w:t>
            </w:r>
          </w:p>
        </w:tc>
      </w:tr>
      <w:tr w:rsidR="003B15F7" w:rsidRPr="00BC2D78" w14:paraId="47D1EBB0" w14:textId="77777777" w:rsidTr="003B15F7">
        <w:trPr>
          <w:jc w:val="center"/>
        </w:trPr>
        <w:tc>
          <w:tcPr>
            <w:tcW w:w="4997" w:type="dxa"/>
          </w:tcPr>
          <w:p w14:paraId="43E4FE21" w14:textId="77777777" w:rsidR="003B15F7" w:rsidRPr="00E21246" w:rsidRDefault="003B15F7" w:rsidP="003B15F7">
            <w:pPr>
              <w:tabs>
                <w:tab w:val="left" w:pos="2460"/>
              </w:tabs>
              <w:autoSpaceDE w:val="0"/>
              <w:autoSpaceDN w:val="0"/>
              <w:adjustRightInd w:val="0"/>
            </w:pPr>
            <w:r w:rsidRPr="007B42A0">
              <w:t xml:space="preserve">If you measured this quality indicator, reported the results to TJC, and continue to submit these data to The Joint Commission, </w:t>
            </w:r>
            <w:r w:rsidRPr="007B42A0">
              <w:rPr>
                <w:b/>
              </w:rPr>
              <w:t>use those data when responding to this subsection of the survey.</w:t>
            </w:r>
          </w:p>
          <w:p w14:paraId="42F60577" w14:textId="77777777" w:rsidR="003B15F7" w:rsidRPr="007B42A0" w:rsidRDefault="003B15F7" w:rsidP="003B15F7">
            <w:pPr>
              <w:rPr>
                <w:rFonts w:cs="Arial"/>
              </w:rPr>
            </w:pPr>
          </w:p>
          <w:p w14:paraId="733C7906" w14:textId="77777777" w:rsidR="003B15F7" w:rsidRDefault="003B15F7" w:rsidP="003B15F7">
            <w:pPr>
              <w:rPr>
                <w:rFonts w:cs="Arial"/>
              </w:rPr>
            </w:pPr>
            <w:r w:rsidRPr="007B42A0">
              <w:rPr>
                <w:rFonts w:cs="Arial"/>
              </w:rPr>
              <w:t>Otherwise, use TJC’s PC-01 Elective Delivery measure specifications (</w:t>
            </w:r>
            <w:r w:rsidRPr="00E21246">
              <w:rPr>
                <w:rFonts w:cs="Arial"/>
                <w:b/>
              </w:rPr>
              <w:t>version 2015A1</w:t>
            </w:r>
            <w:r w:rsidRPr="007B42A0">
              <w:rPr>
                <w:rFonts w:cs="Arial"/>
              </w:rPr>
              <w:t>) to retrospectively collect and report data for this measure. The PC-01 measure specifications are outlined below. To access the measure specifications directly on TJC’s website, visit</w:t>
            </w:r>
            <w:r>
              <w:rPr>
                <w:rFonts w:cs="Arial"/>
              </w:rPr>
              <w:t xml:space="preserve"> </w:t>
            </w:r>
            <w:hyperlink r:id="rId80" w:history="1">
              <w:r w:rsidRPr="00E85B55">
                <w:rPr>
                  <w:rStyle w:val="Hyperlink"/>
                  <w:rFonts w:cs="Arial"/>
                </w:rPr>
                <w:t>https://manual.jointcommission.org/releases/TJC2015A1/MIF0166.html</w:t>
              </w:r>
            </w:hyperlink>
            <w:r>
              <w:rPr>
                <w:rFonts w:cs="Arial"/>
              </w:rPr>
              <w:t xml:space="preserve">. </w:t>
            </w:r>
          </w:p>
          <w:p w14:paraId="71FBD05D" w14:textId="77777777" w:rsidR="002A1A1A" w:rsidRPr="00AA2590" w:rsidRDefault="002A1A1A" w:rsidP="003B15F7">
            <w:pPr>
              <w:rPr>
                <w:rFonts w:cs="Arial"/>
              </w:rPr>
            </w:pPr>
          </w:p>
        </w:tc>
        <w:tc>
          <w:tcPr>
            <w:tcW w:w="4997" w:type="dxa"/>
          </w:tcPr>
          <w:p w14:paraId="64758348" w14:textId="77777777" w:rsidR="003B15F7" w:rsidRPr="00E21246" w:rsidRDefault="003B15F7" w:rsidP="003B15F7">
            <w:pPr>
              <w:rPr>
                <w:rFonts w:cs="Arial"/>
                <w:b/>
              </w:rPr>
            </w:pPr>
            <w:r w:rsidRPr="00050FED">
              <w:rPr>
                <w:rFonts w:cs="Arial"/>
              </w:rPr>
              <w:t xml:space="preserve">If you measured this quality indicator, reported the results to TJC, and continue to submit these data to The Joint Commission, </w:t>
            </w:r>
            <w:r w:rsidRPr="00E21246">
              <w:rPr>
                <w:rFonts w:cs="Arial"/>
                <w:b/>
              </w:rPr>
              <w:t>use those data when responding to this subsection of the survey.</w:t>
            </w:r>
          </w:p>
          <w:p w14:paraId="0B3A58F8" w14:textId="77777777" w:rsidR="003B15F7" w:rsidRPr="00050FED" w:rsidRDefault="003B15F7" w:rsidP="003B15F7">
            <w:pPr>
              <w:rPr>
                <w:rFonts w:cs="Arial"/>
              </w:rPr>
            </w:pPr>
          </w:p>
          <w:p w14:paraId="5873E694" w14:textId="77777777" w:rsidR="003B15F7" w:rsidRPr="00050FED" w:rsidRDefault="003B15F7" w:rsidP="003B15F7">
            <w:pPr>
              <w:rPr>
                <w:rFonts w:cs="Arial"/>
              </w:rPr>
            </w:pPr>
            <w:r w:rsidRPr="00050FED">
              <w:rPr>
                <w:rFonts w:cs="Arial"/>
              </w:rPr>
              <w:t>Otherwise, use TJC’s PC-01 Elective Delivery measur</w:t>
            </w:r>
            <w:r>
              <w:rPr>
                <w:rFonts w:cs="Arial"/>
              </w:rPr>
              <w:t>e specifications (</w:t>
            </w:r>
            <w:r w:rsidRPr="00E21246">
              <w:rPr>
                <w:rFonts w:cs="Arial"/>
                <w:b/>
              </w:rPr>
              <w:t>version 2015B2</w:t>
            </w:r>
            <w:r w:rsidRPr="00050FED">
              <w:rPr>
                <w:rFonts w:cs="Arial"/>
              </w:rPr>
              <w:t xml:space="preserve">) to retrospectively collect and report data for this measure. The PC-01 measure specifications are outlined below. To access the measure specifications directly on The Joint Commission’s website, visit </w:t>
            </w:r>
            <w:hyperlink r:id="rId81" w:history="1">
              <w:r w:rsidRPr="00E85B55">
                <w:rPr>
                  <w:rStyle w:val="Hyperlink"/>
                  <w:rFonts w:cs="Arial"/>
                </w:rPr>
                <w:t>https://manual.jointcommission.org/releases/TJC2015B2/MIF0166.html</w:t>
              </w:r>
            </w:hyperlink>
            <w:r>
              <w:rPr>
                <w:rFonts w:cs="Arial"/>
              </w:rPr>
              <w:t xml:space="preserve">. </w:t>
            </w:r>
          </w:p>
          <w:p w14:paraId="7161965A" w14:textId="77777777" w:rsidR="003B15F7" w:rsidRPr="00FF33A8" w:rsidRDefault="003B15F7" w:rsidP="003B15F7">
            <w:pPr>
              <w:autoSpaceDE w:val="0"/>
              <w:autoSpaceDN w:val="0"/>
              <w:adjustRightInd w:val="0"/>
              <w:rPr>
                <w:b/>
              </w:rPr>
            </w:pPr>
          </w:p>
        </w:tc>
      </w:tr>
      <w:tr w:rsidR="003B15F7" w:rsidRPr="00BC2D78" w14:paraId="6C59270E" w14:textId="77777777" w:rsidTr="00E21246">
        <w:trPr>
          <w:jc w:val="center"/>
        </w:trPr>
        <w:tc>
          <w:tcPr>
            <w:tcW w:w="4997" w:type="dxa"/>
          </w:tcPr>
          <w:p w14:paraId="5B4B957A" w14:textId="77777777" w:rsidR="003B15F7" w:rsidRPr="007E4FAA" w:rsidRDefault="003B15F7" w:rsidP="003B15F7">
            <w:pPr>
              <w:rPr>
                <w:rFonts w:cs="Arial"/>
              </w:rPr>
            </w:pPr>
            <w:r>
              <w:rPr>
                <w:rFonts w:cs="Arial"/>
                <w:b/>
              </w:rPr>
              <w:t xml:space="preserve">Sampling Cases: </w:t>
            </w:r>
            <w:r>
              <w:rPr>
                <w:rFonts w:cs="Arial"/>
              </w:rPr>
              <w:t xml:space="preserve">Hospitals that report the Perinatal Care Measure Set to the TJC may use the sampling methodology used by TJC to report on these questions. </w:t>
            </w:r>
          </w:p>
          <w:p w14:paraId="7DB261A7" w14:textId="77777777" w:rsidR="003B15F7" w:rsidRDefault="003B15F7" w:rsidP="003B15F7">
            <w:pPr>
              <w:autoSpaceDE w:val="0"/>
              <w:autoSpaceDN w:val="0"/>
              <w:adjustRightInd w:val="0"/>
              <w:rPr>
                <w:i/>
              </w:rPr>
            </w:pPr>
          </w:p>
          <w:p w14:paraId="5CE9E6A3" w14:textId="062F65C2" w:rsidR="003B15F7" w:rsidRPr="00DA33AB" w:rsidRDefault="005D4B73" w:rsidP="003B15F7">
            <w:pPr>
              <w:autoSpaceDE w:val="0"/>
              <w:autoSpaceDN w:val="0"/>
              <w:adjustRightInd w:val="0"/>
            </w:pPr>
            <w:r w:rsidRPr="00DA33AB">
              <w:t>Otherwise, h</w:t>
            </w:r>
            <w:r w:rsidR="003B15F7" w:rsidRPr="00DA33AB">
              <w:t>ospitals opting to identify a sufficient sample of mothers for this measure, in lieu of full case reporting, should follow these instructions:</w:t>
            </w:r>
          </w:p>
          <w:p w14:paraId="1441F5CD" w14:textId="77777777" w:rsidR="003B15F7" w:rsidRPr="007B42A0" w:rsidRDefault="003B15F7" w:rsidP="00ED58C1">
            <w:pPr>
              <w:numPr>
                <w:ilvl w:val="0"/>
                <w:numId w:val="38"/>
              </w:numPr>
              <w:autoSpaceDE w:val="0"/>
              <w:autoSpaceDN w:val="0"/>
              <w:adjustRightInd w:val="0"/>
            </w:pPr>
            <w:r w:rsidRPr="007B42A0">
              <w:t xml:space="preserve">Review your hospital’s first delivery as of </w:t>
            </w:r>
            <w:r w:rsidRPr="00E21246">
              <w:rPr>
                <w:b/>
              </w:rPr>
              <w:t>January 15, 2015</w:t>
            </w:r>
            <w:r w:rsidRPr="007B42A0">
              <w:t>.</w:t>
            </w:r>
          </w:p>
          <w:p w14:paraId="417F733E" w14:textId="77777777" w:rsidR="003B15F7" w:rsidRPr="007B42A0" w:rsidRDefault="003B15F7" w:rsidP="00ED58C1">
            <w:pPr>
              <w:numPr>
                <w:ilvl w:val="0"/>
                <w:numId w:val="38"/>
              </w:numPr>
              <w:autoSpaceDE w:val="0"/>
              <w:autoSpaceDN w:val="0"/>
              <w:adjustRightInd w:val="0"/>
            </w:pPr>
            <w:r w:rsidRPr="007B42A0">
              <w:t xml:space="preserve">Evaluate this case against the inclusion criteria; retain the case for the sample if the delivery was at or after 259 days gestation (37 completed weeks gestation) and before </w:t>
            </w:r>
            <w:r w:rsidRPr="007B42A0">
              <w:lastRenderedPageBreak/>
              <w:t xml:space="preserve">273 days gestation (39 completed weeks gestation). </w:t>
            </w:r>
          </w:p>
          <w:p w14:paraId="5174ED16" w14:textId="77777777" w:rsidR="003B15F7" w:rsidRPr="007B42A0" w:rsidRDefault="003B15F7" w:rsidP="00ED58C1">
            <w:pPr>
              <w:numPr>
                <w:ilvl w:val="0"/>
                <w:numId w:val="38"/>
              </w:numPr>
              <w:autoSpaceDE w:val="0"/>
              <w:autoSpaceDN w:val="0"/>
              <w:adjustRightInd w:val="0"/>
            </w:pPr>
            <w:r w:rsidRPr="007B42A0">
              <w:t xml:space="preserve">Evaluate this case against the exclusion criteria; retain the case for the sample if it </w:t>
            </w:r>
            <w:r w:rsidRPr="007B42A0">
              <w:rPr>
                <w:u w:val="single"/>
              </w:rPr>
              <w:t>does not</w:t>
            </w:r>
            <w:r w:rsidRPr="007B42A0">
              <w:t xml:space="preserve"> meet any of the listed exclusions. </w:t>
            </w:r>
          </w:p>
          <w:p w14:paraId="0DB83D7C" w14:textId="77777777" w:rsidR="003B15F7" w:rsidRPr="007B42A0" w:rsidRDefault="003B15F7" w:rsidP="00ED58C1">
            <w:pPr>
              <w:numPr>
                <w:ilvl w:val="0"/>
                <w:numId w:val="38"/>
              </w:numPr>
              <w:autoSpaceDE w:val="0"/>
              <w:autoSpaceDN w:val="0"/>
              <w:adjustRightInd w:val="0"/>
            </w:pPr>
            <w:r w:rsidRPr="007B42A0">
              <w:t>Move to the next delivery and evaluate for inclusion/exclusion applicability.</w:t>
            </w:r>
          </w:p>
          <w:p w14:paraId="701B8560" w14:textId="77777777" w:rsidR="003B15F7" w:rsidRPr="007B42A0" w:rsidRDefault="003B15F7" w:rsidP="00ED58C1">
            <w:pPr>
              <w:numPr>
                <w:ilvl w:val="0"/>
                <w:numId w:val="38"/>
              </w:numPr>
              <w:autoSpaceDE w:val="0"/>
              <w:autoSpaceDN w:val="0"/>
              <w:adjustRightInd w:val="0"/>
            </w:pPr>
            <w:r w:rsidRPr="007B42A0">
              <w:t xml:space="preserve">Continue through cases in sequential order until </w:t>
            </w:r>
            <w:r w:rsidRPr="007B42A0">
              <w:rPr>
                <w:b/>
                <w:u w:val="single"/>
              </w:rPr>
              <w:t>a sample of at least 100 cases</w:t>
            </w:r>
            <w:r w:rsidRPr="007B42A0">
              <w:t xml:space="preserve"> is reached, or all cases in the reporting period are reviewed, whichever comes first.</w:t>
            </w:r>
          </w:p>
          <w:p w14:paraId="6AD8B114" w14:textId="77777777" w:rsidR="003B15F7" w:rsidRPr="007B6D37" w:rsidRDefault="003B15F7" w:rsidP="003B15F7">
            <w:pPr>
              <w:autoSpaceDE w:val="0"/>
              <w:autoSpaceDN w:val="0"/>
              <w:adjustRightInd w:val="0"/>
              <w:rPr>
                <w:i/>
              </w:rPr>
            </w:pPr>
          </w:p>
        </w:tc>
        <w:tc>
          <w:tcPr>
            <w:tcW w:w="4997" w:type="dxa"/>
          </w:tcPr>
          <w:p w14:paraId="160E3A30" w14:textId="77777777" w:rsidR="003B15F7" w:rsidRPr="007C045C" w:rsidRDefault="003B15F7" w:rsidP="003B15F7">
            <w:pPr>
              <w:rPr>
                <w:rFonts w:cs="Arial"/>
                <w:b/>
              </w:rPr>
            </w:pPr>
            <w:r w:rsidRPr="007C045C">
              <w:rPr>
                <w:rFonts w:cs="Arial"/>
                <w:b/>
              </w:rPr>
              <w:lastRenderedPageBreak/>
              <w:t xml:space="preserve">Sampling Cases: </w:t>
            </w:r>
            <w:r w:rsidRPr="007C045C">
              <w:rPr>
                <w:rFonts w:cs="Arial"/>
              </w:rPr>
              <w:t xml:space="preserve">Hospitals that report the Perinatal Care Measure Set to TJC may use the sampling methodology used by the TJC to report on these questions. </w:t>
            </w:r>
          </w:p>
          <w:p w14:paraId="3ADB08E6" w14:textId="77777777" w:rsidR="003B15F7" w:rsidRDefault="003B15F7" w:rsidP="003B15F7">
            <w:pPr>
              <w:autoSpaceDE w:val="0"/>
              <w:autoSpaceDN w:val="0"/>
              <w:adjustRightInd w:val="0"/>
              <w:rPr>
                <w:rFonts w:cs="Arial"/>
                <w:b/>
                <w:i/>
              </w:rPr>
            </w:pPr>
          </w:p>
          <w:p w14:paraId="60A4725C" w14:textId="635F7215" w:rsidR="003B15F7" w:rsidRPr="00DA33AB" w:rsidRDefault="005D4B73" w:rsidP="00367BE5">
            <w:pPr>
              <w:autoSpaceDE w:val="0"/>
              <w:autoSpaceDN w:val="0"/>
              <w:adjustRightInd w:val="0"/>
              <w:rPr>
                <w:rFonts w:cs="Arial"/>
              </w:rPr>
            </w:pPr>
            <w:r w:rsidRPr="00DA33AB">
              <w:rPr>
                <w:rFonts w:cs="Arial"/>
              </w:rPr>
              <w:t>Otherwise, h</w:t>
            </w:r>
            <w:r w:rsidR="003B15F7" w:rsidRPr="00DA33AB">
              <w:rPr>
                <w:rFonts w:cs="Arial"/>
              </w:rPr>
              <w:t>ospitals opting to identify a sufficient sample of mothers for this measure, in lieu of full case reporting, should follow these instructions:</w:t>
            </w:r>
          </w:p>
          <w:p w14:paraId="1FC40EE9" w14:textId="77777777" w:rsidR="003B15F7" w:rsidRPr="007B42A0" w:rsidRDefault="003B15F7" w:rsidP="00ED58C1">
            <w:pPr>
              <w:numPr>
                <w:ilvl w:val="0"/>
                <w:numId w:val="38"/>
              </w:numPr>
              <w:autoSpaceDE w:val="0"/>
              <w:autoSpaceDN w:val="0"/>
              <w:adjustRightInd w:val="0"/>
            </w:pPr>
            <w:r w:rsidRPr="007B42A0">
              <w:t xml:space="preserve">Review your hospital’s first delivery as of </w:t>
            </w:r>
            <w:r>
              <w:rPr>
                <w:b/>
              </w:rPr>
              <w:t>October</w:t>
            </w:r>
            <w:r w:rsidRPr="00E21246">
              <w:rPr>
                <w:b/>
              </w:rPr>
              <w:t xml:space="preserve"> 15, 2015</w:t>
            </w:r>
            <w:r w:rsidRPr="007B42A0">
              <w:t>.</w:t>
            </w:r>
          </w:p>
          <w:p w14:paraId="3F7CD22B" w14:textId="77777777" w:rsidR="003B15F7" w:rsidRPr="007B42A0" w:rsidRDefault="003B15F7" w:rsidP="00ED58C1">
            <w:pPr>
              <w:numPr>
                <w:ilvl w:val="0"/>
                <w:numId w:val="38"/>
              </w:numPr>
              <w:autoSpaceDE w:val="0"/>
              <w:autoSpaceDN w:val="0"/>
              <w:adjustRightInd w:val="0"/>
            </w:pPr>
            <w:r w:rsidRPr="007B42A0">
              <w:t xml:space="preserve">Evaluate this case against the inclusion criteria; retain the case for the sample if the delivery was at or after 259 days gestation (37 completed weeks gestation) and before </w:t>
            </w:r>
            <w:r w:rsidRPr="007B42A0">
              <w:lastRenderedPageBreak/>
              <w:t xml:space="preserve">273 days gestation (39 completed weeks gestation). </w:t>
            </w:r>
          </w:p>
          <w:p w14:paraId="32978713" w14:textId="77777777" w:rsidR="003B15F7" w:rsidRPr="007B42A0" w:rsidRDefault="003B15F7" w:rsidP="00ED58C1">
            <w:pPr>
              <w:numPr>
                <w:ilvl w:val="0"/>
                <w:numId w:val="38"/>
              </w:numPr>
              <w:autoSpaceDE w:val="0"/>
              <w:autoSpaceDN w:val="0"/>
              <w:adjustRightInd w:val="0"/>
            </w:pPr>
            <w:r w:rsidRPr="007B42A0">
              <w:t xml:space="preserve">Evaluate this case against the exclusion criteria; retain the case for the sample if it </w:t>
            </w:r>
            <w:r w:rsidRPr="007B42A0">
              <w:rPr>
                <w:u w:val="single"/>
              </w:rPr>
              <w:t>does not</w:t>
            </w:r>
            <w:r w:rsidRPr="007B42A0">
              <w:t xml:space="preserve"> meet any of the listed exclusions. </w:t>
            </w:r>
          </w:p>
          <w:p w14:paraId="7A25BA5E" w14:textId="77777777" w:rsidR="003B15F7" w:rsidRPr="007B42A0" w:rsidRDefault="003B15F7" w:rsidP="00ED58C1">
            <w:pPr>
              <w:numPr>
                <w:ilvl w:val="0"/>
                <w:numId w:val="38"/>
              </w:numPr>
              <w:autoSpaceDE w:val="0"/>
              <w:autoSpaceDN w:val="0"/>
              <w:adjustRightInd w:val="0"/>
            </w:pPr>
            <w:r w:rsidRPr="007B42A0">
              <w:t>Move to the next delivery and evaluate for inclusion/exclusion applicability.</w:t>
            </w:r>
          </w:p>
          <w:p w14:paraId="146B9985" w14:textId="77777777" w:rsidR="003B15F7" w:rsidRPr="007B42A0" w:rsidRDefault="003B15F7" w:rsidP="00ED58C1">
            <w:pPr>
              <w:numPr>
                <w:ilvl w:val="0"/>
                <w:numId w:val="38"/>
              </w:numPr>
              <w:autoSpaceDE w:val="0"/>
              <w:autoSpaceDN w:val="0"/>
              <w:adjustRightInd w:val="0"/>
            </w:pPr>
            <w:r w:rsidRPr="007B42A0">
              <w:t xml:space="preserve">Continue through cases in sequential order until </w:t>
            </w:r>
            <w:r w:rsidRPr="007B42A0">
              <w:rPr>
                <w:b/>
                <w:u w:val="single"/>
              </w:rPr>
              <w:t>a sample of at least 100 cases</w:t>
            </w:r>
            <w:r w:rsidRPr="007B42A0">
              <w:t xml:space="preserve"> is reached, or all cases in the reporting period are reviewed, whichever comes first.</w:t>
            </w:r>
          </w:p>
          <w:p w14:paraId="7EED300C" w14:textId="77777777" w:rsidR="003B15F7" w:rsidRPr="00E21246" w:rsidRDefault="003B15F7" w:rsidP="003B15F7">
            <w:pPr>
              <w:autoSpaceDE w:val="0"/>
              <w:autoSpaceDN w:val="0"/>
              <w:adjustRightInd w:val="0"/>
              <w:spacing w:line="276" w:lineRule="auto"/>
              <w:rPr>
                <w:rFonts w:cs="Arial"/>
              </w:rPr>
            </w:pPr>
          </w:p>
        </w:tc>
      </w:tr>
      <w:tr w:rsidR="003B15F7" w:rsidRPr="00BC2D78" w14:paraId="071B4DC8" w14:textId="77777777" w:rsidTr="00E21246">
        <w:trPr>
          <w:jc w:val="center"/>
        </w:trPr>
        <w:tc>
          <w:tcPr>
            <w:tcW w:w="4997" w:type="dxa"/>
          </w:tcPr>
          <w:p w14:paraId="333C371A" w14:textId="77777777" w:rsidR="003B15F7" w:rsidRPr="00370A04" w:rsidRDefault="003B15F7" w:rsidP="003B15F7">
            <w:pPr>
              <w:autoSpaceDE w:val="0"/>
              <w:autoSpaceDN w:val="0"/>
              <w:adjustRightInd w:val="0"/>
              <w:rPr>
                <w:b/>
                <w:bCs/>
              </w:rPr>
            </w:pPr>
            <w:r>
              <w:rPr>
                <w:b/>
                <w:bCs/>
              </w:rPr>
              <w:lastRenderedPageBreak/>
              <w:t xml:space="preserve">Question 2 (denominator): </w:t>
            </w:r>
            <w:r w:rsidRPr="00DB50D2">
              <w:rPr>
                <w:rFonts w:cs="Arial"/>
                <w:shd w:val="clear" w:color="auto" w:fill="FFFFFF"/>
              </w:rPr>
              <w:t xml:space="preserve">Patients delivering newborns with &gt;= 37 and &lt; 39 weeks of gestation completed </w:t>
            </w:r>
            <w:r>
              <w:rPr>
                <w:rFonts w:cs="Arial"/>
                <w:shd w:val="clear" w:color="auto" w:fill="FFFFFF"/>
              </w:rPr>
              <w:t xml:space="preserve">with </w:t>
            </w:r>
            <w:r>
              <w:rPr>
                <w:rFonts w:cs="Arial"/>
                <w:b/>
                <w:i/>
                <w:shd w:val="clear" w:color="auto" w:fill="FFFFFF"/>
              </w:rPr>
              <w:t xml:space="preserve">Excluded Populations </w:t>
            </w:r>
            <w:r>
              <w:rPr>
                <w:rFonts w:cs="Arial"/>
                <w:shd w:val="clear" w:color="auto" w:fill="FFFFFF"/>
              </w:rPr>
              <w:t xml:space="preserve">removed. </w:t>
            </w:r>
          </w:p>
          <w:p w14:paraId="281AB365" w14:textId="77777777" w:rsidR="003B15F7" w:rsidRPr="00DB50D2" w:rsidRDefault="003B15F7" w:rsidP="003B15F7">
            <w:pPr>
              <w:autoSpaceDE w:val="0"/>
              <w:autoSpaceDN w:val="0"/>
              <w:adjustRightInd w:val="0"/>
            </w:pPr>
          </w:p>
          <w:p w14:paraId="2360E017" w14:textId="77777777" w:rsidR="003B15F7" w:rsidRPr="00FC0063" w:rsidRDefault="003B15F7" w:rsidP="00F56278">
            <w:pPr>
              <w:rPr>
                <w:rFonts w:ascii="Times New Roman" w:hAnsi="Times New Roman"/>
              </w:rPr>
            </w:pPr>
            <w:r w:rsidRPr="00FC0063">
              <w:rPr>
                <w:rStyle w:val="Strong"/>
                <w:rFonts w:cs="Arial"/>
                <w:bdr w:val="none" w:sz="0" w:space="0" w:color="auto" w:frame="1"/>
                <w:shd w:val="clear" w:color="auto" w:fill="FFFFFF"/>
              </w:rPr>
              <w:t>Included Populations:</w:t>
            </w:r>
          </w:p>
          <w:p w14:paraId="5681A740" w14:textId="77777777" w:rsidR="003B15F7" w:rsidRPr="00FC0063" w:rsidRDefault="003B15F7" w:rsidP="00ED58C1">
            <w:pPr>
              <w:numPr>
                <w:ilvl w:val="0"/>
                <w:numId w:val="83"/>
              </w:numPr>
              <w:ind w:left="738"/>
              <w:rPr>
                <w:rFonts w:cs="Arial"/>
              </w:rPr>
            </w:pPr>
            <w:r w:rsidRPr="00FC0063">
              <w:rPr>
                <w:rStyle w:val="Emphasis"/>
                <w:rFonts w:cs="Arial"/>
                <w:bdr w:val="none" w:sz="0" w:space="0" w:color="auto" w:frame="1"/>
              </w:rPr>
              <w:t>ICD-9-CM Principal or ICD-9-CM Other Diagnosis Codes</w:t>
            </w:r>
            <w:r w:rsidRPr="00FC0063">
              <w:rPr>
                <w:rStyle w:val="apple-converted-space"/>
                <w:rFonts w:cs="Arial"/>
              </w:rPr>
              <w:t> </w:t>
            </w:r>
            <w:r w:rsidRPr="00FC0063">
              <w:rPr>
                <w:rFonts w:cs="Arial"/>
              </w:rPr>
              <w:t xml:space="preserve">for pregnancy as defined in </w:t>
            </w:r>
            <w:r w:rsidR="0012298F" w:rsidRPr="002A1A1A">
              <w:t>Appendix A</w:t>
            </w:r>
            <w:r w:rsidRPr="00FC0063">
              <w:rPr>
                <w:rFonts w:cs="Arial"/>
              </w:rPr>
              <w:t xml:space="preserve">, Table </w:t>
            </w:r>
            <w:hyperlink r:id="rId82" w:anchor="Table_Number_11.01:_Complication_Mainly_Related_to_Pregnancy" w:history="1">
              <w:r w:rsidRPr="003245E9">
                <w:rPr>
                  <w:rStyle w:val="Hyperlink"/>
                  <w:rFonts w:cs="Arial"/>
                </w:rPr>
                <w:t>11.01</w:t>
              </w:r>
            </w:hyperlink>
            <w:r w:rsidRPr="00FC0063">
              <w:rPr>
                <w:rFonts w:cs="Arial"/>
              </w:rPr>
              <w:t xml:space="preserve">, </w:t>
            </w:r>
            <w:hyperlink r:id="rId83" w:anchor="Table_Number_11.02:_Normal_Delivery_and_Other_Indications_for_Care" w:history="1">
              <w:r w:rsidRPr="003245E9">
                <w:rPr>
                  <w:rStyle w:val="Hyperlink"/>
                  <w:rFonts w:cs="Arial"/>
                </w:rPr>
                <w:t>11.02</w:t>
              </w:r>
            </w:hyperlink>
            <w:r w:rsidRPr="00FC0063">
              <w:rPr>
                <w:rFonts w:cs="Arial"/>
              </w:rPr>
              <w:t xml:space="preserve">, </w:t>
            </w:r>
            <w:hyperlink r:id="rId84" w:anchor="Table_Number_11.03:_Complication_Mainly_in_the_Course_of_Labor_and_Delivery" w:history="1">
              <w:r w:rsidRPr="003245E9">
                <w:rPr>
                  <w:rStyle w:val="Hyperlink"/>
                  <w:rFonts w:cs="Arial"/>
                </w:rPr>
                <w:t>11.03</w:t>
              </w:r>
            </w:hyperlink>
            <w:r w:rsidRPr="00FC0063">
              <w:rPr>
                <w:rFonts w:cs="Arial"/>
              </w:rPr>
              <w:t xml:space="preserve"> or </w:t>
            </w:r>
            <w:hyperlink r:id="rId85" w:anchor="Table_Number_11.04:_Complication_of_the_Puerperium" w:history="1">
              <w:r w:rsidRPr="003245E9">
                <w:rPr>
                  <w:rStyle w:val="Hyperlink"/>
                  <w:rFonts w:cs="Arial"/>
                </w:rPr>
                <w:t>11.04</w:t>
              </w:r>
            </w:hyperlink>
          </w:p>
          <w:p w14:paraId="46FA145F" w14:textId="77777777" w:rsidR="003B15F7" w:rsidRPr="00FC0063" w:rsidRDefault="003B15F7" w:rsidP="00ED58C1">
            <w:pPr>
              <w:numPr>
                <w:ilvl w:val="0"/>
                <w:numId w:val="83"/>
              </w:numPr>
              <w:ind w:left="738"/>
              <w:rPr>
                <w:rFonts w:cs="Arial"/>
              </w:rPr>
            </w:pPr>
            <w:r w:rsidRPr="00FC0063">
              <w:rPr>
                <w:rStyle w:val="Emphasis"/>
                <w:rFonts w:cs="Arial"/>
                <w:bdr w:val="none" w:sz="0" w:space="0" w:color="auto" w:frame="1"/>
              </w:rPr>
              <w:t>ICD-9-CM Principal Diagnosis Code or ICD-9-CM Other Diagnosis Codes</w:t>
            </w:r>
            <w:r w:rsidRPr="00FC0063">
              <w:rPr>
                <w:rStyle w:val="apple-converted-space"/>
                <w:rFonts w:cs="Arial"/>
              </w:rPr>
              <w:t> </w:t>
            </w:r>
            <w:r w:rsidRPr="00FC0063">
              <w:rPr>
                <w:rFonts w:cs="Arial"/>
              </w:rPr>
              <w:t xml:space="preserve">for planned cesarean section in labor as defined in </w:t>
            </w:r>
            <w:r w:rsidR="0012298F" w:rsidRPr="0012298F">
              <w:rPr>
                <w:rFonts w:cs="Arial"/>
              </w:rPr>
              <w:t>Appendix A</w:t>
            </w:r>
            <w:r w:rsidRPr="00FC0063">
              <w:rPr>
                <w:rFonts w:cs="Arial"/>
              </w:rPr>
              <w:t xml:space="preserve">, Table </w:t>
            </w:r>
            <w:hyperlink r:id="rId86" w:anchor="Table_Number_11.06.1:_Planned_Cesarean_Section_in_Labor" w:history="1">
              <w:r w:rsidRPr="007E575A">
                <w:rPr>
                  <w:rStyle w:val="Hyperlink"/>
                  <w:rFonts w:cs="Arial"/>
                </w:rPr>
                <w:t>11.06.1</w:t>
              </w:r>
            </w:hyperlink>
          </w:p>
          <w:p w14:paraId="02EC5D5A" w14:textId="77777777" w:rsidR="003B15F7" w:rsidRPr="00FC0063" w:rsidRDefault="003B15F7" w:rsidP="00F56278">
            <w:pPr>
              <w:rPr>
                <w:rStyle w:val="Strong"/>
                <w:rFonts w:cs="Arial"/>
                <w:bdr w:val="none" w:sz="0" w:space="0" w:color="auto" w:frame="1"/>
                <w:shd w:val="clear" w:color="auto" w:fill="FFFFFF"/>
              </w:rPr>
            </w:pPr>
          </w:p>
          <w:p w14:paraId="40C5FB32" w14:textId="77777777" w:rsidR="003B15F7" w:rsidRPr="00FC0063" w:rsidRDefault="003B15F7" w:rsidP="00F56278">
            <w:pPr>
              <w:rPr>
                <w:rFonts w:ascii="Times New Roman" w:hAnsi="Times New Roman"/>
              </w:rPr>
            </w:pPr>
            <w:r w:rsidRPr="00FC0063">
              <w:rPr>
                <w:rStyle w:val="Strong"/>
                <w:rFonts w:cs="Arial"/>
                <w:bdr w:val="none" w:sz="0" w:space="0" w:color="auto" w:frame="1"/>
                <w:shd w:val="clear" w:color="auto" w:fill="FFFFFF"/>
              </w:rPr>
              <w:t>Excluded Populations:</w:t>
            </w:r>
          </w:p>
          <w:p w14:paraId="06427B2C" w14:textId="77777777" w:rsidR="003B15F7" w:rsidRPr="00FC0063" w:rsidRDefault="003B15F7" w:rsidP="00ED58C1">
            <w:pPr>
              <w:numPr>
                <w:ilvl w:val="0"/>
                <w:numId w:val="84"/>
              </w:numPr>
              <w:ind w:left="734"/>
              <w:rPr>
                <w:rFonts w:cs="Arial"/>
              </w:rPr>
            </w:pPr>
            <w:r w:rsidRPr="00FC0063">
              <w:rPr>
                <w:rStyle w:val="Emphasis"/>
                <w:rFonts w:cs="Arial"/>
                <w:bdr w:val="none" w:sz="0" w:space="0" w:color="auto" w:frame="1"/>
              </w:rPr>
              <w:t>ICD-9-CM Principal Diagnosis Code or ICD-9-CM Other Diagnosis Codes</w:t>
            </w:r>
            <w:r w:rsidRPr="00FC0063">
              <w:rPr>
                <w:rStyle w:val="apple-converted-space"/>
                <w:rFonts w:cs="Arial"/>
              </w:rPr>
              <w:t> </w:t>
            </w:r>
            <w:r w:rsidRPr="00FC0063">
              <w:rPr>
                <w:rFonts w:cs="Arial"/>
              </w:rPr>
              <w:t xml:space="preserve">for conditions possibly justifying elective delivery prior to 39 weeks gestation as defined in </w:t>
            </w:r>
            <w:r w:rsidR="0012298F" w:rsidRPr="00367BE5">
              <w:t>Appendix A</w:t>
            </w:r>
            <w:r w:rsidR="00F56278" w:rsidRPr="00367BE5">
              <w:t xml:space="preserve">, </w:t>
            </w:r>
            <w:r w:rsidR="00F56278">
              <w:rPr>
                <w:rFonts w:cs="Arial"/>
              </w:rPr>
              <w:t xml:space="preserve">Table </w:t>
            </w:r>
            <w:hyperlink r:id="rId87" w:anchor="Table_Number_11.07:_Conditions_Possibly_Justifying_Elective_Delivery_Prior_to_39_Weeks_Gestation" w:history="1">
              <w:r w:rsidR="00F56278">
                <w:rPr>
                  <w:rStyle w:val="Hyperlink"/>
                  <w:rFonts w:cs="Arial"/>
                </w:rPr>
                <w:t>11.07</w:t>
              </w:r>
            </w:hyperlink>
          </w:p>
          <w:p w14:paraId="3F7BEE79" w14:textId="77777777" w:rsidR="003B15F7" w:rsidRPr="00FC0063" w:rsidRDefault="003B15F7" w:rsidP="00ED58C1">
            <w:pPr>
              <w:numPr>
                <w:ilvl w:val="0"/>
                <w:numId w:val="84"/>
              </w:numPr>
              <w:ind w:left="738"/>
              <w:rPr>
                <w:rFonts w:cs="Arial"/>
              </w:rPr>
            </w:pPr>
            <w:r w:rsidRPr="00FC0063">
              <w:rPr>
                <w:rFonts w:cs="Arial"/>
              </w:rPr>
              <w:t>Less than 8 years of age</w:t>
            </w:r>
          </w:p>
          <w:p w14:paraId="1078673C" w14:textId="77777777" w:rsidR="003B15F7" w:rsidRPr="00FC0063" w:rsidRDefault="003B15F7" w:rsidP="00ED58C1">
            <w:pPr>
              <w:numPr>
                <w:ilvl w:val="0"/>
                <w:numId w:val="84"/>
              </w:numPr>
              <w:ind w:left="734"/>
              <w:rPr>
                <w:rFonts w:cs="Arial"/>
              </w:rPr>
            </w:pPr>
            <w:r w:rsidRPr="00FC0063">
              <w:rPr>
                <w:rFonts w:cs="Arial"/>
              </w:rPr>
              <w:t>Greater than or equal to 65 years of age</w:t>
            </w:r>
          </w:p>
          <w:p w14:paraId="761D2303" w14:textId="77777777" w:rsidR="003B15F7" w:rsidRPr="00FC0063" w:rsidRDefault="003B15F7" w:rsidP="00ED58C1">
            <w:pPr>
              <w:numPr>
                <w:ilvl w:val="0"/>
                <w:numId w:val="84"/>
              </w:numPr>
              <w:ind w:left="738"/>
              <w:rPr>
                <w:rFonts w:cs="Arial"/>
              </w:rPr>
            </w:pPr>
            <w:r w:rsidRPr="00FC0063">
              <w:rPr>
                <w:rFonts w:cs="Arial"/>
              </w:rPr>
              <w:t>Length of stay &gt; 120 days</w:t>
            </w:r>
          </w:p>
          <w:p w14:paraId="56D52F76" w14:textId="77777777" w:rsidR="003B15F7" w:rsidRPr="00FC0063" w:rsidRDefault="003B15F7" w:rsidP="00ED58C1">
            <w:pPr>
              <w:numPr>
                <w:ilvl w:val="0"/>
                <w:numId w:val="84"/>
              </w:numPr>
              <w:ind w:left="738"/>
              <w:rPr>
                <w:rFonts w:cs="Arial"/>
              </w:rPr>
            </w:pPr>
            <w:r w:rsidRPr="00FC0063">
              <w:rPr>
                <w:rFonts w:cs="Arial"/>
              </w:rPr>
              <w:t>Enrolled in clinical trials</w:t>
            </w:r>
          </w:p>
          <w:p w14:paraId="4B8AA7FE" w14:textId="77777777" w:rsidR="003B15F7" w:rsidRPr="00FC0063" w:rsidRDefault="00E9134C" w:rsidP="00ED58C1">
            <w:pPr>
              <w:numPr>
                <w:ilvl w:val="0"/>
                <w:numId w:val="84"/>
              </w:numPr>
              <w:ind w:left="738"/>
              <w:rPr>
                <w:rFonts w:cs="Arial"/>
              </w:rPr>
            </w:pPr>
            <w:hyperlink r:id="rId88" w:history="1">
              <w:r w:rsidR="003B15F7" w:rsidRPr="00367BE5">
                <w:rPr>
                  <w:rStyle w:val="Hyperlink"/>
                  <w:rFonts w:cs="Arial"/>
                  <w:i/>
                  <w:bdr w:val="none" w:sz="0" w:space="0" w:color="auto" w:frame="1"/>
                </w:rPr>
                <w:t>Gestational Age</w:t>
              </w:r>
              <w:r w:rsidR="003B15F7" w:rsidRPr="007E575A">
                <w:rPr>
                  <w:rStyle w:val="Hyperlink"/>
                  <w:rFonts w:cs="Arial"/>
                </w:rPr>
                <w:t> </w:t>
              </w:r>
            </w:hyperlink>
            <w:r w:rsidR="003B15F7" w:rsidRPr="00FC0063">
              <w:rPr>
                <w:rFonts w:cs="Arial"/>
              </w:rPr>
              <w:t>&lt; 37 or &gt;= 39 weeks or UTD</w:t>
            </w:r>
          </w:p>
          <w:p w14:paraId="215BAB38" w14:textId="77777777" w:rsidR="003B15F7" w:rsidRPr="00FC0063" w:rsidRDefault="003B15F7" w:rsidP="003B15F7">
            <w:pPr>
              <w:rPr>
                <w:rStyle w:val="Strong"/>
                <w:rFonts w:cs="Arial"/>
                <w:bdr w:val="none" w:sz="0" w:space="0" w:color="auto" w:frame="1"/>
                <w:shd w:val="clear" w:color="auto" w:fill="FFFFFF"/>
              </w:rPr>
            </w:pPr>
          </w:p>
          <w:p w14:paraId="54C4450E" w14:textId="77777777" w:rsidR="003B15F7" w:rsidRDefault="003B15F7" w:rsidP="003B15F7">
            <w:pPr>
              <w:rPr>
                <w:rFonts w:ascii="Times New Roman" w:hAnsi="Times New Roman"/>
              </w:rPr>
            </w:pPr>
            <w:r w:rsidRPr="00FC0063">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sidRPr="00DA74F8">
              <w:rPr>
                <w:rStyle w:val="Strong"/>
                <w:rFonts w:cs="Arial"/>
                <w:b w:val="0"/>
                <w:bdr w:val="none" w:sz="0" w:space="0" w:color="auto" w:frame="1"/>
                <w:shd w:val="clear" w:color="auto" w:fill="FFFFFF"/>
              </w:rPr>
              <w:t xml:space="preserve">Visit </w:t>
            </w:r>
            <w:hyperlink r:id="rId89" w:history="1">
              <w:r w:rsidRPr="00E85B55">
                <w:rPr>
                  <w:rStyle w:val="Hyperlink"/>
                  <w:rFonts w:cs="Arial"/>
                  <w:bdr w:val="none" w:sz="0" w:space="0" w:color="auto" w:frame="1"/>
                  <w:shd w:val="clear" w:color="auto" w:fill="FFFFFF"/>
                </w:rPr>
                <w:t>https://manual.jointcommission.org/releases/TJC2015A1/MIF0166.html</w:t>
              </w:r>
            </w:hyperlink>
            <w:r>
              <w:rPr>
                <w:rStyle w:val="Strong"/>
                <w:rFonts w:cs="Arial"/>
                <w:bdr w:val="none" w:sz="0" w:space="0" w:color="auto" w:frame="1"/>
                <w:shd w:val="clear" w:color="auto" w:fill="FFFFFF"/>
              </w:rPr>
              <w:t xml:space="preserve">. </w:t>
            </w:r>
          </w:p>
          <w:p w14:paraId="089A0F65" w14:textId="77777777" w:rsidR="003B15F7" w:rsidRPr="00DA74F8" w:rsidRDefault="003B15F7" w:rsidP="003B15F7">
            <w:pPr>
              <w:rPr>
                <w:rFonts w:ascii="Times New Roman" w:hAnsi="Times New Roman"/>
              </w:rPr>
            </w:pPr>
          </w:p>
          <w:p w14:paraId="194D38FC" w14:textId="77777777" w:rsidR="003B15F7" w:rsidRPr="00FC0063" w:rsidRDefault="003B15F7" w:rsidP="003B15F7">
            <w:pPr>
              <w:autoSpaceDE w:val="0"/>
              <w:autoSpaceDN w:val="0"/>
              <w:adjustRightInd w:val="0"/>
              <w:rPr>
                <w:b/>
                <w:i/>
              </w:rPr>
            </w:pPr>
            <w:r w:rsidRPr="00B358CB">
              <w:rPr>
                <w:b/>
                <w:i/>
              </w:rPr>
              <w:t xml:space="preserve">If fewer than </w:t>
            </w:r>
            <w:r w:rsidRPr="00B358CB">
              <w:rPr>
                <w:rFonts w:hint="eastAsia"/>
                <w:b/>
                <w:i/>
                <w:lang w:eastAsia="ja-JP"/>
              </w:rPr>
              <w:t>1</w:t>
            </w:r>
            <w:r w:rsidRPr="00B358CB">
              <w:rPr>
                <w:b/>
                <w:i/>
                <w:lang w:eastAsia="ja-JP"/>
              </w:rPr>
              <w:t>0</w:t>
            </w:r>
            <w:r w:rsidRPr="00B358CB">
              <w:rPr>
                <w:b/>
                <w:i/>
              </w:rPr>
              <w:t xml:space="preserve"> cases during the reporting period, skip the next question.</w:t>
            </w:r>
          </w:p>
        </w:tc>
        <w:tc>
          <w:tcPr>
            <w:tcW w:w="4997" w:type="dxa"/>
          </w:tcPr>
          <w:p w14:paraId="428FE43A" w14:textId="77777777" w:rsidR="003B15F7" w:rsidRPr="007C045C" w:rsidRDefault="003B15F7" w:rsidP="003B15F7">
            <w:pPr>
              <w:autoSpaceDE w:val="0"/>
              <w:autoSpaceDN w:val="0"/>
              <w:adjustRightInd w:val="0"/>
              <w:rPr>
                <w:rFonts w:cs="Arial"/>
                <w:b/>
                <w:bCs/>
              </w:rPr>
            </w:pPr>
            <w:r w:rsidRPr="007C045C">
              <w:rPr>
                <w:rFonts w:cs="Arial"/>
                <w:b/>
                <w:bCs/>
              </w:rPr>
              <w:t xml:space="preserve">Question 2 (denominator): </w:t>
            </w:r>
            <w:r w:rsidRPr="007C045C">
              <w:rPr>
                <w:rFonts w:cs="Arial"/>
                <w:shd w:val="clear" w:color="auto" w:fill="FFFFFF"/>
              </w:rPr>
              <w:t xml:space="preserve">Patients delivering newborns with &gt;= 37 and &lt; 39 weeks of gestation completed with </w:t>
            </w:r>
            <w:r w:rsidRPr="007C045C">
              <w:rPr>
                <w:rFonts w:cs="Arial"/>
                <w:b/>
                <w:i/>
                <w:shd w:val="clear" w:color="auto" w:fill="FFFFFF"/>
              </w:rPr>
              <w:t xml:space="preserve">Excluded Populations </w:t>
            </w:r>
            <w:r w:rsidRPr="007C045C">
              <w:rPr>
                <w:rFonts w:cs="Arial"/>
                <w:shd w:val="clear" w:color="auto" w:fill="FFFFFF"/>
              </w:rPr>
              <w:t xml:space="preserve">removed. </w:t>
            </w:r>
          </w:p>
          <w:p w14:paraId="25336641" w14:textId="77777777" w:rsidR="003B15F7" w:rsidRDefault="003B15F7" w:rsidP="00367BE5">
            <w:pPr>
              <w:shd w:val="clear" w:color="auto" w:fill="FFFFFF"/>
              <w:rPr>
                <w:rFonts w:cs="Arial"/>
                <w:b/>
              </w:rPr>
            </w:pPr>
          </w:p>
          <w:p w14:paraId="3FE695A5" w14:textId="77777777" w:rsidR="003B15F7" w:rsidRPr="007C045C" w:rsidRDefault="003B15F7" w:rsidP="00367BE5">
            <w:pPr>
              <w:shd w:val="clear" w:color="auto" w:fill="FFFFFF"/>
              <w:rPr>
                <w:rFonts w:cs="Arial"/>
              </w:rPr>
            </w:pPr>
            <w:r w:rsidRPr="007C045C">
              <w:rPr>
                <w:rFonts w:cs="Arial"/>
                <w:b/>
              </w:rPr>
              <w:t>Included Populations</w:t>
            </w:r>
            <w:r w:rsidRPr="007C045C">
              <w:rPr>
                <w:rFonts w:cs="Arial"/>
              </w:rPr>
              <w:t xml:space="preserve">: </w:t>
            </w:r>
          </w:p>
          <w:p w14:paraId="0C07A01B" w14:textId="77777777" w:rsidR="003B15F7" w:rsidRPr="00103393" w:rsidRDefault="003B15F7" w:rsidP="00ED58C1">
            <w:pPr>
              <w:pStyle w:val="ListParagraph"/>
              <w:numPr>
                <w:ilvl w:val="0"/>
                <w:numId w:val="92"/>
              </w:numPr>
              <w:shd w:val="clear" w:color="auto" w:fill="FFFFFF"/>
              <w:rPr>
                <w:rFonts w:cs="Arial"/>
                <w:snapToGrid w:val="0"/>
                <w:color w:val="0000FF"/>
              </w:rPr>
            </w:pPr>
            <w:r w:rsidRPr="00103393">
              <w:rPr>
                <w:rFonts w:cs="Arial"/>
                <w:i/>
              </w:rPr>
              <w:t xml:space="preserve">ICD-10-PCS Principal Procedure Code or ICD-10-PCS Other Procedure Codes </w:t>
            </w:r>
            <w:r w:rsidRPr="00103393">
              <w:rPr>
                <w:rFonts w:cs="Arial"/>
              </w:rPr>
              <w:t xml:space="preserve">for delivery as defined in </w:t>
            </w:r>
            <w:r w:rsidR="0012298F" w:rsidRPr="0012298F">
              <w:rPr>
                <w:rFonts w:cs="Arial"/>
              </w:rPr>
              <w:t>Appendix A</w:t>
            </w:r>
            <w:r w:rsidRPr="00103393">
              <w:rPr>
                <w:rFonts w:cs="Arial"/>
              </w:rPr>
              <w:t xml:space="preserve">, Table </w:t>
            </w:r>
            <w:hyperlink r:id="rId90" w:anchor="Table_Number_11.01.1:_Delivery" w:history="1">
              <w:r w:rsidRPr="00103393">
                <w:rPr>
                  <w:rStyle w:val="Hyperlink"/>
                  <w:rFonts w:cs="Arial"/>
                </w:rPr>
                <w:t>11.01.1</w:t>
              </w:r>
            </w:hyperlink>
            <w:r w:rsidRPr="00103393">
              <w:rPr>
                <w:rFonts w:cs="Arial"/>
              </w:rPr>
              <w:t>.</w:t>
            </w:r>
          </w:p>
          <w:p w14:paraId="1B95D206" w14:textId="77777777" w:rsidR="003B15F7" w:rsidRPr="00103393" w:rsidRDefault="003B15F7" w:rsidP="00ED58C1">
            <w:pPr>
              <w:pStyle w:val="ListParagraph"/>
              <w:numPr>
                <w:ilvl w:val="0"/>
                <w:numId w:val="92"/>
              </w:numPr>
              <w:shd w:val="clear" w:color="auto" w:fill="FFFFFF"/>
              <w:rPr>
                <w:rFonts w:cs="Arial"/>
                <w:snapToGrid w:val="0"/>
                <w:color w:val="0000FF"/>
              </w:rPr>
            </w:pPr>
            <w:r w:rsidRPr="00103393">
              <w:rPr>
                <w:rFonts w:cs="Arial"/>
                <w:i/>
                <w:iCs/>
              </w:rPr>
              <w:t>ICD-10-CM Principal Diagnosis Code or ICD-10-CM Other Diagnosis Codes</w:t>
            </w:r>
            <w:r w:rsidRPr="00103393">
              <w:rPr>
                <w:rFonts w:cs="Arial"/>
              </w:rPr>
              <w:t xml:space="preserve"> for planned cesarean birth in labor as defined in </w:t>
            </w:r>
            <w:r w:rsidR="0012298F" w:rsidRPr="0012298F">
              <w:rPr>
                <w:rFonts w:cs="Arial"/>
              </w:rPr>
              <w:t>Appendix A</w:t>
            </w:r>
            <w:r w:rsidRPr="00103393">
              <w:rPr>
                <w:rFonts w:cs="Arial"/>
              </w:rPr>
              <w:t xml:space="preserve">, Table </w:t>
            </w:r>
            <w:hyperlink r:id="rId91" w:anchor="Table_Number_11.06.1:_Planned_Cesarean_Birth_in_Labor" w:history="1">
              <w:r w:rsidRPr="00103393">
                <w:rPr>
                  <w:rStyle w:val="Hyperlink"/>
                  <w:rFonts w:cs="Arial"/>
                </w:rPr>
                <w:t>11.06.1</w:t>
              </w:r>
            </w:hyperlink>
            <w:r w:rsidRPr="00103393">
              <w:rPr>
                <w:rFonts w:cs="Arial"/>
              </w:rPr>
              <w:t xml:space="preserve">. </w:t>
            </w:r>
          </w:p>
          <w:p w14:paraId="5DA6FC15" w14:textId="77777777" w:rsidR="003B15F7" w:rsidRDefault="003B15F7" w:rsidP="00F56278">
            <w:pPr>
              <w:autoSpaceDE w:val="0"/>
              <w:autoSpaceDN w:val="0"/>
              <w:adjustRightInd w:val="0"/>
              <w:rPr>
                <w:rFonts w:cs="Arial"/>
                <w:b/>
                <w:bCs/>
              </w:rPr>
            </w:pPr>
          </w:p>
          <w:p w14:paraId="6A218B8A" w14:textId="77777777" w:rsidR="003B15F7" w:rsidRPr="007C045C" w:rsidRDefault="003B15F7" w:rsidP="00F56278">
            <w:pPr>
              <w:autoSpaceDE w:val="0"/>
              <w:autoSpaceDN w:val="0"/>
              <w:adjustRightInd w:val="0"/>
              <w:rPr>
                <w:rFonts w:cs="Arial"/>
                <w:b/>
                <w:bCs/>
              </w:rPr>
            </w:pPr>
            <w:r w:rsidRPr="007C045C">
              <w:rPr>
                <w:rFonts w:cs="Arial"/>
                <w:b/>
                <w:bCs/>
              </w:rPr>
              <w:t xml:space="preserve">Excluded Populations: </w:t>
            </w:r>
          </w:p>
          <w:p w14:paraId="23F32C23" w14:textId="77777777" w:rsidR="00F56278" w:rsidRDefault="00F56278" w:rsidP="00ED58C1">
            <w:pPr>
              <w:pStyle w:val="ListParagraph"/>
              <w:numPr>
                <w:ilvl w:val="0"/>
                <w:numId w:val="93"/>
              </w:numPr>
              <w:rPr>
                <w:rFonts w:cs="Arial"/>
              </w:rPr>
            </w:pPr>
            <w:r>
              <w:rPr>
                <w:rFonts w:cs="Arial"/>
                <w:i/>
              </w:rPr>
              <w:t>ICD-10-CM Principal Diagnosis Code or ICD-10-CM Other Diagnosis Codes</w:t>
            </w:r>
            <w:r>
              <w:rPr>
                <w:rFonts w:cs="Arial"/>
              </w:rPr>
              <w:t xml:space="preserve"> for conditions possibly justifying elective delivery prior to 39 weeks gestation as defined in </w:t>
            </w:r>
            <w:r w:rsidR="0012298F" w:rsidRPr="0012298F">
              <w:rPr>
                <w:rFonts w:cs="Arial"/>
              </w:rPr>
              <w:t>Appendix A</w:t>
            </w:r>
            <w:r>
              <w:rPr>
                <w:rFonts w:cs="Arial"/>
              </w:rPr>
              <w:t xml:space="preserve">, Table </w:t>
            </w:r>
            <w:hyperlink r:id="rId92" w:anchor="Table_Number_11.07:_Conditions_Possibly_Justifying_Elective_Delivery_Prior_to_39_Weeks_Gestation" w:history="1">
              <w:r w:rsidRPr="00F56278">
                <w:rPr>
                  <w:rStyle w:val="Hyperlink"/>
                  <w:rFonts w:cs="Arial"/>
                </w:rPr>
                <w:t>11.07</w:t>
              </w:r>
            </w:hyperlink>
          </w:p>
          <w:p w14:paraId="42F10FFC" w14:textId="77777777" w:rsidR="00F56278" w:rsidRDefault="003B15F7" w:rsidP="00ED58C1">
            <w:pPr>
              <w:pStyle w:val="ListParagraph"/>
              <w:numPr>
                <w:ilvl w:val="0"/>
                <w:numId w:val="93"/>
              </w:numPr>
              <w:rPr>
                <w:rFonts w:cs="Arial"/>
              </w:rPr>
            </w:pPr>
            <w:r w:rsidRPr="007817E4">
              <w:rPr>
                <w:rFonts w:cs="Arial"/>
              </w:rPr>
              <w:t>Less than 8 years of age</w:t>
            </w:r>
          </w:p>
          <w:p w14:paraId="34FF0526" w14:textId="77777777" w:rsidR="003B15F7" w:rsidRPr="007817E4" w:rsidRDefault="00F56278" w:rsidP="00ED58C1">
            <w:pPr>
              <w:pStyle w:val="ListParagraph"/>
              <w:numPr>
                <w:ilvl w:val="0"/>
                <w:numId w:val="93"/>
              </w:numPr>
              <w:rPr>
                <w:rFonts w:cs="Arial"/>
              </w:rPr>
            </w:pPr>
            <w:r>
              <w:rPr>
                <w:rFonts w:cs="Arial"/>
              </w:rPr>
              <w:t>G</w:t>
            </w:r>
            <w:r w:rsidR="003B15F7" w:rsidRPr="007817E4">
              <w:rPr>
                <w:rFonts w:cs="Arial"/>
              </w:rPr>
              <w:t xml:space="preserve">reater than or equal to 65 years of age </w:t>
            </w:r>
          </w:p>
          <w:p w14:paraId="36754B09" w14:textId="77777777" w:rsidR="003B15F7" w:rsidRPr="007817E4" w:rsidRDefault="003B15F7" w:rsidP="00ED58C1">
            <w:pPr>
              <w:pStyle w:val="ListParagraph"/>
              <w:numPr>
                <w:ilvl w:val="0"/>
                <w:numId w:val="93"/>
              </w:numPr>
              <w:rPr>
                <w:rFonts w:cs="Arial"/>
              </w:rPr>
            </w:pPr>
            <w:r w:rsidRPr="007817E4">
              <w:rPr>
                <w:rFonts w:cs="Arial"/>
              </w:rPr>
              <w:t xml:space="preserve">Length of stay &gt; 120 days </w:t>
            </w:r>
          </w:p>
          <w:p w14:paraId="4CCC7601" w14:textId="77777777" w:rsidR="003B15F7" w:rsidRPr="007817E4" w:rsidRDefault="003B15F7" w:rsidP="00ED58C1">
            <w:pPr>
              <w:pStyle w:val="ListParagraph"/>
              <w:numPr>
                <w:ilvl w:val="0"/>
                <w:numId w:val="93"/>
              </w:numPr>
              <w:rPr>
                <w:rFonts w:cs="Arial"/>
              </w:rPr>
            </w:pPr>
            <w:r w:rsidRPr="007817E4">
              <w:rPr>
                <w:rFonts w:cs="Arial"/>
              </w:rPr>
              <w:t>Enrolled in clinical trials</w:t>
            </w:r>
          </w:p>
          <w:p w14:paraId="5AD7E71E" w14:textId="77777777" w:rsidR="003B15F7" w:rsidRPr="007817E4" w:rsidRDefault="00E9134C" w:rsidP="00ED58C1">
            <w:pPr>
              <w:pStyle w:val="ListParagraph"/>
              <w:numPr>
                <w:ilvl w:val="0"/>
                <w:numId w:val="93"/>
              </w:numPr>
              <w:rPr>
                <w:rFonts w:cs="Arial"/>
              </w:rPr>
            </w:pPr>
            <w:hyperlink r:id="rId93" w:history="1">
              <w:r w:rsidR="003B15F7" w:rsidRPr="007817E4">
                <w:rPr>
                  <w:rStyle w:val="Hyperlink"/>
                  <w:rFonts w:cs="Arial"/>
                  <w:i/>
                </w:rPr>
                <w:t>Gestational Age</w:t>
              </w:r>
            </w:hyperlink>
            <w:r w:rsidR="003B15F7" w:rsidRPr="007817E4">
              <w:rPr>
                <w:rFonts w:cs="Arial"/>
              </w:rPr>
              <w:t xml:space="preserve"> &lt; 37 or &gt;= 39 weeks or UTD</w:t>
            </w:r>
          </w:p>
          <w:p w14:paraId="27CA532D" w14:textId="77777777" w:rsidR="003B15F7" w:rsidRDefault="003B15F7" w:rsidP="003B15F7">
            <w:pPr>
              <w:autoSpaceDE w:val="0"/>
              <w:autoSpaceDN w:val="0"/>
              <w:adjustRightInd w:val="0"/>
              <w:rPr>
                <w:rFonts w:cs="Arial"/>
                <w:b/>
                <w:bCs/>
              </w:rPr>
            </w:pPr>
          </w:p>
          <w:p w14:paraId="17E5A0B2" w14:textId="77777777" w:rsidR="003B15F7" w:rsidRPr="007C7021" w:rsidRDefault="003B15F7" w:rsidP="003B15F7">
            <w:pPr>
              <w:autoSpaceDE w:val="0"/>
              <w:autoSpaceDN w:val="0"/>
              <w:adjustRightInd w:val="0"/>
              <w:rPr>
                <w:rFonts w:cs="Arial"/>
                <w:bCs/>
              </w:rPr>
            </w:pPr>
            <w:r w:rsidRPr="007C045C">
              <w:rPr>
                <w:rFonts w:cs="Arial"/>
                <w:b/>
                <w:bCs/>
              </w:rPr>
              <w:t>Data Elements:</w:t>
            </w:r>
            <w:r>
              <w:rPr>
                <w:rFonts w:cs="Arial"/>
                <w:b/>
                <w:bCs/>
              </w:rPr>
              <w:t xml:space="preserve"> </w:t>
            </w:r>
            <w:r>
              <w:rPr>
                <w:rFonts w:cs="Arial"/>
                <w:bCs/>
              </w:rPr>
              <w:t>Visit</w:t>
            </w:r>
            <w:r w:rsidR="00F56278">
              <w:rPr>
                <w:rFonts w:cs="Arial"/>
                <w:bCs/>
              </w:rPr>
              <w:t xml:space="preserve"> </w:t>
            </w:r>
            <w:hyperlink r:id="rId94" w:history="1">
              <w:r w:rsidR="00F56278" w:rsidRPr="00300CF7">
                <w:rPr>
                  <w:rStyle w:val="Hyperlink"/>
                  <w:rFonts w:cs="Arial"/>
                  <w:bCs/>
                </w:rPr>
                <w:t>https://manual.jointcommission.org/releases/TJC2015B2/MIF0166.html</w:t>
              </w:r>
            </w:hyperlink>
            <w:r>
              <w:rPr>
                <w:rFonts w:cs="Arial"/>
                <w:bCs/>
              </w:rPr>
              <w:t xml:space="preserve">. </w:t>
            </w:r>
          </w:p>
          <w:p w14:paraId="5F527ABE" w14:textId="77777777" w:rsidR="003B15F7" w:rsidRDefault="003B15F7" w:rsidP="003B15F7">
            <w:pPr>
              <w:autoSpaceDE w:val="0"/>
              <w:autoSpaceDN w:val="0"/>
              <w:adjustRightInd w:val="0"/>
              <w:rPr>
                <w:rFonts w:cs="Arial"/>
                <w:b/>
                <w:i/>
              </w:rPr>
            </w:pPr>
          </w:p>
          <w:p w14:paraId="7A3BC00F" w14:textId="77777777" w:rsidR="002A1A1A" w:rsidRDefault="003B15F7" w:rsidP="003B15F7">
            <w:pPr>
              <w:autoSpaceDE w:val="0"/>
              <w:autoSpaceDN w:val="0"/>
              <w:adjustRightInd w:val="0"/>
              <w:rPr>
                <w:rFonts w:cs="Arial"/>
                <w:b/>
                <w:i/>
              </w:rPr>
            </w:pPr>
            <w:r w:rsidRPr="007C045C">
              <w:rPr>
                <w:rFonts w:cs="Arial"/>
                <w:b/>
                <w:i/>
              </w:rPr>
              <w:t xml:space="preserve">If fewer than </w:t>
            </w:r>
            <w:r w:rsidRPr="007C045C">
              <w:rPr>
                <w:rFonts w:cs="Arial"/>
                <w:b/>
                <w:i/>
                <w:lang w:eastAsia="ja-JP"/>
              </w:rPr>
              <w:t>10</w:t>
            </w:r>
            <w:r w:rsidRPr="007C045C">
              <w:rPr>
                <w:rFonts w:cs="Arial"/>
                <w:b/>
                <w:i/>
              </w:rPr>
              <w:t xml:space="preserve"> cases during the reporting period, skip the next question.</w:t>
            </w:r>
          </w:p>
          <w:p w14:paraId="6143F503" w14:textId="77777777" w:rsidR="002A1A1A" w:rsidRPr="002A1A1A" w:rsidRDefault="002A1A1A" w:rsidP="003B15F7">
            <w:pPr>
              <w:autoSpaceDE w:val="0"/>
              <w:autoSpaceDN w:val="0"/>
              <w:adjustRightInd w:val="0"/>
              <w:rPr>
                <w:rFonts w:cs="Arial"/>
                <w:b/>
                <w:i/>
              </w:rPr>
            </w:pPr>
          </w:p>
        </w:tc>
      </w:tr>
      <w:tr w:rsidR="003B15F7" w:rsidRPr="00BC2D78" w14:paraId="208A7C26" w14:textId="77777777" w:rsidTr="00E21246">
        <w:trPr>
          <w:trHeight w:val="3050"/>
          <w:jc w:val="center"/>
        </w:trPr>
        <w:tc>
          <w:tcPr>
            <w:tcW w:w="4997" w:type="dxa"/>
          </w:tcPr>
          <w:p w14:paraId="3D83B564" w14:textId="77777777" w:rsidR="003B15F7" w:rsidRPr="00CE7322" w:rsidRDefault="003B15F7" w:rsidP="00A768E9">
            <w:pPr>
              <w:autoSpaceDE w:val="0"/>
              <w:autoSpaceDN w:val="0"/>
              <w:adjustRightInd w:val="0"/>
              <w:rPr>
                <w:b/>
                <w:bCs/>
              </w:rPr>
            </w:pPr>
            <w:r>
              <w:rPr>
                <w:b/>
                <w:bCs/>
              </w:rPr>
              <w:lastRenderedPageBreak/>
              <w:t xml:space="preserve">Question 3 (numerator): </w:t>
            </w:r>
            <w:r>
              <w:t xml:space="preserve">Patients with elective deliveries that were included in the denominator </w:t>
            </w:r>
          </w:p>
          <w:p w14:paraId="00D29EF7" w14:textId="77777777" w:rsidR="003B15F7" w:rsidRDefault="003B15F7" w:rsidP="00A768E9">
            <w:pPr>
              <w:autoSpaceDE w:val="0"/>
              <w:autoSpaceDN w:val="0"/>
              <w:adjustRightInd w:val="0"/>
            </w:pPr>
          </w:p>
          <w:p w14:paraId="2B2910D8" w14:textId="77777777" w:rsidR="001E22C6" w:rsidRDefault="003B15F7" w:rsidP="00A768E9">
            <w:pPr>
              <w:rPr>
                <w:rStyle w:val="apple-converted-space"/>
                <w:rFonts w:cs="Arial"/>
                <w:shd w:val="clear" w:color="auto" w:fill="FFFFFF"/>
              </w:rPr>
            </w:pPr>
            <w:r w:rsidRPr="00624C15">
              <w:rPr>
                <w:rStyle w:val="Strong"/>
                <w:rFonts w:cs="Arial"/>
                <w:bdr w:val="none" w:sz="0" w:space="0" w:color="auto" w:frame="1"/>
                <w:shd w:val="clear" w:color="auto" w:fill="FFFFFF"/>
              </w:rPr>
              <w:t>Included Populations:</w:t>
            </w:r>
            <w:r w:rsidRPr="00624C15">
              <w:rPr>
                <w:rStyle w:val="apple-converted-space"/>
                <w:rFonts w:cs="Arial"/>
                <w:shd w:val="clear" w:color="auto" w:fill="FFFFFF"/>
              </w:rPr>
              <w:t> </w:t>
            </w:r>
          </w:p>
          <w:p w14:paraId="61780144" w14:textId="77777777" w:rsidR="003B15F7" w:rsidRPr="00624C15" w:rsidRDefault="003B15F7" w:rsidP="00A768E9">
            <w:pPr>
              <w:rPr>
                <w:rFonts w:ascii="Times New Roman" w:hAnsi="Times New Roman"/>
              </w:rPr>
            </w:pPr>
            <w:r w:rsidRPr="00624C15">
              <w:rPr>
                <w:rStyle w:val="Emphasis"/>
                <w:rFonts w:cs="Arial"/>
                <w:bdr w:val="none" w:sz="0" w:space="0" w:color="auto" w:frame="1"/>
                <w:shd w:val="clear" w:color="auto" w:fill="FFFFFF"/>
              </w:rPr>
              <w:t>ICD-9-CM Principal Procedure Code or ICD-9-CM Other Procedure Codes</w:t>
            </w:r>
            <w:r w:rsidRPr="00624C15">
              <w:rPr>
                <w:rStyle w:val="apple-converted-space"/>
                <w:rFonts w:cs="Arial"/>
                <w:shd w:val="clear" w:color="auto" w:fill="FFFFFF"/>
              </w:rPr>
              <w:t> </w:t>
            </w:r>
            <w:r w:rsidRPr="00624C15">
              <w:rPr>
                <w:rFonts w:cs="Arial"/>
                <w:shd w:val="clear" w:color="auto" w:fill="FFFFFF"/>
              </w:rPr>
              <w:t>for one or more of the following:</w:t>
            </w:r>
          </w:p>
          <w:p w14:paraId="53D56807" w14:textId="77777777" w:rsidR="003B15F7" w:rsidRPr="00624C15" w:rsidRDefault="003B15F7" w:rsidP="00ED58C1">
            <w:pPr>
              <w:numPr>
                <w:ilvl w:val="0"/>
                <w:numId w:val="85"/>
              </w:numPr>
              <w:ind w:left="738"/>
              <w:rPr>
                <w:rFonts w:cs="Arial"/>
              </w:rPr>
            </w:pPr>
            <w:r w:rsidRPr="00624C15">
              <w:rPr>
                <w:rFonts w:cs="Arial"/>
              </w:rPr>
              <w:t xml:space="preserve">Medical induction of labor as defined in </w:t>
            </w:r>
            <w:r w:rsidR="0012298F" w:rsidRPr="0012298F">
              <w:rPr>
                <w:rFonts w:cs="Arial"/>
              </w:rPr>
              <w:t>Appendix A</w:t>
            </w:r>
            <w:r w:rsidR="000735C6">
              <w:rPr>
                <w:rFonts w:cs="Arial"/>
              </w:rPr>
              <w:t xml:space="preserve">, Table </w:t>
            </w:r>
            <w:hyperlink r:id="rId95" w:anchor="Table_Number_11.05:_Medical_Induction_of_Labor" w:history="1">
              <w:r w:rsidR="000735C6">
                <w:rPr>
                  <w:rStyle w:val="Hyperlink"/>
                  <w:rFonts w:cs="Arial"/>
                </w:rPr>
                <w:t>11.05</w:t>
              </w:r>
            </w:hyperlink>
          </w:p>
          <w:p w14:paraId="3D04C04A" w14:textId="77777777" w:rsidR="003B15F7" w:rsidRPr="00624C15" w:rsidRDefault="003B15F7" w:rsidP="00ED58C1">
            <w:pPr>
              <w:numPr>
                <w:ilvl w:val="0"/>
                <w:numId w:val="85"/>
              </w:numPr>
              <w:ind w:left="738"/>
              <w:rPr>
                <w:rFonts w:cs="Arial"/>
              </w:rPr>
            </w:pPr>
            <w:r w:rsidRPr="00624C15">
              <w:rPr>
                <w:rFonts w:cs="Arial"/>
              </w:rPr>
              <w:t xml:space="preserve">Cesarean section as defined in </w:t>
            </w:r>
            <w:r w:rsidR="0012298F" w:rsidRPr="0012298F">
              <w:rPr>
                <w:rFonts w:cs="Arial"/>
              </w:rPr>
              <w:t>Appendix A</w:t>
            </w:r>
            <w:r w:rsidR="000735C6">
              <w:rPr>
                <w:rFonts w:cs="Arial"/>
              </w:rPr>
              <w:t xml:space="preserve">, Table </w:t>
            </w:r>
            <w:hyperlink r:id="rId96" w:anchor="Table_Number_11.06:_Cesarean_Section" w:history="1">
              <w:r w:rsidR="000735C6">
                <w:rPr>
                  <w:rStyle w:val="Hyperlink"/>
                  <w:rFonts w:cs="Arial"/>
                </w:rPr>
                <w:t>11.06</w:t>
              </w:r>
            </w:hyperlink>
            <w:r w:rsidRPr="00624C15">
              <w:rPr>
                <w:rFonts w:cs="Arial"/>
              </w:rPr>
              <w:t xml:space="preserve"> and all of the following:</w:t>
            </w:r>
          </w:p>
          <w:p w14:paraId="7A51B85C" w14:textId="77777777" w:rsidR="003B15F7" w:rsidRPr="00624C15" w:rsidRDefault="003B15F7" w:rsidP="00ED58C1">
            <w:pPr>
              <w:numPr>
                <w:ilvl w:val="1"/>
                <w:numId w:val="85"/>
              </w:numPr>
              <w:ind w:left="1476"/>
              <w:rPr>
                <w:rFonts w:cs="Arial"/>
              </w:rPr>
            </w:pPr>
            <w:r w:rsidRPr="00624C15">
              <w:rPr>
                <w:rFonts w:cs="Arial"/>
              </w:rPr>
              <w:t>not in</w:t>
            </w:r>
            <w:r w:rsidRPr="00624C15">
              <w:rPr>
                <w:rStyle w:val="apple-converted-space"/>
                <w:rFonts w:cs="Arial"/>
              </w:rPr>
              <w:t> </w:t>
            </w:r>
            <w:hyperlink r:id="rId97" w:history="1">
              <w:r w:rsidRPr="00367BE5">
                <w:rPr>
                  <w:rStyle w:val="Hyperlink"/>
                  <w:rFonts w:cs="Arial"/>
                  <w:i/>
                  <w:bdr w:val="none" w:sz="0" w:space="0" w:color="auto" w:frame="1"/>
                </w:rPr>
                <w:t>Labor</w:t>
              </w:r>
            </w:hyperlink>
          </w:p>
          <w:p w14:paraId="2C1AADB0" w14:textId="77777777" w:rsidR="003B15F7" w:rsidRPr="00624C15" w:rsidRDefault="003B15F7" w:rsidP="00ED58C1">
            <w:pPr>
              <w:numPr>
                <w:ilvl w:val="1"/>
                <w:numId w:val="85"/>
              </w:numPr>
              <w:ind w:left="1476"/>
              <w:rPr>
                <w:rFonts w:cs="Arial"/>
              </w:rPr>
            </w:pPr>
            <w:r w:rsidRPr="00624C15">
              <w:rPr>
                <w:rFonts w:cs="Arial"/>
              </w:rPr>
              <w:t>no history of a</w:t>
            </w:r>
            <w:r w:rsidRPr="00624C15">
              <w:rPr>
                <w:rStyle w:val="apple-converted-space"/>
                <w:rFonts w:cs="Arial"/>
              </w:rPr>
              <w:t> </w:t>
            </w:r>
            <w:hyperlink r:id="rId98" w:history="1">
              <w:r w:rsidRPr="00367BE5">
                <w:rPr>
                  <w:rStyle w:val="Hyperlink"/>
                  <w:rFonts w:cs="Arial"/>
                  <w:i/>
                  <w:bdr w:val="none" w:sz="0" w:space="0" w:color="auto" w:frame="1"/>
                </w:rPr>
                <w:t>Prior Uterine Surgery</w:t>
              </w:r>
            </w:hyperlink>
          </w:p>
          <w:p w14:paraId="168613FA" w14:textId="77777777" w:rsidR="003B15F7" w:rsidRDefault="003B15F7" w:rsidP="00A768E9">
            <w:pPr>
              <w:rPr>
                <w:rStyle w:val="Strong"/>
                <w:rFonts w:cs="Arial"/>
                <w:bdr w:val="none" w:sz="0" w:space="0" w:color="auto" w:frame="1"/>
                <w:shd w:val="clear" w:color="auto" w:fill="FFFFFF"/>
              </w:rPr>
            </w:pPr>
          </w:p>
          <w:p w14:paraId="30B92BE6" w14:textId="77777777" w:rsidR="003B15F7" w:rsidRPr="00367BE5" w:rsidRDefault="003B15F7" w:rsidP="00A768E9">
            <w:pPr>
              <w:rPr>
                <w:rFonts w:cs="Arial"/>
                <w:shd w:val="clear" w:color="auto" w:fill="FFFFFF"/>
              </w:rPr>
            </w:pPr>
            <w:r w:rsidRPr="00624C15">
              <w:rPr>
                <w:rStyle w:val="Strong"/>
                <w:rFonts w:cs="Arial"/>
                <w:bdr w:val="none" w:sz="0" w:space="0" w:color="auto" w:frame="1"/>
                <w:shd w:val="clear" w:color="auto" w:fill="FFFFFF"/>
              </w:rPr>
              <w:t>Excluded Populations:</w:t>
            </w:r>
            <w:r w:rsidRPr="00624C15">
              <w:rPr>
                <w:rStyle w:val="apple-converted-space"/>
                <w:rFonts w:cs="Arial"/>
                <w:shd w:val="clear" w:color="auto" w:fill="FFFFFF"/>
              </w:rPr>
              <w:t> </w:t>
            </w:r>
            <w:r w:rsidRPr="00624C15">
              <w:rPr>
                <w:rFonts w:cs="Arial"/>
                <w:shd w:val="clear" w:color="auto" w:fill="FFFFFF"/>
              </w:rPr>
              <w:t>None</w:t>
            </w:r>
          </w:p>
          <w:p w14:paraId="4AD5D45F" w14:textId="77777777" w:rsidR="003B15F7" w:rsidRPr="00624C15" w:rsidRDefault="003B15F7" w:rsidP="00A768E9">
            <w:pPr>
              <w:rPr>
                <w:rStyle w:val="Strong"/>
                <w:rFonts w:cs="Arial"/>
                <w:bdr w:val="none" w:sz="0" w:space="0" w:color="auto" w:frame="1"/>
                <w:shd w:val="clear" w:color="auto" w:fill="FFFFFF"/>
              </w:rPr>
            </w:pPr>
          </w:p>
          <w:p w14:paraId="084114BC" w14:textId="77777777" w:rsidR="003B15F7" w:rsidRPr="00DA74F8" w:rsidRDefault="003B15F7" w:rsidP="00A768E9">
            <w:r w:rsidRPr="00624C15">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99" w:history="1">
              <w:r w:rsidRPr="00E85B55">
                <w:rPr>
                  <w:rStyle w:val="Hyperlink"/>
                  <w:rFonts w:cs="Arial"/>
                  <w:bdr w:val="none" w:sz="0" w:space="0" w:color="auto" w:frame="1"/>
                  <w:shd w:val="clear" w:color="auto" w:fill="FFFFFF"/>
                </w:rPr>
                <w:t>https://manual.jointcommission.org/releases/TJC2015A1/MIF0166.html</w:t>
              </w:r>
            </w:hyperlink>
            <w:r>
              <w:rPr>
                <w:rStyle w:val="Strong"/>
                <w:rFonts w:cs="Arial"/>
                <w:b w:val="0"/>
                <w:bdr w:val="none" w:sz="0" w:space="0" w:color="auto" w:frame="1"/>
                <w:shd w:val="clear" w:color="auto" w:fill="FFFFFF"/>
              </w:rPr>
              <w:t xml:space="preserve">. </w:t>
            </w:r>
          </w:p>
        </w:tc>
        <w:tc>
          <w:tcPr>
            <w:tcW w:w="4997" w:type="dxa"/>
          </w:tcPr>
          <w:p w14:paraId="43C52A11" w14:textId="77777777" w:rsidR="003B15F7" w:rsidRDefault="003B15F7" w:rsidP="001E22C6">
            <w:pPr>
              <w:autoSpaceDE w:val="0"/>
              <w:autoSpaceDN w:val="0"/>
              <w:adjustRightInd w:val="0"/>
              <w:rPr>
                <w:rFonts w:cs="Arial"/>
                <w:b/>
                <w:bCs/>
              </w:rPr>
            </w:pPr>
            <w:r w:rsidRPr="007C045C">
              <w:rPr>
                <w:rFonts w:cs="Arial"/>
                <w:b/>
                <w:bCs/>
              </w:rPr>
              <w:t xml:space="preserve">Question 3 (numerator): </w:t>
            </w:r>
            <w:r w:rsidRPr="007C045C">
              <w:rPr>
                <w:rFonts w:cs="Arial"/>
              </w:rPr>
              <w:t xml:space="preserve">Patients with elective deliveries included in the denominator </w:t>
            </w:r>
          </w:p>
          <w:p w14:paraId="7DEBA9BC" w14:textId="77777777" w:rsidR="003B15F7" w:rsidRDefault="003B15F7" w:rsidP="001E22C6">
            <w:pPr>
              <w:autoSpaceDE w:val="0"/>
              <w:autoSpaceDN w:val="0"/>
              <w:adjustRightInd w:val="0"/>
              <w:rPr>
                <w:rFonts w:cs="Arial"/>
                <w:b/>
                <w:bCs/>
              </w:rPr>
            </w:pPr>
          </w:p>
          <w:p w14:paraId="54DB9026" w14:textId="77777777" w:rsidR="003B15F7" w:rsidRPr="0073192B" w:rsidRDefault="003B15F7" w:rsidP="001E22C6">
            <w:pPr>
              <w:autoSpaceDE w:val="0"/>
              <w:autoSpaceDN w:val="0"/>
              <w:adjustRightInd w:val="0"/>
              <w:rPr>
                <w:rFonts w:cs="Arial"/>
                <w:b/>
                <w:bCs/>
              </w:rPr>
            </w:pPr>
            <w:r w:rsidRPr="007C045C">
              <w:rPr>
                <w:rFonts w:cs="Arial"/>
                <w:b/>
                <w:bCs/>
              </w:rPr>
              <w:t>Included Populations:</w:t>
            </w:r>
            <w:r w:rsidRPr="007C045C">
              <w:rPr>
                <w:rFonts w:cs="Arial"/>
              </w:rPr>
              <w:t> </w:t>
            </w:r>
          </w:p>
          <w:p w14:paraId="0635EF94" w14:textId="77777777" w:rsidR="003B15F7" w:rsidRPr="007817E4" w:rsidRDefault="003B15F7" w:rsidP="00367BE5">
            <w:pPr>
              <w:shd w:val="clear" w:color="auto" w:fill="FFFFFF"/>
              <w:rPr>
                <w:rFonts w:cs="Arial"/>
              </w:rPr>
            </w:pPr>
            <w:r w:rsidRPr="007817E4">
              <w:rPr>
                <w:rFonts w:cs="Arial"/>
                <w:i/>
                <w:iCs/>
              </w:rPr>
              <w:t>ICD-10-PCS Principal Procedure Code or ICD-10-PCS Other Procedure Codes</w:t>
            </w:r>
            <w:r w:rsidRPr="007817E4">
              <w:rPr>
                <w:rFonts w:cs="Arial"/>
              </w:rPr>
              <w:t> for one or more of the following:</w:t>
            </w:r>
          </w:p>
          <w:p w14:paraId="5E34B836" w14:textId="77777777" w:rsidR="003B15F7" w:rsidRPr="007817E4" w:rsidRDefault="003B15F7" w:rsidP="00ED58C1">
            <w:pPr>
              <w:pStyle w:val="ListParagraph"/>
              <w:numPr>
                <w:ilvl w:val="0"/>
                <w:numId w:val="94"/>
              </w:numPr>
              <w:shd w:val="clear" w:color="auto" w:fill="FFFFFF"/>
              <w:rPr>
                <w:rFonts w:cs="Arial"/>
              </w:rPr>
            </w:pPr>
            <w:r w:rsidRPr="007817E4">
              <w:rPr>
                <w:rFonts w:cs="Arial"/>
              </w:rPr>
              <w:t xml:space="preserve">Medical induction of labor as defined in </w:t>
            </w:r>
            <w:r w:rsidR="0012298F" w:rsidRPr="0012298F">
              <w:rPr>
                <w:rFonts w:cs="Arial"/>
              </w:rPr>
              <w:t>Appendix A</w:t>
            </w:r>
            <w:r w:rsidRPr="007817E4">
              <w:rPr>
                <w:rFonts w:cs="Arial"/>
              </w:rPr>
              <w:t xml:space="preserve">, Table </w:t>
            </w:r>
            <w:hyperlink r:id="rId100" w:anchor="Table_Number_11.05:_Medical_Induction_of_Labor" w:history="1">
              <w:r w:rsidRPr="007817E4">
                <w:rPr>
                  <w:rStyle w:val="Hyperlink"/>
                  <w:rFonts w:cs="Arial"/>
                </w:rPr>
                <w:t>11.05</w:t>
              </w:r>
            </w:hyperlink>
            <w:r w:rsidRPr="007817E4">
              <w:rPr>
                <w:rFonts w:cs="Arial"/>
              </w:rPr>
              <w:t xml:space="preserve"> while not in </w:t>
            </w:r>
            <w:hyperlink r:id="rId101" w:history="1">
              <w:r w:rsidRPr="00A91361">
                <w:rPr>
                  <w:rStyle w:val="Hyperlink"/>
                  <w:rFonts w:cs="Arial"/>
                  <w:i/>
                </w:rPr>
                <w:t>Labor</w:t>
              </w:r>
            </w:hyperlink>
            <w:r w:rsidRPr="007817E4">
              <w:rPr>
                <w:rFonts w:cs="Arial"/>
              </w:rPr>
              <w:t xml:space="preserve"> prior to the procedure</w:t>
            </w:r>
          </w:p>
          <w:p w14:paraId="278BD958" w14:textId="77777777" w:rsidR="003B15F7" w:rsidRPr="007817E4" w:rsidRDefault="003B15F7" w:rsidP="00ED58C1">
            <w:pPr>
              <w:pStyle w:val="ListParagraph"/>
              <w:numPr>
                <w:ilvl w:val="0"/>
                <w:numId w:val="94"/>
              </w:numPr>
              <w:shd w:val="clear" w:color="auto" w:fill="FFFFFF"/>
              <w:rPr>
                <w:rFonts w:cs="Arial"/>
              </w:rPr>
            </w:pPr>
            <w:r w:rsidRPr="007817E4">
              <w:rPr>
                <w:rFonts w:cs="Arial"/>
              </w:rPr>
              <w:t xml:space="preserve">Cesarean birth as defined in </w:t>
            </w:r>
            <w:r w:rsidR="0012298F" w:rsidRPr="0012298F">
              <w:rPr>
                <w:rFonts w:cs="Arial"/>
              </w:rPr>
              <w:t>Appendix A</w:t>
            </w:r>
            <w:r w:rsidRPr="007817E4">
              <w:rPr>
                <w:rFonts w:cs="Arial"/>
              </w:rPr>
              <w:t xml:space="preserve">, Table </w:t>
            </w:r>
            <w:hyperlink r:id="rId102" w:anchor="Table_Number_11.06:_Cesarean_Birth" w:history="1">
              <w:r w:rsidRPr="007817E4">
                <w:rPr>
                  <w:rStyle w:val="Hyperlink"/>
                  <w:rFonts w:cs="Arial"/>
                </w:rPr>
                <w:t>11.06</w:t>
              </w:r>
            </w:hyperlink>
            <w:r w:rsidRPr="007817E4">
              <w:rPr>
                <w:rFonts w:cs="Arial"/>
              </w:rPr>
              <w:t xml:space="preserve"> and all of the following:</w:t>
            </w:r>
          </w:p>
          <w:p w14:paraId="3B1DC3C2" w14:textId="77777777" w:rsidR="003B15F7" w:rsidRPr="007C045C" w:rsidRDefault="003B15F7" w:rsidP="00ED58C1">
            <w:pPr>
              <w:pStyle w:val="ListParagraph"/>
              <w:numPr>
                <w:ilvl w:val="1"/>
                <w:numId w:val="91"/>
              </w:numPr>
              <w:shd w:val="clear" w:color="auto" w:fill="FFFFFF"/>
              <w:rPr>
                <w:rFonts w:cs="Arial"/>
              </w:rPr>
            </w:pPr>
            <w:r w:rsidRPr="007C045C">
              <w:rPr>
                <w:rFonts w:cs="Arial"/>
              </w:rPr>
              <w:t>not in </w:t>
            </w:r>
            <w:hyperlink r:id="rId103" w:history="1">
              <w:r w:rsidRPr="00A91361">
                <w:rPr>
                  <w:rStyle w:val="Hyperlink"/>
                  <w:rFonts w:cs="Arial"/>
                  <w:i/>
                  <w:iCs/>
                </w:rPr>
                <w:t>Labor</w:t>
              </w:r>
            </w:hyperlink>
            <w:r w:rsidRPr="007C045C">
              <w:rPr>
                <w:rFonts w:cs="Arial"/>
              </w:rPr>
              <w:t xml:space="preserve"> </w:t>
            </w:r>
          </w:p>
          <w:p w14:paraId="7FEBCB8E" w14:textId="77777777" w:rsidR="003B15F7" w:rsidRPr="00A91361" w:rsidRDefault="003B15F7" w:rsidP="00ED58C1">
            <w:pPr>
              <w:pStyle w:val="ListParagraph"/>
              <w:numPr>
                <w:ilvl w:val="1"/>
                <w:numId w:val="91"/>
              </w:numPr>
              <w:shd w:val="clear" w:color="auto" w:fill="FFFFFF"/>
              <w:rPr>
                <w:rStyle w:val="Hyperlink"/>
                <w:rFonts w:cs="Arial"/>
              </w:rPr>
            </w:pPr>
            <w:r w:rsidRPr="007C045C">
              <w:rPr>
                <w:rFonts w:cs="Arial"/>
              </w:rPr>
              <w:t>no history of a </w:t>
            </w:r>
            <w:r>
              <w:rPr>
                <w:rFonts w:cs="Arial"/>
                <w:i/>
                <w:iCs/>
              </w:rPr>
              <w:fldChar w:fldCharType="begin"/>
            </w:r>
            <w:r>
              <w:rPr>
                <w:rFonts w:cs="Arial"/>
                <w:i/>
                <w:iCs/>
              </w:rPr>
              <w:instrText xml:space="preserve"> HYPERLINK "https://manual.jointcommission.org/releases/TJC2015B2/DataElem0520.html" </w:instrText>
            </w:r>
            <w:r>
              <w:rPr>
                <w:rFonts w:cs="Arial"/>
                <w:i/>
                <w:iCs/>
              </w:rPr>
              <w:fldChar w:fldCharType="separate"/>
            </w:r>
            <w:r w:rsidRPr="00A91361">
              <w:rPr>
                <w:rStyle w:val="Hyperlink"/>
                <w:rFonts w:cs="Arial"/>
                <w:i/>
                <w:iCs/>
              </w:rPr>
              <w:t>Prior Uterine Surgery</w:t>
            </w:r>
          </w:p>
          <w:p w14:paraId="13ECFDE0" w14:textId="77777777" w:rsidR="003B15F7" w:rsidRPr="007C045C" w:rsidRDefault="003B15F7" w:rsidP="001E22C6">
            <w:pPr>
              <w:autoSpaceDE w:val="0"/>
              <w:autoSpaceDN w:val="0"/>
              <w:adjustRightInd w:val="0"/>
              <w:rPr>
                <w:rFonts w:cs="Arial"/>
                <w:b/>
                <w:bCs/>
              </w:rPr>
            </w:pPr>
            <w:r>
              <w:rPr>
                <w:rFonts w:cs="Arial"/>
                <w:i/>
                <w:iCs/>
              </w:rPr>
              <w:fldChar w:fldCharType="end"/>
            </w:r>
          </w:p>
          <w:p w14:paraId="05D43473" w14:textId="77777777" w:rsidR="003B15F7" w:rsidRPr="007C045C" w:rsidRDefault="003B15F7" w:rsidP="001E22C6">
            <w:pPr>
              <w:autoSpaceDE w:val="0"/>
              <w:autoSpaceDN w:val="0"/>
              <w:adjustRightInd w:val="0"/>
              <w:rPr>
                <w:rStyle w:val="Strong"/>
                <w:rFonts w:cs="Arial"/>
                <w:b w:val="0"/>
                <w:bCs/>
              </w:rPr>
            </w:pPr>
            <w:r w:rsidRPr="007C045C">
              <w:rPr>
                <w:rFonts w:cs="Arial"/>
                <w:b/>
                <w:bCs/>
              </w:rPr>
              <w:t xml:space="preserve">Excluded Populations: </w:t>
            </w:r>
            <w:r w:rsidRPr="007C045C">
              <w:rPr>
                <w:rFonts w:cs="Arial"/>
                <w:bCs/>
              </w:rPr>
              <w:t>None</w:t>
            </w:r>
          </w:p>
          <w:p w14:paraId="38ECCA7D" w14:textId="77777777" w:rsidR="003B15F7" w:rsidRPr="007C045C" w:rsidRDefault="003B15F7" w:rsidP="00367BE5">
            <w:pPr>
              <w:pStyle w:val="NormalWeb"/>
              <w:shd w:val="clear" w:color="auto" w:fill="FFFFFF"/>
              <w:spacing w:before="0" w:beforeAutospacing="0" w:after="0" w:afterAutospacing="0"/>
              <w:rPr>
                <w:rStyle w:val="Strong"/>
                <w:rFonts w:ascii="Arial" w:hAnsi="Arial" w:cs="Arial"/>
                <w:sz w:val="20"/>
                <w:szCs w:val="20"/>
              </w:rPr>
            </w:pPr>
          </w:p>
          <w:p w14:paraId="6F20E56A" w14:textId="77777777" w:rsidR="003B15F7" w:rsidRDefault="003B15F7" w:rsidP="00367BE5">
            <w:pPr>
              <w:pStyle w:val="NormalWeb"/>
              <w:shd w:val="clear" w:color="auto" w:fill="FFFFFF"/>
              <w:spacing w:before="0" w:beforeAutospacing="0" w:after="0" w:afterAutospacing="0"/>
              <w:rPr>
                <w:rStyle w:val="Strong"/>
                <w:rFonts w:ascii="Arial" w:hAnsi="Arial" w:cs="Arial"/>
                <w:sz w:val="20"/>
                <w:szCs w:val="20"/>
              </w:rPr>
            </w:pPr>
            <w:r w:rsidRPr="007C045C">
              <w:rPr>
                <w:rStyle w:val="Strong"/>
                <w:rFonts w:ascii="Arial" w:hAnsi="Arial" w:cs="Arial"/>
                <w:sz w:val="20"/>
                <w:szCs w:val="20"/>
              </w:rPr>
              <w:t>Data Elements</w:t>
            </w:r>
            <w:r>
              <w:rPr>
                <w:rStyle w:val="Strong"/>
                <w:rFonts w:ascii="Arial" w:hAnsi="Arial" w:cs="Arial"/>
                <w:sz w:val="20"/>
                <w:szCs w:val="20"/>
              </w:rPr>
              <w:t xml:space="preserve">: </w:t>
            </w:r>
            <w:r w:rsidRPr="003A6E0B">
              <w:rPr>
                <w:rStyle w:val="Strong"/>
                <w:rFonts w:ascii="Arial" w:hAnsi="Arial" w:cs="Arial"/>
                <w:b w:val="0"/>
                <w:sz w:val="20"/>
                <w:szCs w:val="20"/>
              </w:rPr>
              <w:t>Visit</w:t>
            </w:r>
            <w:r w:rsidR="00C5777E">
              <w:rPr>
                <w:rStyle w:val="Strong"/>
                <w:rFonts w:ascii="Arial" w:hAnsi="Arial" w:cs="Arial"/>
                <w:b w:val="0"/>
                <w:sz w:val="20"/>
                <w:szCs w:val="20"/>
              </w:rPr>
              <w:t xml:space="preserve"> </w:t>
            </w:r>
            <w:hyperlink r:id="rId104" w:history="1">
              <w:r w:rsidR="00C5777E" w:rsidRPr="00300CF7">
                <w:rPr>
                  <w:rStyle w:val="Hyperlink"/>
                  <w:rFonts w:ascii="Arial" w:hAnsi="Arial" w:cs="Arial"/>
                  <w:sz w:val="20"/>
                  <w:szCs w:val="20"/>
                </w:rPr>
                <w:t>https://manual.jointcommission.org/releases/TJC2015B2/MIF0166.html</w:t>
              </w:r>
            </w:hyperlink>
            <w:r>
              <w:rPr>
                <w:rStyle w:val="Strong"/>
                <w:rFonts w:ascii="Arial" w:hAnsi="Arial" w:cs="Arial"/>
                <w:sz w:val="20"/>
                <w:szCs w:val="20"/>
              </w:rPr>
              <w:t xml:space="preserve">. </w:t>
            </w:r>
          </w:p>
          <w:p w14:paraId="5C0E02B3" w14:textId="77777777" w:rsidR="003B15F7" w:rsidRDefault="003B15F7" w:rsidP="003B15F7">
            <w:pPr>
              <w:autoSpaceDE w:val="0"/>
              <w:autoSpaceDN w:val="0"/>
              <w:adjustRightInd w:val="0"/>
              <w:rPr>
                <w:b/>
                <w:bCs/>
              </w:rPr>
            </w:pPr>
          </w:p>
        </w:tc>
      </w:tr>
    </w:tbl>
    <w:p w14:paraId="7BC97F97" w14:textId="77777777" w:rsidR="00E21246" w:rsidRDefault="00A144E7" w:rsidP="00561898">
      <w:pPr>
        <w:pStyle w:val="Heading3"/>
      </w:pPr>
      <w:bookmarkStart w:id="177" w:name="_Toc383775045"/>
      <w:r w:rsidRPr="005B7CB8">
        <w:br/>
      </w:r>
      <w:bookmarkStart w:id="178" w:name="CsectSpecs"/>
    </w:p>
    <w:p w14:paraId="7C30B020" w14:textId="77777777" w:rsidR="00A144E7" w:rsidRPr="002A1A1A" w:rsidRDefault="001C73A6" w:rsidP="002A1A1A">
      <w:pPr>
        <w:pStyle w:val="Heading3"/>
      </w:pPr>
      <w:bookmarkStart w:id="179" w:name="_Cesarean_Sections_Prior"/>
      <w:bookmarkStart w:id="180" w:name="_NTSV_Cesarean_Sections"/>
      <w:bookmarkStart w:id="181" w:name="_Toc447195023"/>
      <w:bookmarkEnd w:id="179"/>
      <w:bookmarkEnd w:id="180"/>
      <w:r>
        <w:t xml:space="preserve">NTSV </w:t>
      </w:r>
      <w:r w:rsidR="006E50EF" w:rsidRPr="005B7CB8">
        <w:t>Cesarean Sections</w:t>
      </w:r>
      <w:bookmarkEnd w:id="177"/>
      <w:bookmarkEnd w:id="178"/>
      <w:bookmarkEnd w:id="181"/>
      <w:r w:rsidR="00A144E7" w:rsidRPr="005B7CB8">
        <w:br/>
      </w:r>
    </w:p>
    <w:p w14:paraId="72E1A798" w14:textId="77777777" w:rsidR="006E50EF" w:rsidRPr="00A144E7" w:rsidRDefault="006E50EF" w:rsidP="00A144E7">
      <w:pPr>
        <w:rPr>
          <w:b/>
        </w:rPr>
      </w:pPr>
      <w:r w:rsidRPr="00A144E7">
        <w:rPr>
          <w:b/>
          <w:color w:val="FF0000"/>
        </w:rPr>
        <w:t>Important Notes:</w:t>
      </w:r>
      <w:r w:rsidRPr="00A144E7">
        <w:rPr>
          <w:b/>
        </w:rPr>
        <w:t xml:space="preserve">  </w:t>
      </w:r>
    </w:p>
    <w:p w14:paraId="55E768AE" w14:textId="77777777" w:rsidR="006E50EF" w:rsidRPr="00BC2D78" w:rsidRDefault="006E50EF" w:rsidP="00CD7AE6">
      <w:pPr>
        <w:rPr>
          <w:i/>
        </w:rPr>
      </w:pPr>
    </w:p>
    <w:p w14:paraId="29A7BBCC" w14:textId="77777777" w:rsidR="006E50EF" w:rsidRPr="00713F7C" w:rsidRDefault="006E50EF" w:rsidP="00CD7AE6">
      <w:r w:rsidRPr="00713F7C">
        <w:t>Note 1:  NTSV Cesarean Sections can be reported based on all eligible cases OR a sufficient sample of cases as outlined in the denominator specifications.</w:t>
      </w:r>
    </w:p>
    <w:p w14:paraId="22DC39C2" w14:textId="77777777" w:rsidR="006E50EF" w:rsidRPr="00713F7C" w:rsidRDefault="006E50EF" w:rsidP="00CD7AE6">
      <w:pPr>
        <w:rPr>
          <w:b/>
          <w:color w:val="FF0000"/>
        </w:rPr>
      </w:pPr>
    </w:p>
    <w:p w14:paraId="75A0873D" w14:textId="77777777" w:rsidR="006E50EF" w:rsidRPr="00713F7C" w:rsidRDefault="006E50EF" w:rsidP="00CD7AE6">
      <w:r w:rsidRPr="00713F7C">
        <w:t xml:space="preserve">Note 2:  Leapfrog uses the specifications created by The Joint Commission </w:t>
      </w:r>
      <w:r w:rsidR="0087013E">
        <w:t xml:space="preserve">(TJC) </w:t>
      </w:r>
      <w:r w:rsidRPr="00713F7C">
        <w:t>for</w:t>
      </w:r>
      <w:r w:rsidR="005E23F2">
        <w:t xml:space="preserve"> the</w:t>
      </w:r>
      <w:r w:rsidRPr="00713F7C">
        <w:t xml:space="preserve"> NTSV Cesarean Sections measure. As such, Leapfrog will update its instructions annuall</w:t>
      </w:r>
      <w:r>
        <w:t>y</w:t>
      </w:r>
      <w:r w:rsidR="005E23F2">
        <w:t xml:space="preserve">, </w:t>
      </w:r>
      <w:r w:rsidR="005E23F2" w:rsidRPr="00713F7C">
        <w:t>and more frequently if appropriate,</w:t>
      </w:r>
      <w:r w:rsidRPr="00713F7C">
        <w:t xml:space="preserve"> to maintain alignment with </w:t>
      </w:r>
      <w:r w:rsidR="0087013E">
        <w:t>TJC</w:t>
      </w:r>
      <w:r w:rsidRPr="00713F7C">
        <w:t xml:space="preserve">. Hospitals can access the </w:t>
      </w:r>
      <w:r w:rsidR="0087013E">
        <w:t xml:space="preserve">TJC’s </w:t>
      </w:r>
      <w:r w:rsidRPr="00713F7C">
        <w:t xml:space="preserve">measure specifications directly </w:t>
      </w:r>
      <w:r w:rsidR="0087013E" w:rsidRPr="0087013E">
        <w:t>using the links in the table below</w:t>
      </w:r>
      <w:r w:rsidR="00DA74F8">
        <w:t xml:space="preserve">. </w:t>
      </w:r>
    </w:p>
    <w:p w14:paraId="2A711F1B" w14:textId="77777777" w:rsidR="00E9031F" w:rsidRDefault="00E9031F" w:rsidP="00CD7AE6"/>
    <w:p w14:paraId="50C310AB" w14:textId="77777777" w:rsidR="00E9031F" w:rsidRPr="002A1A1A" w:rsidRDefault="00E9031F" w:rsidP="00CD7AE6">
      <w:r>
        <w:t xml:space="preserve">Note 3: </w:t>
      </w:r>
      <w:r w:rsidR="002A1A1A" w:rsidRPr="00F126A0">
        <w:rPr>
          <w:snapToGrid w:val="0"/>
        </w:rPr>
        <w:t xml:space="preserve">Hospitals that share a Medicare Provider Number are required to report by facility. Please carefully review </w:t>
      </w:r>
      <w:hyperlink r:id="rId105" w:history="1">
        <w:r w:rsidR="002A1A1A" w:rsidRPr="00F126A0">
          <w:rPr>
            <w:rStyle w:val="Hyperlink"/>
            <w:snapToGrid w:val="0"/>
          </w:rPr>
          <w:t>Leapfrog’s Multi-Campus Reporting Policy</w:t>
        </w:r>
      </w:hyperlink>
      <w:r w:rsidR="002A1A1A" w:rsidRPr="00F126A0">
        <w:rPr>
          <w:snapToGrid w:val="0"/>
        </w:rPr>
        <w:t>.</w:t>
      </w:r>
    </w:p>
    <w:p w14:paraId="6663635C" w14:textId="77777777" w:rsidR="00E21246" w:rsidRDefault="00E21246" w:rsidP="00CD7AE6">
      <w:pPr>
        <w:rPr>
          <w:snapToGrid w:val="0"/>
        </w:rPr>
      </w:pPr>
    </w:p>
    <w:p w14:paraId="0DE7A833" w14:textId="77777777" w:rsidR="00E21246" w:rsidRDefault="00E21246" w:rsidP="002A1A1A">
      <w:pPr>
        <w:pStyle w:val="BodyText"/>
        <w:rPr>
          <w:rFonts w:cs="Arial"/>
          <w:i w:val="0"/>
        </w:rPr>
      </w:pPr>
      <w:r w:rsidRPr="00C632C5">
        <w:rPr>
          <w:rFonts w:cs="Arial"/>
          <w:b/>
          <w:i w:val="0"/>
          <w:color w:val="FF0000"/>
        </w:rPr>
        <w:t>Note</w:t>
      </w:r>
      <w:r w:rsidR="00A02948">
        <w:rPr>
          <w:rFonts w:cs="Arial"/>
          <w:b/>
          <w:i w:val="0"/>
          <w:color w:val="FF0000"/>
        </w:rPr>
        <w:t>s</w:t>
      </w:r>
      <w:r w:rsidRPr="00C632C5">
        <w:rPr>
          <w:rFonts w:cs="Arial"/>
          <w:b/>
          <w:i w:val="0"/>
          <w:color w:val="FF0000"/>
        </w:rPr>
        <w:t xml:space="preserve"> on Changes</w:t>
      </w:r>
      <w:r w:rsidR="00C64E9F">
        <w:rPr>
          <w:rFonts w:cs="Arial"/>
          <w:b/>
          <w:i w:val="0"/>
          <w:color w:val="FF0000"/>
        </w:rPr>
        <w:t xml:space="preserve"> between PC-02 version 2015A1 and 2015B2</w:t>
      </w:r>
      <w:r w:rsidRPr="00C632C5">
        <w:rPr>
          <w:rFonts w:cs="Arial"/>
          <w:b/>
          <w:i w:val="0"/>
          <w:color w:val="FF0000"/>
        </w:rPr>
        <w:t>:</w:t>
      </w:r>
      <w:r w:rsidR="002A1A1A">
        <w:rPr>
          <w:rFonts w:cs="Arial"/>
          <w:b/>
          <w:i w:val="0"/>
          <w:color w:val="FF0000"/>
        </w:rPr>
        <w:t xml:space="preserve"> </w:t>
      </w:r>
      <w:r w:rsidRPr="00C632C5">
        <w:rPr>
          <w:rFonts w:cs="Arial"/>
          <w:i w:val="0"/>
        </w:rPr>
        <w:t>Measure specifications for identifying the denominator for NTSV Cesarean Sections</w:t>
      </w:r>
      <w:r w:rsidR="00C64E9F">
        <w:rPr>
          <w:rFonts w:cs="Arial"/>
          <w:i w:val="0"/>
        </w:rPr>
        <w:t xml:space="preserve"> in version 2015B2 use </w:t>
      </w:r>
      <w:r w:rsidRPr="00C632C5">
        <w:rPr>
          <w:rFonts w:cs="Arial"/>
          <w:i w:val="0"/>
        </w:rPr>
        <w:t xml:space="preserve">ICD </w:t>
      </w:r>
      <w:r w:rsidR="00C64E9F">
        <w:rPr>
          <w:rFonts w:cs="Arial"/>
          <w:i w:val="0"/>
        </w:rPr>
        <w:t xml:space="preserve">10 </w:t>
      </w:r>
      <w:r w:rsidRPr="00C632C5">
        <w:rPr>
          <w:rFonts w:cs="Arial"/>
          <w:b/>
          <w:i w:val="0"/>
        </w:rPr>
        <w:t xml:space="preserve">procedure </w:t>
      </w:r>
      <w:r w:rsidRPr="00C632C5">
        <w:rPr>
          <w:rFonts w:cs="Arial"/>
          <w:i w:val="0"/>
        </w:rPr>
        <w:t>codes that indicate delivery</w:t>
      </w:r>
      <w:r w:rsidR="00F01CBE">
        <w:rPr>
          <w:rFonts w:cs="Arial"/>
          <w:i w:val="0"/>
        </w:rPr>
        <w:t>,</w:t>
      </w:r>
      <w:r w:rsidRPr="00C632C5">
        <w:rPr>
          <w:rFonts w:cs="Arial"/>
          <w:i w:val="0"/>
        </w:rPr>
        <w:t xml:space="preserve"> </w:t>
      </w:r>
      <w:r w:rsidR="00F01CBE">
        <w:rPr>
          <w:rFonts w:cs="Arial"/>
          <w:i w:val="0"/>
        </w:rPr>
        <w:t xml:space="preserve">whereas the denominator specifications in version 2015A1 </w:t>
      </w:r>
      <w:r w:rsidRPr="00C632C5">
        <w:rPr>
          <w:rFonts w:cs="Arial"/>
          <w:i w:val="0"/>
        </w:rPr>
        <w:t xml:space="preserve">use ICD </w:t>
      </w:r>
      <w:r w:rsidR="00C64E9F">
        <w:rPr>
          <w:rFonts w:cs="Arial"/>
          <w:i w:val="0"/>
        </w:rPr>
        <w:t xml:space="preserve">9 </w:t>
      </w:r>
      <w:r w:rsidRPr="00C632C5">
        <w:rPr>
          <w:rFonts w:cs="Arial"/>
          <w:b/>
          <w:i w:val="0"/>
        </w:rPr>
        <w:t xml:space="preserve">diagnostic </w:t>
      </w:r>
      <w:r w:rsidRPr="00C632C5">
        <w:rPr>
          <w:rFonts w:cs="Arial"/>
          <w:i w:val="0"/>
        </w:rPr>
        <w:t>codes that indicate pregnancy.</w:t>
      </w:r>
    </w:p>
    <w:p w14:paraId="251F5E76" w14:textId="77777777" w:rsidR="00B3755C" w:rsidRDefault="00B3755C" w:rsidP="00CD7AE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5049"/>
      </w:tblGrid>
      <w:tr w:rsidR="00892982" w:rsidRPr="00B62006" w14:paraId="48E595A1" w14:textId="77777777" w:rsidTr="00DA33AB">
        <w:trPr>
          <w:jc w:val="center"/>
        </w:trPr>
        <w:tc>
          <w:tcPr>
            <w:tcW w:w="4945" w:type="dxa"/>
            <w:shd w:val="clear" w:color="auto" w:fill="auto"/>
          </w:tcPr>
          <w:p w14:paraId="43B61225" w14:textId="77777777" w:rsidR="00892982" w:rsidRDefault="00892982"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p w14:paraId="3AE2DCA0" w14:textId="77777777" w:rsidR="00C64E9F" w:rsidRPr="00892982" w:rsidRDefault="00C64E9F" w:rsidP="00C64E9F">
            <w:pPr>
              <w:jc w:val="center"/>
              <w:rPr>
                <w:color w:val="FF0000"/>
                <w:lang w:eastAsia="ja-JP"/>
              </w:rPr>
            </w:pPr>
          </w:p>
        </w:tc>
        <w:tc>
          <w:tcPr>
            <w:tcW w:w="5049" w:type="dxa"/>
            <w:shd w:val="clear" w:color="auto" w:fill="auto"/>
          </w:tcPr>
          <w:p w14:paraId="2C36AF08" w14:textId="77777777" w:rsidR="00892982" w:rsidRPr="00892982" w:rsidRDefault="00892982"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tc>
      </w:tr>
      <w:tr w:rsidR="00892982" w:rsidRPr="00B62006" w14:paraId="08A546F6" w14:textId="77777777" w:rsidTr="00DA33AB">
        <w:trPr>
          <w:jc w:val="center"/>
        </w:trPr>
        <w:tc>
          <w:tcPr>
            <w:tcW w:w="4945" w:type="dxa"/>
            <w:shd w:val="clear" w:color="auto" w:fill="CCCCCC"/>
          </w:tcPr>
          <w:p w14:paraId="2AAA2585" w14:textId="77777777" w:rsidR="00892982" w:rsidRPr="00E910DA" w:rsidRDefault="00892982" w:rsidP="00892982">
            <w:pPr>
              <w:autoSpaceDE w:val="0"/>
              <w:autoSpaceDN w:val="0"/>
              <w:adjustRightInd w:val="0"/>
              <w:spacing w:after="120"/>
              <w:rPr>
                <w:b/>
                <w:bCs/>
              </w:rPr>
            </w:pPr>
            <w:r>
              <w:rPr>
                <w:b/>
                <w:bCs/>
              </w:rPr>
              <w:t>Cesarean Sections</w:t>
            </w:r>
          </w:p>
        </w:tc>
        <w:tc>
          <w:tcPr>
            <w:tcW w:w="5049" w:type="dxa"/>
            <w:shd w:val="clear" w:color="auto" w:fill="CCCCCC"/>
          </w:tcPr>
          <w:p w14:paraId="5C6E2599" w14:textId="77777777" w:rsidR="00892982" w:rsidRDefault="00892982" w:rsidP="00892982">
            <w:pPr>
              <w:autoSpaceDE w:val="0"/>
              <w:autoSpaceDN w:val="0"/>
              <w:adjustRightInd w:val="0"/>
              <w:spacing w:after="120"/>
              <w:rPr>
                <w:b/>
                <w:bCs/>
              </w:rPr>
            </w:pPr>
          </w:p>
        </w:tc>
      </w:tr>
      <w:tr w:rsidR="00892982" w:rsidRPr="006F4EFC" w14:paraId="767FF5B6" w14:textId="77777777" w:rsidTr="00DA33AB">
        <w:trPr>
          <w:jc w:val="center"/>
        </w:trPr>
        <w:tc>
          <w:tcPr>
            <w:tcW w:w="4945" w:type="dxa"/>
          </w:tcPr>
          <w:p w14:paraId="479FFFD1" w14:textId="77777777" w:rsidR="00892982" w:rsidRDefault="00892982" w:rsidP="00892982">
            <w:pPr>
              <w:autoSpaceDE w:val="0"/>
              <w:autoSpaceDN w:val="0"/>
              <w:adjustRightInd w:val="0"/>
              <w:rPr>
                <w:rFonts w:cs="Arial"/>
                <w:b/>
                <w:lang w:val="fr-FR"/>
              </w:rPr>
            </w:pPr>
            <w:r w:rsidRPr="007D5250">
              <w:rPr>
                <w:rFonts w:cs="Arial"/>
                <w:b/>
                <w:lang w:val="fr-FR"/>
              </w:rPr>
              <w:t xml:space="preserve">Source: </w:t>
            </w:r>
            <w:r w:rsidRPr="007D5250">
              <w:rPr>
                <w:rFonts w:cs="Arial"/>
                <w:lang w:val="fr-FR"/>
              </w:rPr>
              <w:t xml:space="preserve">Joint </w:t>
            </w:r>
            <w:r>
              <w:rPr>
                <w:rFonts w:cs="Arial"/>
                <w:lang w:val="fr-FR"/>
              </w:rPr>
              <w:t xml:space="preserve">Commission PC-02 </w:t>
            </w:r>
            <w:r w:rsidRPr="00E21246">
              <w:rPr>
                <w:rFonts w:cs="Arial"/>
                <w:b/>
                <w:lang w:val="fr-FR"/>
              </w:rPr>
              <w:t>(version 2015A1)</w:t>
            </w:r>
          </w:p>
          <w:p w14:paraId="6025D475" w14:textId="77777777" w:rsidR="00892982" w:rsidRDefault="00892982" w:rsidP="00892982">
            <w:pPr>
              <w:autoSpaceDE w:val="0"/>
              <w:autoSpaceDN w:val="0"/>
              <w:adjustRightInd w:val="0"/>
              <w:rPr>
                <w:rFonts w:cs="Arial"/>
                <w:b/>
                <w:lang w:val="fr-FR"/>
              </w:rPr>
            </w:pPr>
          </w:p>
          <w:p w14:paraId="26547D0C" w14:textId="77777777" w:rsidR="00892982" w:rsidRPr="006E0E0B" w:rsidRDefault="00892982" w:rsidP="00892982">
            <w:pPr>
              <w:autoSpaceDE w:val="0"/>
              <w:autoSpaceDN w:val="0"/>
              <w:adjustRightInd w:val="0"/>
              <w:rPr>
                <w:b/>
                <w:bCs/>
              </w:rPr>
            </w:pPr>
            <w:r w:rsidRPr="006E0E0B">
              <w:rPr>
                <w:b/>
                <w:bCs/>
              </w:rPr>
              <w:t>Reporting Time Period:</w:t>
            </w:r>
            <w:r>
              <w:rPr>
                <w:b/>
                <w:bCs/>
              </w:rPr>
              <w:t xml:space="preserve"> 9 months</w:t>
            </w:r>
          </w:p>
          <w:p w14:paraId="124E0875" w14:textId="77777777" w:rsidR="00892982" w:rsidRPr="00E21246" w:rsidRDefault="00892982" w:rsidP="00892982">
            <w:pPr>
              <w:autoSpaceDE w:val="0"/>
              <w:autoSpaceDN w:val="0"/>
              <w:adjustRightInd w:val="0"/>
              <w:rPr>
                <w:rFonts w:cs="Arial"/>
                <w:lang w:val="fr-FR"/>
              </w:rPr>
            </w:pPr>
            <w:r>
              <w:rPr>
                <w:bCs/>
              </w:rPr>
              <w:t>January 1, 2015 – September 30, 2015</w:t>
            </w:r>
          </w:p>
        </w:tc>
        <w:tc>
          <w:tcPr>
            <w:tcW w:w="5049" w:type="dxa"/>
          </w:tcPr>
          <w:p w14:paraId="56A734D6" w14:textId="77777777" w:rsidR="00892982" w:rsidRDefault="00892982" w:rsidP="00892982">
            <w:pPr>
              <w:autoSpaceDE w:val="0"/>
              <w:autoSpaceDN w:val="0"/>
              <w:adjustRightInd w:val="0"/>
              <w:rPr>
                <w:rFonts w:cs="Arial"/>
                <w:b/>
                <w:lang w:val="fr-FR"/>
              </w:rPr>
            </w:pPr>
            <w:r w:rsidRPr="007C045C">
              <w:rPr>
                <w:rFonts w:cs="Arial"/>
                <w:b/>
                <w:lang w:val="fr-FR"/>
              </w:rPr>
              <w:t xml:space="preserve">Source: </w:t>
            </w:r>
            <w:r w:rsidRPr="007C045C">
              <w:rPr>
                <w:rFonts w:cs="Arial"/>
                <w:lang w:val="fr-FR"/>
              </w:rPr>
              <w:t xml:space="preserve">Joint </w:t>
            </w:r>
            <w:r>
              <w:rPr>
                <w:rFonts w:cs="Arial"/>
                <w:lang w:val="fr-FR"/>
              </w:rPr>
              <w:t xml:space="preserve">Commission PC-02 </w:t>
            </w:r>
            <w:r w:rsidRPr="00E21246">
              <w:rPr>
                <w:rFonts w:cs="Arial"/>
                <w:b/>
                <w:lang w:val="fr-FR"/>
              </w:rPr>
              <w:t>(version 2015B2)</w:t>
            </w:r>
          </w:p>
          <w:p w14:paraId="67A2E8C1" w14:textId="77777777" w:rsidR="00892982" w:rsidRDefault="00892982" w:rsidP="00892982">
            <w:pPr>
              <w:autoSpaceDE w:val="0"/>
              <w:autoSpaceDN w:val="0"/>
              <w:adjustRightInd w:val="0"/>
              <w:rPr>
                <w:rFonts w:cs="Arial"/>
                <w:b/>
                <w:lang w:val="fr-FR"/>
              </w:rPr>
            </w:pPr>
          </w:p>
          <w:p w14:paraId="6FC82D58" w14:textId="77777777" w:rsidR="00892982" w:rsidRPr="006E0E0B" w:rsidRDefault="00892982" w:rsidP="00892982">
            <w:pPr>
              <w:autoSpaceDE w:val="0"/>
              <w:autoSpaceDN w:val="0"/>
              <w:adjustRightInd w:val="0"/>
              <w:rPr>
                <w:b/>
                <w:bCs/>
              </w:rPr>
            </w:pPr>
            <w:r w:rsidRPr="006E0E0B">
              <w:rPr>
                <w:b/>
                <w:bCs/>
              </w:rPr>
              <w:t>Reporting Time Period:</w:t>
            </w:r>
            <w:r>
              <w:rPr>
                <w:b/>
                <w:bCs/>
              </w:rPr>
              <w:t xml:space="preserve"> 9 months</w:t>
            </w:r>
          </w:p>
          <w:p w14:paraId="6D80851F" w14:textId="77777777" w:rsidR="00892982" w:rsidRPr="00E21246" w:rsidRDefault="00892982" w:rsidP="00892982">
            <w:pPr>
              <w:autoSpaceDE w:val="0"/>
              <w:autoSpaceDN w:val="0"/>
              <w:adjustRightInd w:val="0"/>
              <w:rPr>
                <w:rFonts w:cs="Arial"/>
                <w:lang w:val="fr-FR"/>
              </w:rPr>
            </w:pPr>
            <w:r>
              <w:rPr>
                <w:bCs/>
              </w:rPr>
              <w:t>October 1, 2015 – June 30, 201</w:t>
            </w:r>
            <w:r w:rsidR="00A43BDB">
              <w:rPr>
                <w:bCs/>
              </w:rPr>
              <w:t>6</w:t>
            </w:r>
          </w:p>
        </w:tc>
      </w:tr>
      <w:tr w:rsidR="00892982" w:rsidRPr="006F4EFC" w14:paraId="5F6A54A3" w14:textId="77777777" w:rsidTr="00DA33AB">
        <w:trPr>
          <w:jc w:val="center"/>
        </w:trPr>
        <w:tc>
          <w:tcPr>
            <w:tcW w:w="4945" w:type="dxa"/>
          </w:tcPr>
          <w:p w14:paraId="26024646" w14:textId="77777777" w:rsidR="00892982" w:rsidRPr="00E21246" w:rsidRDefault="00892982" w:rsidP="00892982">
            <w:pPr>
              <w:autoSpaceDE w:val="0"/>
              <w:autoSpaceDN w:val="0"/>
              <w:adjustRightInd w:val="0"/>
              <w:rPr>
                <w:rFonts w:cs="Arial"/>
                <w:lang w:val="fr-FR"/>
              </w:rPr>
            </w:pPr>
            <w:r w:rsidRPr="007B42A0">
              <w:rPr>
                <w:rFonts w:cs="Arial"/>
              </w:rPr>
              <w:t xml:space="preserve">If you measured this quality indicator, reported the results to The Joint Commission, and continue to submit these data to The Joint Commission, </w:t>
            </w:r>
            <w:r w:rsidRPr="007B42A0">
              <w:rPr>
                <w:rFonts w:cs="Arial"/>
                <w:b/>
              </w:rPr>
              <w:t>use those data when responding to this subsection of the survey.</w:t>
            </w:r>
          </w:p>
          <w:p w14:paraId="404EA859" w14:textId="77777777" w:rsidR="00892982" w:rsidRPr="007B42A0" w:rsidRDefault="00892982" w:rsidP="00892982">
            <w:pPr>
              <w:rPr>
                <w:rFonts w:cs="Arial"/>
              </w:rPr>
            </w:pPr>
          </w:p>
          <w:p w14:paraId="249D2BA9" w14:textId="77777777" w:rsidR="00892982" w:rsidRPr="007B42A0" w:rsidRDefault="00892982" w:rsidP="00892982">
            <w:pPr>
              <w:rPr>
                <w:rFonts w:cs="Arial"/>
              </w:rPr>
            </w:pPr>
            <w:r w:rsidRPr="007B42A0">
              <w:rPr>
                <w:rFonts w:cs="Arial"/>
              </w:rPr>
              <w:t>Otherwise, use The Joint Commissions PC-02 Cesarean Section measure specifications (</w:t>
            </w:r>
            <w:r w:rsidRPr="00E21246">
              <w:rPr>
                <w:rFonts w:cs="Arial"/>
                <w:b/>
              </w:rPr>
              <w:t>version 2015A</w:t>
            </w:r>
            <w:r w:rsidR="00401185">
              <w:rPr>
                <w:rFonts w:cs="Arial"/>
                <w:b/>
              </w:rPr>
              <w:t>1</w:t>
            </w:r>
            <w:r w:rsidRPr="007B42A0">
              <w:rPr>
                <w:rFonts w:cs="Arial"/>
              </w:rPr>
              <w:t xml:space="preserve">) to retrospectively collect and report data for this measure. The PC-02 measure specifications are outlined below. To access the measure specifications directly on The Joint Commission’s website, visit </w:t>
            </w:r>
            <w:hyperlink r:id="rId106" w:history="1">
              <w:r w:rsidRPr="00E85B55">
                <w:rPr>
                  <w:rStyle w:val="Hyperlink"/>
                  <w:rFonts w:cs="Arial"/>
                </w:rPr>
                <w:t>https://manual.jointcommission.org/releases/TJC2015A1/MIF0167.html</w:t>
              </w:r>
            </w:hyperlink>
            <w:r>
              <w:rPr>
                <w:rFonts w:cs="Arial"/>
              </w:rPr>
              <w:t xml:space="preserve">. </w:t>
            </w:r>
          </w:p>
          <w:p w14:paraId="3CA0B741" w14:textId="77777777" w:rsidR="00892982" w:rsidRPr="00934FD2" w:rsidRDefault="00892982" w:rsidP="00892982">
            <w:pPr>
              <w:rPr>
                <w:rFonts w:cs="Arial"/>
              </w:rPr>
            </w:pPr>
          </w:p>
        </w:tc>
        <w:tc>
          <w:tcPr>
            <w:tcW w:w="5049" w:type="dxa"/>
          </w:tcPr>
          <w:p w14:paraId="7CA30FAD" w14:textId="77777777" w:rsidR="00892982" w:rsidRPr="00477CFA" w:rsidRDefault="00892982" w:rsidP="00A43BDB">
            <w:pPr>
              <w:rPr>
                <w:rFonts w:cs="Arial"/>
                <w:b/>
              </w:rPr>
            </w:pPr>
            <w:r w:rsidRPr="00477CFA">
              <w:rPr>
                <w:rFonts w:cs="Arial"/>
              </w:rPr>
              <w:lastRenderedPageBreak/>
              <w:t xml:space="preserve">If you measured this quality indicator, reported the results to The Joint Commission, and continue to submit these data to The Joint Commission, </w:t>
            </w:r>
            <w:r w:rsidRPr="00E21246">
              <w:rPr>
                <w:rFonts w:cs="Arial"/>
                <w:b/>
              </w:rPr>
              <w:t>use those data when responding to this subsection of the survey.</w:t>
            </w:r>
          </w:p>
          <w:p w14:paraId="169D629A" w14:textId="77777777" w:rsidR="00892982" w:rsidRPr="00477CFA" w:rsidRDefault="00892982" w:rsidP="00892982">
            <w:pPr>
              <w:rPr>
                <w:rFonts w:cs="Arial"/>
              </w:rPr>
            </w:pPr>
          </w:p>
          <w:p w14:paraId="2EDC6013" w14:textId="77777777" w:rsidR="00892982" w:rsidRPr="00477CFA" w:rsidRDefault="00892982" w:rsidP="00892982">
            <w:pPr>
              <w:rPr>
                <w:rFonts w:cs="Arial"/>
              </w:rPr>
            </w:pPr>
            <w:r w:rsidRPr="00477CFA">
              <w:rPr>
                <w:rFonts w:cs="Arial"/>
              </w:rPr>
              <w:t>Otherwise, use The Joint Commission’s PC-02 Cesarean Section measur</w:t>
            </w:r>
            <w:r>
              <w:rPr>
                <w:rFonts w:cs="Arial"/>
              </w:rPr>
              <w:t>e specifications (</w:t>
            </w:r>
            <w:r w:rsidRPr="00E21246">
              <w:rPr>
                <w:rFonts w:cs="Arial"/>
                <w:b/>
              </w:rPr>
              <w:t>version 2015B2</w:t>
            </w:r>
            <w:r w:rsidRPr="00477CFA">
              <w:rPr>
                <w:rFonts w:cs="Arial"/>
              </w:rPr>
              <w:t xml:space="preserve">) to retrospectively collect and report data for this measure. The PC-02 measure specifications are outlined below. To access the measure specifications directly on The Joint Commission’s website, visit </w:t>
            </w:r>
            <w:hyperlink r:id="rId107" w:history="1">
              <w:r w:rsidRPr="00E85B55">
                <w:rPr>
                  <w:rStyle w:val="Hyperlink"/>
                  <w:rFonts w:cs="Arial"/>
                </w:rPr>
                <w:t>https://manual.jointcommission.org/releases/TJC2015B2/MIF0167.html</w:t>
              </w:r>
            </w:hyperlink>
            <w:r>
              <w:rPr>
                <w:rFonts w:cs="Arial"/>
              </w:rPr>
              <w:t xml:space="preserve">. </w:t>
            </w:r>
          </w:p>
          <w:p w14:paraId="575E803C" w14:textId="77777777" w:rsidR="00892982" w:rsidRPr="007D5250" w:rsidRDefault="00892982" w:rsidP="00892982">
            <w:pPr>
              <w:autoSpaceDE w:val="0"/>
              <w:autoSpaceDN w:val="0"/>
              <w:adjustRightInd w:val="0"/>
              <w:rPr>
                <w:rFonts w:cs="Arial"/>
                <w:b/>
                <w:lang w:val="fr-FR"/>
              </w:rPr>
            </w:pPr>
          </w:p>
        </w:tc>
      </w:tr>
      <w:tr w:rsidR="00892982" w:rsidRPr="006F4EFC" w14:paraId="0BCF88D6" w14:textId="77777777" w:rsidTr="00DA33AB">
        <w:trPr>
          <w:jc w:val="center"/>
        </w:trPr>
        <w:tc>
          <w:tcPr>
            <w:tcW w:w="4945" w:type="dxa"/>
          </w:tcPr>
          <w:p w14:paraId="0D3DDF10" w14:textId="77777777" w:rsidR="00892982" w:rsidRPr="00971C4D" w:rsidRDefault="00892982" w:rsidP="00892982">
            <w:pPr>
              <w:autoSpaceDE w:val="0"/>
              <w:autoSpaceDN w:val="0"/>
              <w:adjustRightInd w:val="0"/>
              <w:rPr>
                <w:rFonts w:cs="Arial"/>
                <w:b/>
              </w:rPr>
            </w:pPr>
            <w:r w:rsidRPr="007D5250">
              <w:rPr>
                <w:rFonts w:cs="Arial"/>
                <w:b/>
              </w:rPr>
              <w:lastRenderedPageBreak/>
              <w:t>Sampling</w:t>
            </w:r>
            <w:r>
              <w:rPr>
                <w:rFonts w:cs="Arial"/>
                <w:b/>
              </w:rPr>
              <w:t xml:space="preserve">: </w:t>
            </w:r>
            <w:r w:rsidRPr="007D5250">
              <w:rPr>
                <w:rFonts w:cs="Arial"/>
              </w:rPr>
              <w:t xml:space="preserve">Hospitals that report the Perinatal Care Measure Set to TJC may use the sampling methodology used by the TJC to report on these questions. </w:t>
            </w:r>
          </w:p>
          <w:p w14:paraId="19A3273B" w14:textId="77777777" w:rsidR="00892982" w:rsidRPr="007D5250" w:rsidRDefault="00892982" w:rsidP="00892982">
            <w:pPr>
              <w:autoSpaceDE w:val="0"/>
              <w:autoSpaceDN w:val="0"/>
              <w:adjustRightInd w:val="0"/>
              <w:rPr>
                <w:rFonts w:cs="Arial"/>
                <w:i/>
              </w:rPr>
            </w:pPr>
          </w:p>
          <w:p w14:paraId="2324C1AD" w14:textId="3AC911A5" w:rsidR="00892982" w:rsidRPr="007B42A0" w:rsidRDefault="00DA33AB" w:rsidP="00892982">
            <w:pPr>
              <w:autoSpaceDE w:val="0"/>
              <w:autoSpaceDN w:val="0"/>
              <w:adjustRightInd w:val="0"/>
              <w:rPr>
                <w:rFonts w:cs="Arial"/>
                <w:b/>
              </w:rPr>
            </w:pPr>
            <w:r w:rsidRPr="00DA33AB">
              <w:rPr>
                <w:rFonts w:cs="Arial"/>
              </w:rPr>
              <w:t>Otherwise, h</w:t>
            </w:r>
            <w:r w:rsidR="00892982" w:rsidRPr="00DA33AB">
              <w:rPr>
                <w:rFonts w:cs="Arial"/>
              </w:rPr>
              <w:t>ospitals opting to identify a sufficient sample of mothers for this measure, in lieu of full case reporting, should follow these instructions</w:t>
            </w:r>
            <w:r w:rsidR="00892982" w:rsidRPr="007B42A0">
              <w:rPr>
                <w:rFonts w:cs="Arial"/>
                <w:b/>
              </w:rPr>
              <w:t>:</w:t>
            </w:r>
          </w:p>
          <w:p w14:paraId="5426C903"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Review your hospital’s first delivery as of </w:t>
            </w:r>
            <w:r w:rsidRPr="000B0143">
              <w:rPr>
                <w:b/>
              </w:rPr>
              <w:t>January 15, 2015</w:t>
            </w:r>
            <w:r w:rsidRPr="007B42A0">
              <w:t>.</w:t>
            </w:r>
          </w:p>
          <w:p w14:paraId="6EFA56A6" w14:textId="77777777" w:rsidR="00892982" w:rsidRPr="007B42A0" w:rsidRDefault="00892982" w:rsidP="00ED58C1">
            <w:pPr>
              <w:numPr>
                <w:ilvl w:val="0"/>
                <w:numId w:val="39"/>
              </w:numPr>
              <w:autoSpaceDE w:val="0"/>
              <w:autoSpaceDN w:val="0"/>
              <w:adjustRightInd w:val="0"/>
              <w:rPr>
                <w:rFonts w:cs="Arial"/>
              </w:rPr>
            </w:pPr>
            <w:r w:rsidRPr="007B42A0">
              <w:rPr>
                <w:rFonts w:cs="Arial"/>
              </w:rPr>
              <w:t>Evaluate this case against the inclusion criteria; retain the case for the sample if the delivery was &gt;=37 weeks gestation.</w:t>
            </w:r>
          </w:p>
          <w:p w14:paraId="14DB00FD"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Evaluate this case against the exclusion criteria; retain the case for the sample if it </w:t>
            </w:r>
            <w:r w:rsidRPr="007B42A0">
              <w:rPr>
                <w:rFonts w:cs="Arial"/>
                <w:u w:val="single"/>
              </w:rPr>
              <w:t>does not</w:t>
            </w:r>
            <w:r w:rsidRPr="007B42A0">
              <w:rPr>
                <w:rFonts w:cs="Arial"/>
              </w:rPr>
              <w:t xml:space="preserve"> meet any of the listed exclusions. </w:t>
            </w:r>
          </w:p>
          <w:p w14:paraId="30C1A5EE" w14:textId="77777777" w:rsidR="00892982" w:rsidRPr="007B42A0" w:rsidRDefault="00892982" w:rsidP="00ED58C1">
            <w:pPr>
              <w:numPr>
                <w:ilvl w:val="0"/>
                <w:numId w:val="39"/>
              </w:numPr>
              <w:autoSpaceDE w:val="0"/>
              <w:autoSpaceDN w:val="0"/>
              <w:adjustRightInd w:val="0"/>
              <w:rPr>
                <w:rFonts w:cs="Arial"/>
              </w:rPr>
            </w:pPr>
            <w:r w:rsidRPr="007B42A0">
              <w:rPr>
                <w:rFonts w:cs="Arial"/>
              </w:rPr>
              <w:t>Move to the next delivery and evaluate for inclusion/exclusion applicability.</w:t>
            </w:r>
          </w:p>
          <w:p w14:paraId="100761E6"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Continue through cases in sequential order until </w:t>
            </w:r>
            <w:r w:rsidRPr="007B42A0">
              <w:rPr>
                <w:rFonts w:cs="Arial"/>
                <w:b/>
                <w:u w:val="single"/>
              </w:rPr>
              <w:t>a sample of at least 100 cases</w:t>
            </w:r>
            <w:r w:rsidRPr="007B42A0">
              <w:rPr>
                <w:rFonts w:cs="Arial"/>
              </w:rPr>
              <w:t xml:space="preserve"> is reached, or all cases in the reporting period are reviewed, whichever comes first.</w:t>
            </w:r>
          </w:p>
          <w:p w14:paraId="06435E25" w14:textId="77777777" w:rsidR="00892982" w:rsidRPr="007D5250" w:rsidRDefault="00892982" w:rsidP="00892982">
            <w:pPr>
              <w:autoSpaceDE w:val="0"/>
              <w:autoSpaceDN w:val="0"/>
              <w:adjustRightInd w:val="0"/>
              <w:ind w:left="720"/>
              <w:rPr>
                <w:rFonts w:cs="Arial"/>
                <w:b/>
                <w:snapToGrid w:val="0"/>
                <w:color w:val="0000FF"/>
              </w:rPr>
            </w:pPr>
          </w:p>
        </w:tc>
        <w:tc>
          <w:tcPr>
            <w:tcW w:w="5049" w:type="dxa"/>
          </w:tcPr>
          <w:p w14:paraId="617F5DA6" w14:textId="77777777" w:rsidR="00892982" w:rsidRPr="007C045C" w:rsidRDefault="00892982" w:rsidP="00892982">
            <w:pPr>
              <w:rPr>
                <w:rFonts w:cs="Arial"/>
              </w:rPr>
            </w:pPr>
            <w:r w:rsidRPr="007C045C">
              <w:rPr>
                <w:rFonts w:cs="Arial"/>
                <w:b/>
              </w:rPr>
              <w:t xml:space="preserve">Sampling Cases: </w:t>
            </w:r>
            <w:r w:rsidRPr="007C045C">
              <w:rPr>
                <w:rFonts w:cs="Arial"/>
              </w:rPr>
              <w:t xml:space="preserve">Hospitals that report the Perinatal Care Measure Set to TJC may use the sampling methodology used by the TJC to report on these questions. </w:t>
            </w:r>
          </w:p>
          <w:p w14:paraId="6E388996" w14:textId="77777777" w:rsidR="00892982" w:rsidRDefault="00892982" w:rsidP="00892982">
            <w:pPr>
              <w:autoSpaceDE w:val="0"/>
              <w:autoSpaceDN w:val="0"/>
              <w:adjustRightInd w:val="0"/>
              <w:rPr>
                <w:rFonts w:cs="Arial"/>
                <w:b/>
                <w:i/>
              </w:rPr>
            </w:pPr>
          </w:p>
          <w:p w14:paraId="0A0328FF" w14:textId="749AFAAD" w:rsidR="00892982" w:rsidRPr="00DA33AB" w:rsidRDefault="00DA33AB" w:rsidP="00892982">
            <w:pPr>
              <w:autoSpaceDE w:val="0"/>
              <w:autoSpaceDN w:val="0"/>
              <w:adjustRightInd w:val="0"/>
              <w:rPr>
                <w:rFonts w:cs="Arial"/>
              </w:rPr>
            </w:pPr>
            <w:r w:rsidRPr="00DA33AB">
              <w:rPr>
                <w:rFonts w:cs="Arial"/>
              </w:rPr>
              <w:t>Otherwise, h</w:t>
            </w:r>
            <w:r w:rsidR="00892982" w:rsidRPr="00DA33AB">
              <w:rPr>
                <w:rFonts w:cs="Arial"/>
              </w:rPr>
              <w:t xml:space="preserve">ospitals opting to identify a sufficient sample of mothers for this measure, in lieu of full case reporting, should follow these instructions: </w:t>
            </w:r>
          </w:p>
          <w:p w14:paraId="36486886"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Review your hospital’s first delivery as of </w:t>
            </w:r>
            <w:r w:rsidRPr="000B0143">
              <w:rPr>
                <w:b/>
              </w:rPr>
              <w:t>October 15, 2015</w:t>
            </w:r>
            <w:r w:rsidRPr="007B42A0">
              <w:t>.</w:t>
            </w:r>
          </w:p>
          <w:p w14:paraId="12DEA4C4" w14:textId="77777777" w:rsidR="00892982" w:rsidRPr="007B42A0" w:rsidRDefault="00892982" w:rsidP="00ED58C1">
            <w:pPr>
              <w:numPr>
                <w:ilvl w:val="0"/>
                <w:numId w:val="39"/>
              </w:numPr>
              <w:autoSpaceDE w:val="0"/>
              <w:autoSpaceDN w:val="0"/>
              <w:adjustRightInd w:val="0"/>
              <w:rPr>
                <w:rFonts w:cs="Arial"/>
              </w:rPr>
            </w:pPr>
            <w:r w:rsidRPr="007B42A0">
              <w:rPr>
                <w:rFonts w:cs="Arial"/>
              </w:rPr>
              <w:t>Evaluate this case against the inclusion criteria; retain the case for the sample if the delivery was &gt;=37 weeks gestation.</w:t>
            </w:r>
          </w:p>
          <w:p w14:paraId="02639CA4"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Evaluate this case against the exclusion criteria; retain the case for the sample if it </w:t>
            </w:r>
            <w:r w:rsidRPr="007B42A0">
              <w:rPr>
                <w:rFonts w:cs="Arial"/>
                <w:u w:val="single"/>
              </w:rPr>
              <w:t>does not</w:t>
            </w:r>
            <w:r w:rsidRPr="007B42A0">
              <w:rPr>
                <w:rFonts w:cs="Arial"/>
              </w:rPr>
              <w:t xml:space="preserve"> meet any of the listed exclusions. </w:t>
            </w:r>
          </w:p>
          <w:p w14:paraId="427D0436" w14:textId="77777777" w:rsidR="00892982" w:rsidRDefault="00892982" w:rsidP="00ED58C1">
            <w:pPr>
              <w:numPr>
                <w:ilvl w:val="0"/>
                <w:numId w:val="39"/>
              </w:numPr>
              <w:autoSpaceDE w:val="0"/>
              <w:autoSpaceDN w:val="0"/>
              <w:adjustRightInd w:val="0"/>
              <w:rPr>
                <w:rFonts w:cs="Arial"/>
              </w:rPr>
            </w:pPr>
            <w:r w:rsidRPr="007B42A0">
              <w:rPr>
                <w:rFonts w:cs="Arial"/>
              </w:rPr>
              <w:t>Move to the next delivery and evaluate for inclusion/exclusion applicability.</w:t>
            </w:r>
          </w:p>
          <w:p w14:paraId="51177425" w14:textId="77777777" w:rsidR="00892982" w:rsidRPr="000B0143" w:rsidRDefault="00892982" w:rsidP="00ED58C1">
            <w:pPr>
              <w:numPr>
                <w:ilvl w:val="0"/>
                <w:numId w:val="39"/>
              </w:numPr>
              <w:autoSpaceDE w:val="0"/>
              <w:autoSpaceDN w:val="0"/>
              <w:adjustRightInd w:val="0"/>
              <w:rPr>
                <w:rFonts w:cs="Arial"/>
              </w:rPr>
            </w:pPr>
            <w:r w:rsidRPr="000B0143">
              <w:rPr>
                <w:rFonts w:cs="Arial"/>
              </w:rPr>
              <w:t xml:space="preserve">Continue through cases in sequential order until </w:t>
            </w:r>
            <w:r w:rsidRPr="000B0143">
              <w:rPr>
                <w:rFonts w:cs="Arial"/>
                <w:b/>
                <w:u w:val="single"/>
              </w:rPr>
              <w:t>a sample of at least 100 cases</w:t>
            </w:r>
            <w:r w:rsidRPr="000B0143">
              <w:rPr>
                <w:rFonts w:cs="Arial"/>
              </w:rPr>
              <w:t xml:space="preserve"> is reached, or all cases in the reporting period are reviewed, whichever comes first.</w:t>
            </w:r>
          </w:p>
        </w:tc>
      </w:tr>
      <w:tr w:rsidR="00892982" w:rsidRPr="005F4371" w14:paraId="421ABEDA" w14:textId="77777777" w:rsidTr="00DA33AB">
        <w:trPr>
          <w:jc w:val="center"/>
        </w:trPr>
        <w:tc>
          <w:tcPr>
            <w:tcW w:w="4945" w:type="dxa"/>
          </w:tcPr>
          <w:p w14:paraId="33C1219B" w14:textId="77777777" w:rsidR="00892982" w:rsidRPr="004B1212" w:rsidRDefault="00892982" w:rsidP="00401185">
            <w:pPr>
              <w:rPr>
                <w:rFonts w:cs="Arial"/>
                <w:b/>
                <w:bCs/>
              </w:rPr>
            </w:pPr>
            <w:r>
              <w:rPr>
                <w:rFonts w:cs="Arial"/>
                <w:b/>
                <w:bCs/>
              </w:rPr>
              <w:t xml:space="preserve">Question 2 (denominator): </w:t>
            </w:r>
            <w:r w:rsidRPr="007D5250">
              <w:rPr>
                <w:rFonts w:cs="Arial"/>
                <w:shd w:val="clear" w:color="auto" w:fill="FFFFFF"/>
              </w:rPr>
              <w:t>Nulliparous patients delivered of a live term singleton newborn in vertex presentation.</w:t>
            </w:r>
          </w:p>
          <w:p w14:paraId="13330310" w14:textId="77777777" w:rsidR="00892982" w:rsidRPr="007D5250" w:rsidRDefault="00892982" w:rsidP="00401185">
            <w:pPr>
              <w:rPr>
                <w:rFonts w:cs="Arial"/>
              </w:rPr>
            </w:pPr>
          </w:p>
          <w:p w14:paraId="270948CB" w14:textId="77777777" w:rsidR="00892982" w:rsidRPr="00B166AF" w:rsidRDefault="00892982" w:rsidP="00401185">
            <w:pPr>
              <w:rPr>
                <w:rFonts w:ascii="Times New Roman" w:hAnsi="Times New Roman"/>
              </w:rPr>
            </w:pPr>
            <w:r w:rsidRPr="00B166AF">
              <w:rPr>
                <w:rStyle w:val="Strong"/>
                <w:rFonts w:cs="Arial"/>
                <w:bdr w:val="none" w:sz="0" w:space="0" w:color="auto" w:frame="1"/>
                <w:shd w:val="clear" w:color="auto" w:fill="FFFFFF"/>
              </w:rPr>
              <w:t>Included Populations:</w:t>
            </w:r>
          </w:p>
          <w:p w14:paraId="2A3A4E44" w14:textId="77777777" w:rsidR="00892982" w:rsidRPr="00B166AF" w:rsidRDefault="00892982" w:rsidP="00ED58C1">
            <w:pPr>
              <w:numPr>
                <w:ilvl w:val="0"/>
                <w:numId w:val="86"/>
              </w:numPr>
              <w:ind w:left="738"/>
              <w:rPr>
                <w:rFonts w:cs="Arial"/>
              </w:rPr>
            </w:pPr>
            <w:r w:rsidRPr="00B166AF">
              <w:rPr>
                <w:rStyle w:val="Emphasis"/>
                <w:rFonts w:cs="Arial"/>
                <w:bdr w:val="none" w:sz="0" w:space="0" w:color="auto" w:frame="1"/>
              </w:rPr>
              <w:t>ICD-9-CM Principal</w:t>
            </w:r>
            <w:r w:rsidR="0012298F">
              <w:rPr>
                <w:rStyle w:val="Emphasis"/>
                <w:rFonts w:cs="Arial"/>
                <w:bdr w:val="none" w:sz="0" w:space="0" w:color="auto" w:frame="1"/>
              </w:rPr>
              <w:t xml:space="preserve"> </w:t>
            </w:r>
            <w:r w:rsidRPr="00B166AF">
              <w:rPr>
                <w:rStyle w:val="Emphasis"/>
                <w:rFonts w:cs="Arial"/>
                <w:bdr w:val="none" w:sz="0" w:space="0" w:color="auto" w:frame="1"/>
              </w:rPr>
              <w:t>or ICD-9-CM Other Diagnosis Codes</w:t>
            </w:r>
            <w:r w:rsidRPr="00B166AF">
              <w:rPr>
                <w:rStyle w:val="apple-converted-space"/>
                <w:rFonts w:cs="Arial"/>
              </w:rPr>
              <w:t> </w:t>
            </w:r>
            <w:r w:rsidRPr="00B166AF">
              <w:rPr>
                <w:rFonts w:cs="Arial"/>
              </w:rPr>
              <w:t>for pregnancy as defined in</w:t>
            </w:r>
            <w:r w:rsidR="00401185">
              <w:rPr>
                <w:rFonts w:cs="Arial"/>
              </w:rPr>
              <w:t xml:space="preserve"> </w:t>
            </w:r>
            <w:r w:rsidR="0012298F" w:rsidRPr="0012298F">
              <w:rPr>
                <w:rFonts w:cs="Arial"/>
              </w:rPr>
              <w:t>Appendix A</w:t>
            </w:r>
            <w:r w:rsidR="00401185">
              <w:rPr>
                <w:rFonts w:cs="Arial"/>
              </w:rPr>
              <w:t>, Table</w:t>
            </w:r>
            <w:r w:rsidRPr="00B166AF">
              <w:rPr>
                <w:rFonts w:cs="Arial"/>
              </w:rPr>
              <w:t xml:space="preserve"> </w:t>
            </w:r>
            <w:hyperlink r:id="rId108" w:anchor="Table_Number_11.01:_Complication_Mainly_Related_to_Pregnancy" w:history="1">
              <w:r w:rsidR="00401185">
                <w:rPr>
                  <w:rStyle w:val="Hyperlink"/>
                  <w:rFonts w:cs="Arial"/>
                </w:rPr>
                <w:t>11.01</w:t>
              </w:r>
            </w:hyperlink>
            <w:r w:rsidRPr="00B166AF">
              <w:rPr>
                <w:rFonts w:cs="Arial"/>
              </w:rPr>
              <w:t xml:space="preserve">, </w:t>
            </w:r>
            <w:hyperlink r:id="rId109" w:anchor="Table_Number_11.02:_Normal_Delivery_and_Other_Indications_for_Care" w:history="1">
              <w:r w:rsidRPr="006251B7">
                <w:rPr>
                  <w:rStyle w:val="Hyperlink"/>
                  <w:rFonts w:cs="Arial"/>
                </w:rPr>
                <w:t>11.02</w:t>
              </w:r>
            </w:hyperlink>
            <w:r w:rsidRPr="00B166AF">
              <w:rPr>
                <w:rFonts w:cs="Arial"/>
              </w:rPr>
              <w:t xml:space="preserve">, </w:t>
            </w:r>
            <w:hyperlink r:id="rId110" w:anchor="Table_Number_11.03:_Complication_Mainly_in_the_Course_of_Labor_and_Delivery" w:history="1">
              <w:r w:rsidRPr="006251B7">
                <w:rPr>
                  <w:rStyle w:val="Hyperlink"/>
                  <w:rFonts w:cs="Arial"/>
                </w:rPr>
                <w:t>11.03</w:t>
              </w:r>
            </w:hyperlink>
            <w:r w:rsidRPr="00B166AF">
              <w:rPr>
                <w:rFonts w:cs="Arial"/>
              </w:rPr>
              <w:t xml:space="preserve"> or </w:t>
            </w:r>
            <w:hyperlink r:id="rId111" w:anchor="Table_Number_11.04:_Complication_of_the_Puerperium" w:history="1">
              <w:r w:rsidRPr="006251B7">
                <w:rPr>
                  <w:rStyle w:val="Hyperlink"/>
                  <w:rFonts w:cs="Arial"/>
                </w:rPr>
                <w:t>11.04</w:t>
              </w:r>
            </w:hyperlink>
          </w:p>
          <w:p w14:paraId="19D95B3A" w14:textId="77777777" w:rsidR="00892982" w:rsidRPr="00B166AF" w:rsidRDefault="00892982" w:rsidP="00ED58C1">
            <w:pPr>
              <w:numPr>
                <w:ilvl w:val="0"/>
                <w:numId w:val="86"/>
              </w:numPr>
              <w:ind w:left="738"/>
              <w:rPr>
                <w:rFonts w:cs="Arial"/>
              </w:rPr>
            </w:pPr>
            <w:r w:rsidRPr="00B166AF">
              <w:rPr>
                <w:rFonts w:cs="Arial"/>
              </w:rPr>
              <w:t>Nulliparous patients with</w:t>
            </w:r>
            <w:r w:rsidRPr="00B166AF">
              <w:rPr>
                <w:rStyle w:val="apple-converted-space"/>
                <w:rFonts w:cs="Arial"/>
              </w:rPr>
              <w:t> </w:t>
            </w:r>
            <w:r w:rsidRPr="00B166AF">
              <w:rPr>
                <w:rStyle w:val="Emphasis"/>
                <w:rFonts w:cs="Arial"/>
                <w:bdr w:val="none" w:sz="0" w:space="0" w:color="auto" w:frame="1"/>
              </w:rPr>
              <w:t>ICD-9-CM Principal Diagnosis Code or ICD-9-CM Other Diagnosis Codes</w:t>
            </w:r>
            <w:r w:rsidRPr="00B166AF">
              <w:rPr>
                <w:rStyle w:val="apple-converted-space"/>
                <w:rFonts w:cs="Arial"/>
              </w:rPr>
              <w:t> </w:t>
            </w:r>
            <w:r w:rsidRPr="00B166AF">
              <w:rPr>
                <w:rFonts w:cs="Arial"/>
              </w:rPr>
              <w:t>for outcome of delivery as defined in</w:t>
            </w:r>
            <w:r w:rsidR="0012298F">
              <w:rPr>
                <w:rFonts w:cs="Arial"/>
              </w:rPr>
              <w:t xml:space="preserve"> Appendix A, Table</w:t>
            </w:r>
            <w:r w:rsidRPr="00B166AF">
              <w:rPr>
                <w:rFonts w:cs="Arial"/>
              </w:rPr>
              <w:t xml:space="preserve"> </w:t>
            </w:r>
            <w:hyperlink r:id="rId112" w:anchor="Table_Number_11.08:_Outcome_of_Delivery" w:history="1">
              <w:r w:rsidR="0012298F">
                <w:rPr>
                  <w:rStyle w:val="Hyperlink"/>
                  <w:rFonts w:cs="Arial"/>
                </w:rPr>
                <w:t>11.08</w:t>
              </w:r>
            </w:hyperlink>
            <w:r w:rsidRPr="00B166AF">
              <w:rPr>
                <w:rFonts w:cs="Arial"/>
              </w:rPr>
              <w:t xml:space="preserve"> and with a delivery of a newborn with 37 weeks or more of gestation completed</w:t>
            </w:r>
          </w:p>
          <w:p w14:paraId="428D6F5A" w14:textId="77777777" w:rsidR="00892982" w:rsidRDefault="00892982" w:rsidP="00401185">
            <w:pPr>
              <w:rPr>
                <w:rStyle w:val="Strong"/>
                <w:rFonts w:cs="Arial"/>
                <w:bdr w:val="none" w:sz="0" w:space="0" w:color="auto" w:frame="1"/>
                <w:shd w:val="clear" w:color="auto" w:fill="FFFFFF"/>
              </w:rPr>
            </w:pPr>
          </w:p>
          <w:p w14:paraId="46F59AC6" w14:textId="77777777" w:rsidR="00892982" w:rsidRPr="00B166AF" w:rsidRDefault="00892982" w:rsidP="00401185">
            <w:pPr>
              <w:rPr>
                <w:rFonts w:ascii="Times New Roman" w:hAnsi="Times New Roman"/>
              </w:rPr>
            </w:pPr>
            <w:r w:rsidRPr="00B166AF">
              <w:rPr>
                <w:rStyle w:val="Strong"/>
                <w:rFonts w:cs="Arial"/>
                <w:bdr w:val="none" w:sz="0" w:space="0" w:color="auto" w:frame="1"/>
                <w:shd w:val="clear" w:color="auto" w:fill="FFFFFF"/>
              </w:rPr>
              <w:t>Excluded Populations:</w:t>
            </w:r>
          </w:p>
          <w:p w14:paraId="573F77EB" w14:textId="77777777" w:rsidR="00892982" w:rsidRPr="00B166AF" w:rsidRDefault="00892982" w:rsidP="00ED58C1">
            <w:pPr>
              <w:numPr>
                <w:ilvl w:val="0"/>
                <w:numId w:val="87"/>
              </w:numPr>
              <w:ind w:left="738"/>
              <w:rPr>
                <w:rFonts w:cs="Arial"/>
              </w:rPr>
            </w:pPr>
            <w:r w:rsidRPr="00B166AF">
              <w:rPr>
                <w:rStyle w:val="Emphasis"/>
                <w:rFonts w:cs="Arial"/>
                <w:bdr w:val="none" w:sz="0" w:space="0" w:color="auto" w:frame="1"/>
              </w:rPr>
              <w:t>ICD-9-CM Principal Diagnosis Code or ICD-9-CM Other Diagnosis Codes</w:t>
            </w:r>
            <w:r w:rsidRPr="00B166AF">
              <w:rPr>
                <w:rStyle w:val="apple-converted-space"/>
                <w:rFonts w:cs="Arial"/>
              </w:rPr>
              <w:t> </w:t>
            </w:r>
            <w:r w:rsidRPr="00B166AF">
              <w:rPr>
                <w:rFonts w:cs="Arial"/>
              </w:rPr>
              <w:t>for multiple gestations and other presentations as defined in</w:t>
            </w:r>
            <w:r w:rsidR="001609EC">
              <w:rPr>
                <w:rFonts w:cs="Arial"/>
              </w:rPr>
              <w:t xml:space="preserve"> Appendix A, Table</w:t>
            </w:r>
            <w:r w:rsidRPr="00B166AF">
              <w:rPr>
                <w:rFonts w:cs="Arial"/>
              </w:rPr>
              <w:t xml:space="preserve"> </w:t>
            </w:r>
            <w:hyperlink r:id="rId113" w:anchor="Table_Number_11.09:_Multiple_Gestations_and_Other_Presentations" w:history="1">
              <w:r w:rsidR="001609EC">
                <w:rPr>
                  <w:rStyle w:val="Hyperlink"/>
                  <w:rFonts w:cs="Arial"/>
                </w:rPr>
                <w:t>11.09</w:t>
              </w:r>
            </w:hyperlink>
          </w:p>
          <w:p w14:paraId="38E851FB" w14:textId="77777777" w:rsidR="00892982" w:rsidRPr="00B166AF" w:rsidRDefault="00892982" w:rsidP="00ED58C1">
            <w:pPr>
              <w:numPr>
                <w:ilvl w:val="0"/>
                <w:numId w:val="87"/>
              </w:numPr>
              <w:ind w:left="738"/>
              <w:rPr>
                <w:rFonts w:cs="Arial"/>
              </w:rPr>
            </w:pPr>
            <w:r w:rsidRPr="00B166AF">
              <w:rPr>
                <w:rFonts w:cs="Arial"/>
              </w:rPr>
              <w:t>Less than 8 years of age</w:t>
            </w:r>
          </w:p>
          <w:p w14:paraId="439DDB55" w14:textId="77777777" w:rsidR="00892982" w:rsidRPr="00B166AF" w:rsidRDefault="00892982" w:rsidP="00ED58C1">
            <w:pPr>
              <w:numPr>
                <w:ilvl w:val="0"/>
                <w:numId w:val="87"/>
              </w:numPr>
              <w:ind w:left="738"/>
              <w:rPr>
                <w:rFonts w:cs="Arial"/>
              </w:rPr>
            </w:pPr>
            <w:r w:rsidRPr="00B166AF">
              <w:rPr>
                <w:rFonts w:cs="Arial"/>
              </w:rPr>
              <w:t>Greater than or equal to 65 years of age</w:t>
            </w:r>
          </w:p>
          <w:p w14:paraId="19F41ADB" w14:textId="77777777" w:rsidR="00892982" w:rsidRPr="00B166AF" w:rsidRDefault="00892982" w:rsidP="00ED58C1">
            <w:pPr>
              <w:numPr>
                <w:ilvl w:val="0"/>
                <w:numId w:val="87"/>
              </w:numPr>
              <w:ind w:left="738"/>
              <w:rPr>
                <w:rFonts w:cs="Arial"/>
              </w:rPr>
            </w:pPr>
            <w:r w:rsidRPr="00B166AF">
              <w:rPr>
                <w:rFonts w:cs="Arial"/>
              </w:rPr>
              <w:t>Length of Stay &gt;120 days</w:t>
            </w:r>
          </w:p>
          <w:p w14:paraId="44B70845" w14:textId="77777777" w:rsidR="00892982" w:rsidRPr="00B166AF" w:rsidRDefault="00892982" w:rsidP="00ED58C1">
            <w:pPr>
              <w:numPr>
                <w:ilvl w:val="0"/>
                <w:numId w:val="87"/>
              </w:numPr>
              <w:ind w:left="738"/>
              <w:rPr>
                <w:rFonts w:cs="Arial"/>
              </w:rPr>
            </w:pPr>
            <w:r w:rsidRPr="00B166AF">
              <w:rPr>
                <w:rFonts w:cs="Arial"/>
              </w:rPr>
              <w:lastRenderedPageBreak/>
              <w:t>Enrolled in clinical trials</w:t>
            </w:r>
          </w:p>
          <w:p w14:paraId="3CC50832" w14:textId="77777777" w:rsidR="00892982" w:rsidRPr="00B166AF" w:rsidRDefault="00E9134C" w:rsidP="00ED58C1">
            <w:pPr>
              <w:numPr>
                <w:ilvl w:val="0"/>
                <w:numId w:val="87"/>
              </w:numPr>
              <w:ind w:left="738"/>
              <w:rPr>
                <w:rFonts w:cs="Arial"/>
              </w:rPr>
            </w:pPr>
            <w:hyperlink r:id="rId114" w:history="1">
              <w:r w:rsidR="00892982" w:rsidRPr="002A1A1A">
                <w:rPr>
                  <w:rStyle w:val="Hyperlink"/>
                  <w:rFonts w:cs="Arial"/>
                  <w:i/>
                  <w:bdr w:val="none" w:sz="0" w:space="0" w:color="auto" w:frame="1"/>
                </w:rPr>
                <w:t>Gestational Age</w:t>
              </w:r>
              <w:r w:rsidR="00892982" w:rsidRPr="00E846B7">
                <w:rPr>
                  <w:rStyle w:val="Hyperlink"/>
                  <w:rFonts w:cs="Arial"/>
                </w:rPr>
                <w:t> </w:t>
              </w:r>
            </w:hyperlink>
            <w:r w:rsidR="00892982" w:rsidRPr="00B166AF">
              <w:rPr>
                <w:rFonts w:cs="Arial"/>
              </w:rPr>
              <w:t>&lt; 37 weeks or UTD</w:t>
            </w:r>
          </w:p>
          <w:p w14:paraId="6DD84ACA" w14:textId="77777777" w:rsidR="00892982" w:rsidRDefault="00892982" w:rsidP="00401185">
            <w:pPr>
              <w:rPr>
                <w:rStyle w:val="Strong"/>
                <w:rFonts w:cs="Arial"/>
                <w:bdr w:val="none" w:sz="0" w:space="0" w:color="auto" w:frame="1"/>
                <w:shd w:val="clear" w:color="auto" w:fill="FFFFFF"/>
              </w:rPr>
            </w:pPr>
          </w:p>
          <w:p w14:paraId="1DBA256A" w14:textId="77777777" w:rsidR="00892982" w:rsidRPr="00DA74F8" w:rsidRDefault="00892982" w:rsidP="00401185">
            <w:pPr>
              <w:rPr>
                <w:rFonts w:ascii="Times New Roman" w:hAnsi="Times New Roman"/>
              </w:rPr>
            </w:pPr>
            <w:r w:rsidRPr="00B166AF">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15" w:history="1">
              <w:r w:rsidRPr="00E85B55">
                <w:rPr>
                  <w:rStyle w:val="Hyperlink"/>
                  <w:rFonts w:cs="Arial"/>
                  <w:bdr w:val="none" w:sz="0" w:space="0" w:color="auto" w:frame="1"/>
                  <w:shd w:val="clear" w:color="auto" w:fill="FFFFFF"/>
                </w:rPr>
                <w:t>https://manual.jointcommission.org/releases/TJC2015A1/MIF0167.html</w:t>
              </w:r>
            </w:hyperlink>
            <w:r>
              <w:rPr>
                <w:rStyle w:val="Strong"/>
                <w:rFonts w:cs="Arial"/>
                <w:b w:val="0"/>
                <w:bdr w:val="none" w:sz="0" w:space="0" w:color="auto" w:frame="1"/>
                <w:shd w:val="clear" w:color="auto" w:fill="FFFFFF"/>
              </w:rPr>
              <w:t xml:space="preserve">. </w:t>
            </w:r>
          </w:p>
          <w:p w14:paraId="093A1B11" w14:textId="77777777" w:rsidR="00892982" w:rsidRPr="007D5250" w:rsidRDefault="00892982" w:rsidP="00401185">
            <w:pPr>
              <w:autoSpaceDE w:val="0"/>
              <w:autoSpaceDN w:val="0"/>
              <w:adjustRightInd w:val="0"/>
              <w:rPr>
                <w:rFonts w:cs="Arial"/>
              </w:rPr>
            </w:pPr>
          </w:p>
          <w:p w14:paraId="152D2090" w14:textId="77777777" w:rsidR="00892982" w:rsidRPr="00B166AF" w:rsidRDefault="00892982" w:rsidP="00401185">
            <w:pPr>
              <w:autoSpaceDE w:val="0"/>
              <w:autoSpaceDN w:val="0"/>
              <w:adjustRightInd w:val="0"/>
              <w:rPr>
                <w:rFonts w:cs="Arial"/>
                <w:b/>
                <w:i/>
              </w:rPr>
            </w:pPr>
            <w:r w:rsidRPr="00B166AF">
              <w:rPr>
                <w:rFonts w:cs="Arial"/>
                <w:b/>
                <w:i/>
              </w:rPr>
              <w:t xml:space="preserve">If fewer than </w:t>
            </w:r>
            <w:r w:rsidRPr="00B166AF">
              <w:rPr>
                <w:rFonts w:cs="Arial"/>
                <w:b/>
                <w:i/>
                <w:lang w:eastAsia="ja-JP"/>
              </w:rPr>
              <w:t>10</w:t>
            </w:r>
            <w:r w:rsidRPr="00B166AF">
              <w:rPr>
                <w:rFonts w:cs="Arial"/>
                <w:b/>
                <w:i/>
              </w:rPr>
              <w:t xml:space="preserve"> cases during the reporting period, skip the next question.</w:t>
            </w:r>
          </w:p>
        </w:tc>
        <w:tc>
          <w:tcPr>
            <w:tcW w:w="5049" w:type="dxa"/>
          </w:tcPr>
          <w:p w14:paraId="7F46EF6D" w14:textId="77777777" w:rsidR="00892982" w:rsidRPr="007C045C" w:rsidRDefault="00892982" w:rsidP="00401185">
            <w:pPr>
              <w:rPr>
                <w:rFonts w:cs="Arial"/>
                <w:b/>
                <w:bCs/>
              </w:rPr>
            </w:pPr>
            <w:r w:rsidRPr="007C045C">
              <w:rPr>
                <w:rFonts w:cs="Arial"/>
                <w:b/>
                <w:bCs/>
              </w:rPr>
              <w:lastRenderedPageBreak/>
              <w:t xml:space="preserve">Question 2 (denominator): </w:t>
            </w:r>
            <w:r w:rsidRPr="007C045C">
              <w:rPr>
                <w:rFonts w:cs="Arial"/>
                <w:shd w:val="clear" w:color="auto" w:fill="FFFFFF"/>
              </w:rPr>
              <w:t>Nulliparous patients delivered of a live term singleton newborn in vertex presentation.</w:t>
            </w:r>
          </w:p>
          <w:p w14:paraId="5F5C34DD" w14:textId="77777777" w:rsidR="00892982" w:rsidRDefault="00892982" w:rsidP="002A1A1A">
            <w:pPr>
              <w:shd w:val="clear" w:color="auto" w:fill="FFFFFF"/>
              <w:rPr>
                <w:rStyle w:val="Strong"/>
                <w:rFonts w:cs="Arial"/>
              </w:rPr>
            </w:pPr>
          </w:p>
          <w:p w14:paraId="6F64DD52" w14:textId="77777777" w:rsidR="00892982" w:rsidRDefault="00892982" w:rsidP="002A1A1A">
            <w:pPr>
              <w:shd w:val="clear" w:color="auto" w:fill="FFFFFF"/>
              <w:rPr>
                <w:rStyle w:val="apple-converted-space"/>
                <w:rFonts w:cs="Arial"/>
              </w:rPr>
            </w:pPr>
            <w:r w:rsidRPr="00B646CC">
              <w:rPr>
                <w:rStyle w:val="Strong"/>
                <w:rFonts w:cs="Arial"/>
              </w:rPr>
              <w:t>Included Populations:</w:t>
            </w:r>
            <w:r w:rsidRPr="00B646CC">
              <w:rPr>
                <w:rStyle w:val="apple-converted-space"/>
                <w:rFonts w:cs="Arial"/>
              </w:rPr>
              <w:t> </w:t>
            </w:r>
          </w:p>
          <w:p w14:paraId="0B8B873B" w14:textId="77777777" w:rsidR="00892982" w:rsidRDefault="00892982" w:rsidP="00ED58C1">
            <w:pPr>
              <w:pStyle w:val="ListParagraph"/>
              <w:numPr>
                <w:ilvl w:val="0"/>
                <w:numId w:val="39"/>
              </w:numPr>
              <w:autoSpaceDE w:val="0"/>
              <w:autoSpaceDN w:val="0"/>
              <w:adjustRightInd w:val="0"/>
              <w:rPr>
                <w:rFonts w:cs="Arial"/>
              </w:rPr>
            </w:pPr>
            <w:r w:rsidRPr="00B646CC">
              <w:rPr>
                <w:rFonts w:cs="Arial"/>
                <w:i/>
              </w:rPr>
              <w:t xml:space="preserve">ICD-10-PCS Principal Procedure Code or ICD-10-PCS Other Procedure Codes </w:t>
            </w:r>
            <w:r w:rsidRPr="00B646CC">
              <w:rPr>
                <w:rFonts w:cs="Arial"/>
              </w:rPr>
              <w:t xml:space="preserve">for delivery as defined in </w:t>
            </w:r>
            <w:r w:rsidR="0012298F" w:rsidRPr="0012298F">
              <w:rPr>
                <w:rFonts w:cs="Arial"/>
              </w:rPr>
              <w:t>Appendix A</w:t>
            </w:r>
            <w:r w:rsidRPr="00B646CC">
              <w:rPr>
                <w:rFonts w:cs="Arial"/>
              </w:rPr>
              <w:t xml:space="preserve">, Table </w:t>
            </w:r>
            <w:hyperlink r:id="rId116" w:anchor="Table_Number_11.01.1:_Delivery" w:history="1">
              <w:r w:rsidRPr="00B646CC">
                <w:rPr>
                  <w:rStyle w:val="Hyperlink"/>
                  <w:rFonts w:cs="Arial"/>
                </w:rPr>
                <w:t>11.01.1</w:t>
              </w:r>
            </w:hyperlink>
            <w:r w:rsidRPr="00B646CC">
              <w:rPr>
                <w:rFonts w:cs="Arial"/>
              </w:rPr>
              <w:t>.</w:t>
            </w:r>
          </w:p>
          <w:p w14:paraId="02CFA067" w14:textId="77777777" w:rsidR="00892982" w:rsidRPr="00B646CC" w:rsidRDefault="00892982" w:rsidP="00ED58C1">
            <w:pPr>
              <w:pStyle w:val="ListParagraph"/>
              <w:numPr>
                <w:ilvl w:val="0"/>
                <w:numId w:val="39"/>
              </w:numPr>
              <w:autoSpaceDE w:val="0"/>
              <w:autoSpaceDN w:val="0"/>
              <w:adjustRightInd w:val="0"/>
              <w:spacing w:before="200" w:after="200"/>
              <w:rPr>
                <w:rFonts w:cs="Arial"/>
              </w:rPr>
            </w:pPr>
            <w:r w:rsidRPr="00B646CC">
              <w:rPr>
                <w:rFonts w:cs="Arial"/>
              </w:rPr>
              <w:t>Nulliparous patients with</w:t>
            </w:r>
            <w:r w:rsidRPr="00B646CC">
              <w:rPr>
                <w:rStyle w:val="apple-converted-space"/>
                <w:rFonts w:cs="Arial"/>
              </w:rPr>
              <w:t> </w:t>
            </w:r>
            <w:r w:rsidRPr="00B646CC">
              <w:rPr>
                <w:rStyle w:val="Emphasis"/>
                <w:rFonts w:cs="Arial"/>
              </w:rPr>
              <w:t xml:space="preserve">ICD-10-CM Principal Diagnosis Code or ICD-10-CM Other Diagnosis Codes </w:t>
            </w:r>
            <w:r w:rsidRPr="00B646CC">
              <w:rPr>
                <w:rFonts w:cs="Arial"/>
              </w:rPr>
              <w:t xml:space="preserve">for outcome of delivery as defined in Appendix A, Table </w:t>
            </w:r>
            <w:hyperlink r:id="rId117" w:anchor="Table_Number_11.08:_Outcome_of_Delivery" w:history="1">
              <w:r w:rsidRPr="00B646CC">
                <w:rPr>
                  <w:rStyle w:val="Hyperlink"/>
                  <w:rFonts w:cs="Arial"/>
                </w:rPr>
                <w:t>11.08</w:t>
              </w:r>
            </w:hyperlink>
            <w:r w:rsidRPr="00B646CC">
              <w:rPr>
                <w:rStyle w:val="Hyperlink"/>
                <w:rFonts w:cs="Arial"/>
              </w:rPr>
              <w:t>,</w:t>
            </w:r>
            <w:r w:rsidRPr="00B646CC">
              <w:rPr>
                <w:rFonts w:cs="Arial"/>
              </w:rPr>
              <w:t xml:space="preserve"> and with a delivery of a newborn with 37 weeks or more of gestation completed. </w:t>
            </w:r>
          </w:p>
          <w:p w14:paraId="72494B35" w14:textId="77777777" w:rsidR="00892982" w:rsidRPr="00B646CC" w:rsidRDefault="00892982" w:rsidP="002A1A1A">
            <w:pPr>
              <w:autoSpaceDE w:val="0"/>
              <w:autoSpaceDN w:val="0"/>
              <w:adjustRightInd w:val="0"/>
              <w:rPr>
                <w:rFonts w:cs="Arial"/>
                <w:b/>
              </w:rPr>
            </w:pPr>
            <w:r w:rsidRPr="00B646CC">
              <w:rPr>
                <w:rFonts w:cs="Arial"/>
                <w:b/>
              </w:rPr>
              <w:t xml:space="preserve">Excluded Populations: </w:t>
            </w:r>
          </w:p>
          <w:p w14:paraId="00D72E84" w14:textId="77777777" w:rsidR="00892982" w:rsidRDefault="00892982" w:rsidP="00ED58C1">
            <w:pPr>
              <w:pStyle w:val="ListParagraph"/>
              <w:numPr>
                <w:ilvl w:val="0"/>
                <w:numId w:val="39"/>
              </w:numPr>
              <w:autoSpaceDE w:val="0"/>
              <w:autoSpaceDN w:val="0"/>
              <w:adjustRightInd w:val="0"/>
              <w:rPr>
                <w:rFonts w:cs="Arial"/>
              </w:rPr>
            </w:pPr>
            <w:r w:rsidRPr="00B646CC">
              <w:rPr>
                <w:rStyle w:val="Emphasis"/>
                <w:rFonts w:cs="Arial"/>
              </w:rPr>
              <w:t>ICD-10-CM Principal Diagnosis Code or ICD-10-CM Other Diagnosis Codes</w:t>
            </w:r>
            <w:r w:rsidRPr="00B646CC">
              <w:rPr>
                <w:rFonts w:cs="Arial"/>
              </w:rPr>
              <w:t xml:space="preserve"> for multiple gestations and other presentations as defined in Appendix A, Table </w:t>
            </w:r>
            <w:hyperlink r:id="rId118" w:anchor="Table_Number_11.09:_Multiple_Gestations_and_Other_Presentations" w:history="1">
              <w:r w:rsidRPr="00B646CC">
                <w:rPr>
                  <w:rStyle w:val="Hyperlink"/>
                  <w:rFonts w:cs="Arial"/>
                </w:rPr>
                <w:t>11.09</w:t>
              </w:r>
            </w:hyperlink>
            <w:r w:rsidRPr="00B646CC">
              <w:rPr>
                <w:rFonts w:cs="Arial"/>
              </w:rPr>
              <w:t xml:space="preserve"> </w:t>
            </w:r>
          </w:p>
          <w:p w14:paraId="5A20248A" w14:textId="77777777" w:rsidR="00D2735B" w:rsidRDefault="00892982" w:rsidP="00ED58C1">
            <w:pPr>
              <w:pStyle w:val="ListParagraph"/>
              <w:numPr>
                <w:ilvl w:val="0"/>
                <w:numId w:val="39"/>
              </w:numPr>
              <w:autoSpaceDE w:val="0"/>
              <w:autoSpaceDN w:val="0"/>
              <w:adjustRightInd w:val="0"/>
              <w:rPr>
                <w:rFonts w:cs="Arial"/>
              </w:rPr>
            </w:pPr>
            <w:r w:rsidRPr="00B646CC">
              <w:rPr>
                <w:rFonts w:cs="Arial"/>
              </w:rPr>
              <w:t>Less than 8 years of age</w:t>
            </w:r>
          </w:p>
          <w:p w14:paraId="1E26B0E1" w14:textId="77777777" w:rsidR="00892982" w:rsidRDefault="00D2735B" w:rsidP="00ED58C1">
            <w:pPr>
              <w:pStyle w:val="ListParagraph"/>
              <w:numPr>
                <w:ilvl w:val="0"/>
                <w:numId w:val="39"/>
              </w:numPr>
              <w:autoSpaceDE w:val="0"/>
              <w:autoSpaceDN w:val="0"/>
              <w:adjustRightInd w:val="0"/>
              <w:rPr>
                <w:rFonts w:cs="Arial"/>
              </w:rPr>
            </w:pPr>
            <w:r>
              <w:rPr>
                <w:rFonts w:cs="Arial"/>
              </w:rPr>
              <w:t>G</w:t>
            </w:r>
            <w:r w:rsidR="00892982" w:rsidRPr="00B646CC">
              <w:rPr>
                <w:rFonts w:cs="Arial"/>
              </w:rPr>
              <w:t>reater than or equal to 65 years of age</w:t>
            </w:r>
          </w:p>
          <w:p w14:paraId="4D5C7883" w14:textId="77777777" w:rsidR="00892982" w:rsidRDefault="00892982" w:rsidP="00ED58C1">
            <w:pPr>
              <w:pStyle w:val="ListParagraph"/>
              <w:numPr>
                <w:ilvl w:val="0"/>
                <w:numId w:val="39"/>
              </w:numPr>
              <w:autoSpaceDE w:val="0"/>
              <w:autoSpaceDN w:val="0"/>
              <w:adjustRightInd w:val="0"/>
              <w:rPr>
                <w:rFonts w:cs="Arial"/>
              </w:rPr>
            </w:pPr>
            <w:r w:rsidRPr="00B646CC">
              <w:rPr>
                <w:rFonts w:cs="Arial"/>
              </w:rPr>
              <w:t>Length of stay &gt;120 days</w:t>
            </w:r>
          </w:p>
          <w:p w14:paraId="6F880C15" w14:textId="77777777" w:rsidR="00892982" w:rsidRDefault="00892982" w:rsidP="00ED58C1">
            <w:pPr>
              <w:pStyle w:val="ListParagraph"/>
              <w:numPr>
                <w:ilvl w:val="0"/>
                <w:numId w:val="39"/>
              </w:numPr>
              <w:autoSpaceDE w:val="0"/>
              <w:autoSpaceDN w:val="0"/>
              <w:adjustRightInd w:val="0"/>
              <w:rPr>
                <w:rFonts w:cs="Arial"/>
              </w:rPr>
            </w:pPr>
            <w:r w:rsidRPr="002464D6">
              <w:rPr>
                <w:rFonts w:cs="Arial"/>
              </w:rPr>
              <w:lastRenderedPageBreak/>
              <w:t>Enrolled in clinical trials</w:t>
            </w:r>
          </w:p>
          <w:p w14:paraId="5144814E" w14:textId="77777777" w:rsidR="00892982" w:rsidRPr="002464D6" w:rsidRDefault="00E9134C" w:rsidP="00ED58C1">
            <w:pPr>
              <w:pStyle w:val="ListParagraph"/>
              <w:numPr>
                <w:ilvl w:val="0"/>
                <w:numId w:val="39"/>
              </w:numPr>
              <w:autoSpaceDE w:val="0"/>
              <w:autoSpaceDN w:val="0"/>
              <w:adjustRightInd w:val="0"/>
              <w:rPr>
                <w:rFonts w:cs="Arial"/>
              </w:rPr>
            </w:pPr>
            <w:hyperlink r:id="rId119" w:history="1">
              <w:r w:rsidR="00892982" w:rsidRPr="002464D6">
                <w:rPr>
                  <w:rStyle w:val="Hyperlink"/>
                  <w:rFonts w:cs="Arial"/>
                  <w:i/>
                </w:rPr>
                <w:t>Gestational Age </w:t>
              </w:r>
            </w:hyperlink>
            <w:r w:rsidR="00892982" w:rsidRPr="002464D6">
              <w:rPr>
                <w:rFonts w:cs="Arial"/>
              </w:rPr>
              <w:t>&lt; 37 weeks</w:t>
            </w:r>
            <w:r w:rsidR="00892982" w:rsidRPr="002464D6">
              <w:rPr>
                <w:rFonts w:cs="Arial"/>
                <w:i/>
              </w:rPr>
              <w:t xml:space="preserve"> </w:t>
            </w:r>
            <w:r w:rsidR="00892982" w:rsidRPr="002464D6">
              <w:rPr>
                <w:rFonts w:cs="Arial"/>
              </w:rPr>
              <w:t>or UTD</w:t>
            </w:r>
          </w:p>
          <w:p w14:paraId="4C217AF5" w14:textId="77777777" w:rsidR="00892982" w:rsidRDefault="00892982" w:rsidP="00401185">
            <w:pPr>
              <w:autoSpaceDE w:val="0"/>
              <w:autoSpaceDN w:val="0"/>
              <w:adjustRightInd w:val="0"/>
              <w:rPr>
                <w:rFonts w:cs="Arial"/>
                <w:b/>
                <w:i/>
              </w:rPr>
            </w:pPr>
          </w:p>
          <w:p w14:paraId="3B76D8E1" w14:textId="77777777" w:rsidR="00892982" w:rsidRPr="007802DE" w:rsidRDefault="00892982" w:rsidP="00401185">
            <w:pPr>
              <w:autoSpaceDE w:val="0"/>
              <w:autoSpaceDN w:val="0"/>
              <w:adjustRightInd w:val="0"/>
              <w:rPr>
                <w:rStyle w:val="Emphasis"/>
                <w:rFonts w:cs="Arial"/>
                <w:bCs/>
                <w:i w:val="0"/>
              </w:rPr>
            </w:pPr>
            <w:r w:rsidRPr="007C045C">
              <w:rPr>
                <w:rFonts w:cs="Arial"/>
                <w:b/>
                <w:bCs/>
              </w:rPr>
              <w:t>Data Elements:</w:t>
            </w:r>
            <w:r>
              <w:rPr>
                <w:rFonts w:cs="Arial"/>
                <w:b/>
                <w:bCs/>
              </w:rPr>
              <w:t xml:space="preserve"> </w:t>
            </w:r>
            <w:r>
              <w:rPr>
                <w:rFonts w:cs="Arial"/>
                <w:bCs/>
              </w:rPr>
              <w:t xml:space="preserve">Visit </w:t>
            </w:r>
            <w:hyperlink r:id="rId120" w:history="1">
              <w:r w:rsidRPr="00E85B55">
                <w:rPr>
                  <w:rStyle w:val="Hyperlink"/>
                  <w:rFonts w:cs="Arial"/>
                </w:rPr>
                <w:t>https://manual.jointcommission.org/releases/TJC2015B2/MIF0167.html</w:t>
              </w:r>
            </w:hyperlink>
            <w:r>
              <w:rPr>
                <w:rFonts w:cs="Arial"/>
              </w:rPr>
              <w:t xml:space="preserve">. </w:t>
            </w:r>
          </w:p>
          <w:p w14:paraId="596AFB57" w14:textId="77777777" w:rsidR="00892982" w:rsidRDefault="00892982" w:rsidP="00401185">
            <w:pPr>
              <w:autoSpaceDE w:val="0"/>
              <w:autoSpaceDN w:val="0"/>
              <w:adjustRightInd w:val="0"/>
              <w:rPr>
                <w:rFonts w:cs="Arial"/>
                <w:b/>
                <w:i/>
              </w:rPr>
            </w:pPr>
          </w:p>
          <w:p w14:paraId="78391D02" w14:textId="77777777" w:rsidR="00892982" w:rsidRDefault="00892982" w:rsidP="00401185">
            <w:pPr>
              <w:rPr>
                <w:rFonts w:cs="Arial"/>
                <w:b/>
                <w:bCs/>
              </w:rPr>
            </w:pPr>
            <w:r w:rsidRPr="007C045C">
              <w:rPr>
                <w:rFonts w:cs="Arial"/>
                <w:b/>
                <w:i/>
              </w:rPr>
              <w:t xml:space="preserve">If fewer than </w:t>
            </w:r>
            <w:r w:rsidRPr="007C045C">
              <w:rPr>
                <w:rFonts w:cs="Arial"/>
                <w:b/>
                <w:i/>
                <w:lang w:eastAsia="ja-JP"/>
              </w:rPr>
              <w:t>10</w:t>
            </w:r>
            <w:r w:rsidRPr="007C045C">
              <w:rPr>
                <w:rFonts w:cs="Arial"/>
                <w:b/>
                <w:i/>
              </w:rPr>
              <w:t xml:space="preserve"> cases during the reporting period, skip the next question.</w:t>
            </w:r>
            <w:r>
              <w:rPr>
                <w:rFonts w:cs="Arial"/>
                <w:b/>
                <w:i/>
              </w:rPr>
              <w:br/>
            </w:r>
          </w:p>
        </w:tc>
      </w:tr>
      <w:tr w:rsidR="00892982" w:rsidRPr="00B56EB8" w14:paraId="296F7707" w14:textId="77777777" w:rsidTr="00DA33AB">
        <w:trPr>
          <w:jc w:val="center"/>
        </w:trPr>
        <w:tc>
          <w:tcPr>
            <w:tcW w:w="4945" w:type="dxa"/>
          </w:tcPr>
          <w:p w14:paraId="1718850B" w14:textId="77777777" w:rsidR="00892982" w:rsidRDefault="00892982" w:rsidP="00401185">
            <w:pPr>
              <w:rPr>
                <w:rFonts w:cs="Arial"/>
                <w:b/>
                <w:shd w:val="clear" w:color="auto" w:fill="FFFFFF"/>
              </w:rPr>
            </w:pPr>
            <w:r w:rsidRPr="007D5250">
              <w:rPr>
                <w:rStyle w:val="Strong"/>
                <w:rFonts w:cs="Arial"/>
                <w:shd w:val="clear" w:color="auto" w:fill="FFFFFF"/>
              </w:rPr>
              <w:lastRenderedPageBreak/>
              <w:t>Q</w:t>
            </w:r>
            <w:r>
              <w:rPr>
                <w:rStyle w:val="Strong"/>
                <w:rFonts w:cs="Arial"/>
                <w:shd w:val="clear" w:color="auto" w:fill="FFFFFF"/>
              </w:rPr>
              <w:t xml:space="preserve">uestion 3 (numerator): </w:t>
            </w:r>
            <w:r w:rsidRPr="007D5250">
              <w:rPr>
                <w:rFonts w:cs="Arial"/>
                <w:shd w:val="clear" w:color="auto" w:fill="FFFFFF"/>
              </w:rPr>
              <w:t xml:space="preserve">Patients in the denominator with cesarean sections. </w:t>
            </w:r>
          </w:p>
          <w:p w14:paraId="22B4B44A" w14:textId="77777777" w:rsidR="00892982" w:rsidRDefault="00892982" w:rsidP="00401185">
            <w:pPr>
              <w:rPr>
                <w:rFonts w:cs="Arial"/>
                <w:b/>
                <w:shd w:val="clear" w:color="auto" w:fill="FFFFFF"/>
              </w:rPr>
            </w:pPr>
          </w:p>
          <w:p w14:paraId="097544B1" w14:textId="77777777" w:rsidR="00DF3C7D" w:rsidRDefault="00892982" w:rsidP="00401185">
            <w:pPr>
              <w:rPr>
                <w:rStyle w:val="apple-converted-space"/>
                <w:rFonts w:cs="Arial"/>
                <w:shd w:val="clear" w:color="auto" w:fill="FFFFFF"/>
              </w:rPr>
            </w:pPr>
            <w:r w:rsidRPr="00E803E1">
              <w:rPr>
                <w:rStyle w:val="Strong"/>
                <w:rFonts w:cs="Arial"/>
                <w:bdr w:val="none" w:sz="0" w:space="0" w:color="auto" w:frame="1"/>
                <w:shd w:val="clear" w:color="auto" w:fill="FFFFFF"/>
              </w:rPr>
              <w:t>Included Populations:</w:t>
            </w:r>
            <w:r w:rsidRPr="00E803E1">
              <w:rPr>
                <w:rStyle w:val="apple-converted-space"/>
                <w:rFonts w:cs="Arial"/>
                <w:shd w:val="clear" w:color="auto" w:fill="FFFFFF"/>
              </w:rPr>
              <w:t> </w:t>
            </w:r>
          </w:p>
          <w:p w14:paraId="72D8EA8D" w14:textId="77777777" w:rsidR="00892982" w:rsidRPr="000B0143" w:rsidRDefault="00892982" w:rsidP="00401185">
            <w:pPr>
              <w:rPr>
                <w:rFonts w:cs="Arial"/>
                <w:b/>
                <w:shd w:val="clear" w:color="auto" w:fill="FFFFFF"/>
              </w:rPr>
            </w:pPr>
            <w:r w:rsidRPr="00E803E1">
              <w:rPr>
                <w:rStyle w:val="Emphasis"/>
                <w:rFonts w:cs="Arial"/>
                <w:bdr w:val="none" w:sz="0" w:space="0" w:color="auto" w:frame="1"/>
                <w:shd w:val="clear" w:color="auto" w:fill="FFFFFF"/>
              </w:rPr>
              <w:t>ICD-9-CM Principal Procedure Code or ICD-9-CM Other Procedure Codes</w:t>
            </w:r>
            <w:r w:rsidRPr="00E803E1">
              <w:rPr>
                <w:rStyle w:val="apple-converted-space"/>
                <w:rFonts w:cs="Arial"/>
                <w:shd w:val="clear" w:color="auto" w:fill="FFFFFF"/>
              </w:rPr>
              <w:t> </w:t>
            </w:r>
            <w:r w:rsidRPr="00E803E1">
              <w:rPr>
                <w:rFonts w:cs="Arial"/>
                <w:shd w:val="clear" w:color="auto" w:fill="FFFFFF"/>
              </w:rPr>
              <w:t>for cesarean section as defined in</w:t>
            </w:r>
            <w:r w:rsidR="00B12EC9">
              <w:rPr>
                <w:rFonts w:cs="Arial"/>
                <w:shd w:val="clear" w:color="auto" w:fill="FFFFFF"/>
              </w:rPr>
              <w:t xml:space="preserve"> Appendix A, Table</w:t>
            </w:r>
            <w:r w:rsidRPr="00E803E1">
              <w:rPr>
                <w:rFonts w:cs="Arial"/>
                <w:shd w:val="clear" w:color="auto" w:fill="FFFFFF"/>
              </w:rPr>
              <w:t xml:space="preserve"> </w:t>
            </w:r>
            <w:hyperlink r:id="rId121" w:anchor="Table_Number_11.06:_Cesarean_Section" w:history="1">
              <w:r w:rsidR="00B12EC9">
                <w:rPr>
                  <w:rStyle w:val="Hyperlink"/>
                  <w:rFonts w:cs="Arial"/>
                  <w:shd w:val="clear" w:color="auto" w:fill="FFFFFF"/>
                </w:rPr>
                <w:t>11.06</w:t>
              </w:r>
            </w:hyperlink>
          </w:p>
          <w:p w14:paraId="06AB2288" w14:textId="77777777" w:rsidR="00892982" w:rsidRDefault="00892982" w:rsidP="00401185">
            <w:pPr>
              <w:rPr>
                <w:rStyle w:val="Strong"/>
                <w:rFonts w:cs="Arial"/>
                <w:bdr w:val="none" w:sz="0" w:space="0" w:color="auto" w:frame="1"/>
                <w:shd w:val="clear" w:color="auto" w:fill="FFFFFF"/>
              </w:rPr>
            </w:pPr>
          </w:p>
          <w:p w14:paraId="6E585FE5" w14:textId="77777777" w:rsidR="00892982" w:rsidRPr="00E803E1" w:rsidRDefault="00892982" w:rsidP="00401185">
            <w:r w:rsidRPr="00E803E1">
              <w:rPr>
                <w:rStyle w:val="Strong"/>
                <w:rFonts w:cs="Arial"/>
                <w:bdr w:val="none" w:sz="0" w:space="0" w:color="auto" w:frame="1"/>
                <w:shd w:val="clear" w:color="auto" w:fill="FFFFFF"/>
              </w:rPr>
              <w:t>Excluded Populations:</w:t>
            </w:r>
            <w:r w:rsidRPr="00E803E1">
              <w:rPr>
                <w:rStyle w:val="apple-converted-space"/>
                <w:rFonts w:cs="Arial"/>
                <w:shd w:val="clear" w:color="auto" w:fill="FFFFFF"/>
              </w:rPr>
              <w:t> </w:t>
            </w:r>
            <w:r w:rsidRPr="00E803E1">
              <w:rPr>
                <w:rFonts w:cs="Arial"/>
                <w:shd w:val="clear" w:color="auto" w:fill="FFFFFF"/>
              </w:rPr>
              <w:t>None</w:t>
            </w:r>
          </w:p>
          <w:p w14:paraId="4F63BFA3" w14:textId="77777777" w:rsidR="00892982" w:rsidRDefault="00892982" w:rsidP="00401185">
            <w:pPr>
              <w:rPr>
                <w:rStyle w:val="Strong"/>
                <w:rFonts w:cs="Arial"/>
                <w:bdr w:val="none" w:sz="0" w:space="0" w:color="auto" w:frame="1"/>
                <w:shd w:val="clear" w:color="auto" w:fill="FFFFFF"/>
              </w:rPr>
            </w:pPr>
          </w:p>
          <w:p w14:paraId="40BBBC56" w14:textId="77777777" w:rsidR="00892982" w:rsidRDefault="00892982" w:rsidP="00401185">
            <w:r w:rsidRPr="00E803E1">
              <w:rPr>
                <w:rStyle w:val="Strong"/>
                <w:rFonts w:cs="Arial"/>
                <w:bdr w:val="none" w:sz="0" w:space="0" w:color="auto" w:frame="1"/>
                <w:shd w:val="clear" w:color="auto" w:fill="FFFFFF"/>
              </w:rPr>
              <w:t>Data Elements:</w:t>
            </w:r>
            <w:r>
              <w:t xml:space="preserve"> Visit </w:t>
            </w:r>
            <w:hyperlink r:id="rId122" w:history="1">
              <w:r w:rsidRPr="00E85B55">
                <w:rPr>
                  <w:rStyle w:val="Hyperlink"/>
                </w:rPr>
                <w:t>https://manual.jointcommission.org/releases/TJC2015A1/MIF0167.html</w:t>
              </w:r>
            </w:hyperlink>
            <w:r>
              <w:t xml:space="preserve">. </w:t>
            </w:r>
          </w:p>
          <w:p w14:paraId="7D350D33" w14:textId="77777777" w:rsidR="00892982" w:rsidRPr="00DA74F8" w:rsidRDefault="00892982" w:rsidP="00401185"/>
        </w:tc>
        <w:tc>
          <w:tcPr>
            <w:tcW w:w="5049" w:type="dxa"/>
          </w:tcPr>
          <w:p w14:paraId="7748552F" w14:textId="77777777" w:rsidR="00892982" w:rsidRDefault="00892982" w:rsidP="00401185">
            <w:pPr>
              <w:rPr>
                <w:rStyle w:val="Strong"/>
                <w:rFonts w:cs="Arial"/>
                <w:bCs/>
                <w:shd w:val="clear" w:color="auto" w:fill="FFFFFF"/>
              </w:rPr>
            </w:pPr>
            <w:r w:rsidRPr="007C045C">
              <w:rPr>
                <w:rStyle w:val="Strong"/>
                <w:rFonts w:cs="Arial"/>
                <w:shd w:val="clear" w:color="auto" w:fill="FFFFFF"/>
              </w:rPr>
              <w:t xml:space="preserve">Question 3 (numerator): </w:t>
            </w:r>
            <w:r w:rsidRPr="007C045C">
              <w:rPr>
                <w:rFonts w:cs="Arial"/>
                <w:shd w:val="clear" w:color="auto" w:fill="FFFFFF"/>
              </w:rPr>
              <w:t xml:space="preserve">Patients in the denominator with cesarean births. </w:t>
            </w:r>
          </w:p>
          <w:p w14:paraId="2CF8EF6D" w14:textId="77777777" w:rsidR="00892982" w:rsidRDefault="00892982" w:rsidP="00401185">
            <w:pPr>
              <w:rPr>
                <w:rStyle w:val="Strong"/>
                <w:rFonts w:cs="Arial"/>
                <w:bCs/>
                <w:shd w:val="clear" w:color="auto" w:fill="FFFFFF"/>
              </w:rPr>
            </w:pPr>
          </w:p>
          <w:p w14:paraId="6505EC1B" w14:textId="77777777" w:rsidR="00892982" w:rsidRPr="000B0143" w:rsidRDefault="00892982" w:rsidP="00401185">
            <w:pPr>
              <w:rPr>
                <w:rStyle w:val="apple-converted-space"/>
                <w:rFonts w:cs="Arial"/>
                <w:b/>
                <w:bCs/>
                <w:shd w:val="clear" w:color="auto" w:fill="FFFFFF"/>
              </w:rPr>
            </w:pPr>
            <w:r w:rsidRPr="007C045C">
              <w:rPr>
                <w:rStyle w:val="Strong"/>
                <w:rFonts w:cs="Arial"/>
              </w:rPr>
              <w:t>Included Populations:</w:t>
            </w:r>
            <w:r w:rsidRPr="007C045C">
              <w:rPr>
                <w:rStyle w:val="apple-converted-space"/>
                <w:rFonts w:cs="Arial"/>
              </w:rPr>
              <w:t> </w:t>
            </w:r>
          </w:p>
          <w:p w14:paraId="2F3FBAE6" w14:textId="77777777" w:rsidR="00892982" w:rsidRPr="007C045C" w:rsidRDefault="00892982" w:rsidP="002A1A1A">
            <w:pPr>
              <w:shd w:val="clear" w:color="auto" w:fill="FFFFFF"/>
              <w:rPr>
                <w:rFonts w:cs="Arial"/>
              </w:rPr>
            </w:pPr>
            <w:r w:rsidRPr="007C045C">
              <w:rPr>
                <w:rStyle w:val="Emphasis"/>
                <w:rFonts w:cs="Arial"/>
              </w:rPr>
              <w:t>ICD-10-PCS Principal Procedure Code or ICD-10-PCS Other Procedure Codes</w:t>
            </w:r>
            <w:r w:rsidRPr="007C045C">
              <w:rPr>
                <w:rStyle w:val="apple-converted-space"/>
                <w:rFonts w:cs="Arial"/>
              </w:rPr>
              <w:t> </w:t>
            </w:r>
            <w:r w:rsidRPr="007C045C">
              <w:rPr>
                <w:rFonts w:cs="Arial"/>
              </w:rPr>
              <w:t xml:space="preserve">for cesarean birth as defined in Appendix A, Table </w:t>
            </w:r>
            <w:hyperlink r:id="rId123" w:anchor="Table_Number_11.06:_Cesarean_Birth" w:history="1">
              <w:r w:rsidRPr="007C045C">
                <w:rPr>
                  <w:rStyle w:val="Hyperlink"/>
                  <w:rFonts w:cs="Arial"/>
                </w:rPr>
                <w:t>11.06</w:t>
              </w:r>
            </w:hyperlink>
            <w:r w:rsidRPr="007C045C">
              <w:rPr>
                <w:rFonts w:cs="Arial"/>
              </w:rPr>
              <w:t xml:space="preserve"> </w:t>
            </w:r>
          </w:p>
          <w:p w14:paraId="3AF1E365" w14:textId="77777777" w:rsidR="00892982" w:rsidRDefault="00892982" w:rsidP="002A1A1A">
            <w:pPr>
              <w:pStyle w:val="NormalWeb"/>
              <w:shd w:val="clear" w:color="auto" w:fill="FFFFFF"/>
              <w:spacing w:before="0" w:beforeAutospacing="0" w:after="0" w:afterAutospacing="0"/>
              <w:rPr>
                <w:rStyle w:val="Strong"/>
                <w:rFonts w:ascii="Arial" w:hAnsi="Arial" w:cs="Arial"/>
                <w:sz w:val="20"/>
                <w:szCs w:val="20"/>
              </w:rPr>
            </w:pPr>
          </w:p>
          <w:p w14:paraId="6CAD6B5C" w14:textId="77777777" w:rsidR="00892982" w:rsidRPr="007C045C" w:rsidRDefault="00892982" w:rsidP="002A1A1A">
            <w:pPr>
              <w:pStyle w:val="NormalWeb"/>
              <w:shd w:val="clear" w:color="auto" w:fill="FFFFFF"/>
              <w:spacing w:before="0" w:beforeAutospacing="0" w:after="0" w:afterAutospacing="0"/>
              <w:rPr>
                <w:rFonts w:ascii="Arial" w:hAnsi="Arial" w:cs="Arial"/>
                <w:sz w:val="20"/>
                <w:szCs w:val="20"/>
              </w:rPr>
            </w:pPr>
            <w:r w:rsidRPr="007C045C">
              <w:rPr>
                <w:rStyle w:val="Strong"/>
                <w:rFonts w:ascii="Arial" w:hAnsi="Arial" w:cs="Arial"/>
                <w:sz w:val="20"/>
                <w:szCs w:val="20"/>
              </w:rPr>
              <w:t>Excluded Populations:</w:t>
            </w:r>
            <w:r w:rsidRPr="007C045C">
              <w:rPr>
                <w:rStyle w:val="apple-converted-space"/>
                <w:rFonts w:ascii="Arial" w:hAnsi="Arial" w:cs="Arial"/>
                <w:sz w:val="20"/>
                <w:szCs w:val="20"/>
              </w:rPr>
              <w:t> </w:t>
            </w:r>
            <w:r w:rsidRPr="007C045C">
              <w:rPr>
                <w:rFonts w:ascii="Arial" w:hAnsi="Arial" w:cs="Arial"/>
                <w:sz w:val="20"/>
                <w:szCs w:val="20"/>
              </w:rPr>
              <w:t>None</w:t>
            </w:r>
          </w:p>
          <w:p w14:paraId="53FCA82C" w14:textId="77777777" w:rsidR="00892982" w:rsidRPr="007C045C" w:rsidRDefault="00892982" w:rsidP="002A1A1A">
            <w:pPr>
              <w:pStyle w:val="NormalWeb"/>
              <w:shd w:val="clear" w:color="auto" w:fill="FFFFFF"/>
              <w:spacing w:before="0" w:beforeAutospacing="0" w:after="0" w:afterAutospacing="0"/>
              <w:rPr>
                <w:rFonts w:ascii="Arial" w:hAnsi="Arial" w:cs="Arial"/>
                <w:sz w:val="20"/>
                <w:szCs w:val="20"/>
              </w:rPr>
            </w:pPr>
          </w:p>
          <w:p w14:paraId="1ECC94A6" w14:textId="77777777" w:rsidR="00892982" w:rsidRPr="007D5250" w:rsidRDefault="00892982" w:rsidP="00401185">
            <w:pPr>
              <w:rPr>
                <w:rStyle w:val="Strong"/>
                <w:rFonts w:cs="Arial"/>
                <w:shd w:val="clear" w:color="auto" w:fill="FFFFFF"/>
              </w:rPr>
            </w:pPr>
            <w:r w:rsidRPr="007C045C">
              <w:rPr>
                <w:rFonts w:cs="Arial"/>
                <w:b/>
                <w:bCs/>
              </w:rPr>
              <w:t>Data Elements</w:t>
            </w:r>
            <w:r>
              <w:rPr>
                <w:rFonts w:cs="Arial"/>
                <w:b/>
                <w:bCs/>
              </w:rPr>
              <w:t xml:space="preserve">: </w:t>
            </w:r>
            <w:r w:rsidRPr="007802DE">
              <w:rPr>
                <w:rFonts w:cs="Arial"/>
                <w:bCs/>
              </w:rPr>
              <w:t>Visit</w:t>
            </w:r>
            <w:r w:rsidRPr="007802DE">
              <w:rPr>
                <w:rFonts w:cs="Arial"/>
                <w:b/>
                <w:bCs/>
              </w:rPr>
              <w:t xml:space="preserve"> </w:t>
            </w:r>
            <w:hyperlink r:id="rId124" w:history="1">
              <w:r w:rsidRPr="007802DE">
                <w:rPr>
                  <w:rStyle w:val="Hyperlink"/>
                  <w:rFonts w:cs="Arial"/>
                </w:rPr>
                <w:t>https://manual.jointcommission.org/releases/TJC2015B2/MIF0167.html</w:t>
              </w:r>
            </w:hyperlink>
            <w:r w:rsidRPr="007802DE">
              <w:rPr>
                <w:rFonts w:cs="Arial"/>
              </w:rPr>
              <w:t>.</w:t>
            </w:r>
          </w:p>
        </w:tc>
      </w:tr>
    </w:tbl>
    <w:p w14:paraId="18F99D50" w14:textId="77777777" w:rsidR="00E21246" w:rsidRPr="00C632C5" w:rsidRDefault="00E21246" w:rsidP="00E21246">
      <w:pPr>
        <w:pStyle w:val="BodyText"/>
        <w:rPr>
          <w:rFonts w:cs="Arial"/>
          <w:i w:val="0"/>
        </w:rPr>
      </w:pPr>
      <w:bookmarkStart w:id="182" w:name="_Toc383775046"/>
    </w:p>
    <w:p w14:paraId="3B14D710" w14:textId="77777777" w:rsidR="006E50EF" w:rsidRPr="00CF1281" w:rsidRDefault="006E50EF" w:rsidP="00234804">
      <w:pPr>
        <w:pStyle w:val="Heading3"/>
      </w:pPr>
      <w:bookmarkStart w:id="183" w:name="_Episiotomy"/>
      <w:bookmarkStart w:id="184" w:name="_Toc447195024"/>
      <w:bookmarkStart w:id="185" w:name="EpiSpecs"/>
      <w:bookmarkEnd w:id="183"/>
      <w:r w:rsidRPr="005B7CB8">
        <w:t>Episiotomy</w:t>
      </w:r>
      <w:bookmarkEnd w:id="182"/>
      <w:bookmarkEnd w:id="184"/>
    </w:p>
    <w:bookmarkEnd w:id="185"/>
    <w:p w14:paraId="298B41DA" w14:textId="77777777" w:rsidR="006E50EF" w:rsidRDefault="006E50EF"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59"/>
      </w:tblGrid>
      <w:tr w:rsidR="00C64E9F" w:rsidRPr="0076462C" w14:paraId="5AFC0AE6" w14:textId="77777777" w:rsidTr="00C33725">
        <w:trPr>
          <w:jc w:val="center"/>
        </w:trPr>
        <w:tc>
          <w:tcPr>
            <w:tcW w:w="5035" w:type="dxa"/>
            <w:shd w:val="clear" w:color="auto" w:fill="auto"/>
          </w:tcPr>
          <w:p w14:paraId="5E6A1525" w14:textId="77777777" w:rsidR="00C64E9F" w:rsidRPr="00B62006" w:rsidRDefault="00C64E9F" w:rsidP="00C64E9F">
            <w:pPr>
              <w:autoSpaceDE w:val="0"/>
              <w:autoSpaceDN w:val="0"/>
              <w:adjustRightInd w:val="0"/>
              <w:spacing w:after="120"/>
              <w:jc w:val="center"/>
              <w:rPr>
                <w:b/>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59" w:type="dxa"/>
            <w:shd w:val="clear" w:color="auto" w:fill="auto"/>
          </w:tcPr>
          <w:p w14:paraId="26BA1B30" w14:textId="77777777" w:rsidR="00C64E9F" w:rsidRDefault="00C64E9F"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4CB1C5BF" w14:textId="77777777" w:rsidR="00C64E9F" w:rsidRPr="00B62006" w:rsidRDefault="00C64E9F" w:rsidP="00C64E9F">
            <w:pPr>
              <w:autoSpaceDE w:val="0"/>
              <w:autoSpaceDN w:val="0"/>
              <w:adjustRightInd w:val="0"/>
              <w:spacing w:after="120"/>
              <w:jc w:val="center"/>
              <w:rPr>
                <w:b/>
              </w:rPr>
            </w:pPr>
          </w:p>
        </w:tc>
      </w:tr>
      <w:tr w:rsidR="00C64E9F" w:rsidRPr="0076462C" w14:paraId="7D051F6D" w14:textId="77777777" w:rsidTr="000469EC">
        <w:trPr>
          <w:jc w:val="center"/>
        </w:trPr>
        <w:tc>
          <w:tcPr>
            <w:tcW w:w="9994" w:type="dxa"/>
            <w:gridSpan w:val="2"/>
            <w:shd w:val="clear" w:color="auto" w:fill="CCCCCC"/>
          </w:tcPr>
          <w:p w14:paraId="123B0395" w14:textId="77777777" w:rsidR="00C64E9F" w:rsidRPr="00B62006" w:rsidRDefault="00C64E9F" w:rsidP="00C64E9F">
            <w:pPr>
              <w:autoSpaceDE w:val="0"/>
              <w:autoSpaceDN w:val="0"/>
              <w:adjustRightInd w:val="0"/>
              <w:spacing w:after="120"/>
              <w:rPr>
                <w:b/>
              </w:rPr>
            </w:pPr>
            <w:r w:rsidRPr="00B62006">
              <w:rPr>
                <w:b/>
              </w:rPr>
              <w:br w:type="page"/>
            </w:r>
            <w:r w:rsidRPr="00B62006">
              <w:rPr>
                <w:b/>
                <w:bCs/>
              </w:rPr>
              <w:t xml:space="preserve">Incidence of Episiotomy </w:t>
            </w:r>
            <w:r>
              <w:rPr>
                <w:b/>
                <w:bCs/>
              </w:rPr>
              <w:t>in Vaginal Deliveries</w:t>
            </w:r>
          </w:p>
        </w:tc>
      </w:tr>
      <w:tr w:rsidR="00C33725" w:rsidRPr="005F4371" w14:paraId="6134C483" w14:textId="77777777" w:rsidTr="00C33725">
        <w:trPr>
          <w:jc w:val="center"/>
        </w:trPr>
        <w:tc>
          <w:tcPr>
            <w:tcW w:w="5035" w:type="dxa"/>
          </w:tcPr>
          <w:p w14:paraId="4893908F" w14:textId="77777777" w:rsidR="00C33725" w:rsidRDefault="00C33725" w:rsidP="00C64E9F">
            <w:pPr>
              <w:autoSpaceDE w:val="0"/>
              <w:autoSpaceDN w:val="0"/>
              <w:adjustRightInd w:val="0"/>
            </w:pPr>
            <w:r w:rsidRPr="00B62006">
              <w:rPr>
                <w:b/>
              </w:rPr>
              <w:t xml:space="preserve">Source: </w:t>
            </w:r>
            <w:r w:rsidRPr="00766ED1">
              <w:t>National Quality Forum #0470</w:t>
            </w:r>
          </w:p>
          <w:p w14:paraId="601D9072" w14:textId="77777777" w:rsidR="00C33725" w:rsidRDefault="00C33725" w:rsidP="00C64E9F">
            <w:pPr>
              <w:autoSpaceDE w:val="0"/>
              <w:autoSpaceDN w:val="0"/>
              <w:adjustRightInd w:val="0"/>
            </w:pPr>
          </w:p>
          <w:p w14:paraId="693B3EBA" w14:textId="77777777" w:rsidR="00C33725" w:rsidRPr="006E0E0B" w:rsidRDefault="00C33725" w:rsidP="00C33725">
            <w:pPr>
              <w:autoSpaceDE w:val="0"/>
              <w:autoSpaceDN w:val="0"/>
              <w:adjustRightInd w:val="0"/>
              <w:rPr>
                <w:b/>
                <w:bCs/>
              </w:rPr>
            </w:pPr>
            <w:r w:rsidRPr="006E0E0B">
              <w:rPr>
                <w:b/>
                <w:bCs/>
              </w:rPr>
              <w:t>Reporting Time Period:</w:t>
            </w:r>
            <w:r>
              <w:rPr>
                <w:b/>
                <w:bCs/>
              </w:rPr>
              <w:t xml:space="preserve"> 9 months</w:t>
            </w:r>
          </w:p>
          <w:p w14:paraId="20E25331" w14:textId="77777777" w:rsidR="00C33725" w:rsidRPr="00B62006" w:rsidRDefault="00C33725" w:rsidP="00C33725">
            <w:pPr>
              <w:autoSpaceDE w:val="0"/>
              <w:autoSpaceDN w:val="0"/>
              <w:adjustRightInd w:val="0"/>
              <w:rPr>
                <w:b/>
              </w:rPr>
            </w:pPr>
            <w:r>
              <w:rPr>
                <w:bCs/>
              </w:rPr>
              <w:t>January 1, 2015 – September 30, 2015</w:t>
            </w:r>
          </w:p>
        </w:tc>
        <w:tc>
          <w:tcPr>
            <w:tcW w:w="4959" w:type="dxa"/>
          </w:tcPr>
          <w:p w14:paraId="259E4EAD" w14:textId="77777777" w:rsidR="00C33725" w:rsidRDefault="00C33725" w:rsidP="00C33725">
            <w:pPr>
              <w:autoSpaceDE w:val="0"/>
              <w:autoSpaceDN w:val="0"/>
              <w:adjustRightInd w:val="0"/>
            </w:pPr>
            <w:r w:rsidRPr="00B62006">
              <w:rPr>
                <w:b/>
              </w:rPr>
              <w:t xml:space="preserve">Source: </w:t>
            </w:r>
            <w:r w:rsidRPr="00766ED1">
              <w:t>National Quality Forum #0470</w:t>
            </w:r>
          </w:p>
          <w:p w14:paraId="453D0E73" w14:textId="77777777" w:rsidR="00C33725" w:rsidRDefault="00C33725" w:rsidP="00C33725">
            <w:pPr>
              <w:autoSpaceDE w:val="0"/>
              <w:autoSpaceDN w:val="0"/>
              <w:adjustRightInd w:val="0"/>
            </w:pPr>
          </w:p>
          <w:p w14:paraId="5260362E" w14:textId="77777777" w:rsidR="00C33725" w:rsidRPr="006E0E0B" w:rsidRDefault="00C33725" w:rsidP="00C33725">
            <w:pPr>
              <w:autoSpaceDE w:val="0"/>
              <w:autoSpaceDN w:val="0"/>
              <w:adjustRightInd w:val="0"/>
              <w:rPr>
                <w:b/>
                <w:bCs/>
              </w:rPr>
            </w:pPr>
            <w:r w:rsidRPr="006E0E0B">
              <w:rPr>
                <w:b/>
                <w:bCs/>
              </w:rPr>
              <w:t>Reporting Time Period:</w:t>
            </w:r>
            <w:r>
              <w:rPr>
                <w:b/>
                <w:bCs/>
              </w:rPr>
              <w:t xml:space="preserve"> 9 months</w:t>
            </w:r>
          </w:p>
          <w:p w14:paraId="500B6BD6" w14:textId="77777777" w:rsidR="00C33725" w:rsidRPr="00B62006" w:rsidRDefault="00C33725" w:rsidP="00C33725">
            <w:pPr>
              <w:autoSpaceDE w:val="0"/>
              <w:autoSpaceDN w:val="0"/>
              <w:adjustRightInd w:val="0"/>
              <w:rPr>
                <w:b/>
              </w:rPr>
            </w:pPr>
            <w:r>
              <w:rPr>
                <w:bCs/>
              </w:rPr>
              <w:t>October 1, 2015 – June 30, 2016</w:t>
            </w:r>
          </w:p>
        </w:tc>
      </w:tr>
      <w:tr w:rsidR="00C64E9F" w:rsidRPr="005F4371" w14:paraId="3F541F08" w14:textId="77777777" w:rsidTr="002A1A1A">
        <w:trPr>
          <w:trHeight w:val="1700"/>
          <w:jc w:val="center"/>
        </w:trPr>
        <w:tc>
          <w:tcPr>
            <w:tcW w:w="5035" w:type="dxa"/>
          </w:tcPr>
          <w:p w14:paraId="4063B247" w14:textId="77777777" w:rsidR="00C64E9F" w:rsidRDefault="00C64E9F" w:rsidP="00C64E9F">
            <w:pPr>
              <w:autoSpaceDE w:val="0"/>
              <w:autoSpaceDN w:val="0"/>
              <w:adjustRightInd w:val="0"/>
            </w:pPr>
            <w:r>
              <w:rPr>
                <w:b/>
                <w:bCs/>
              </w:rPr>
              <w:t xml:space="preserve">Question 2 (denominator): </w:t>
            </w:r>
            <w:r w:rsidRPr="005F4371">
              <w:t>Total number of vaginal deliveries</w:t>
            </w:r>
            <w:r>
              <w:t xml:space="preserve"> during the reporting period with </w:t>
            </w:r>
            <w:r w:rsidRPr="005F4371">
              <w:rPr>
                <w:b/>
              </w:rPr>
              <w:t>Excluded Populations</w:t>
            </w:r>
            <w:r>
              <w:t xml:space="preserve"> removed.</w:t>
            </w:r>
          </w:p>
          <w:p w14:paraId="4BBB1BB8" w14:textId="77777777" w:rsidR="00C64E9F" w:rsidRDefault="00C64E9F" w:rsidP="00C64E9F">
            <w:pPr>
              <w:autoSpaceDE w:val="0"/>
              <w:autoSpaceDN w:val="0"/>
              <w:adjustRightInd w:val="0"/>
            </w:pPr>
          </w:p>
          <w:p w14:paraId="64233816" w14:textId="77777777" w:rsidR="00C64E9F" w:rsidRDefault="00C64E9F" w:rsidP="00C64E9F">
            <w:pPr>
              <w:autoSpaceDE w:val="0"/>
              <w:autoSpaceDN w:val="0"/>
              <w:adjustRightInd w:val="0"/>
            </w:pPr>
            <w:r>
              <w:t xml:space="preserve">For </w:t>
            </w:r>
            <w:r w:rsidR="00CE4D1A">
              <w:t xml:space="preserve">the </w:t>
            </w:r>
            <w:r>
              <w:t>purposes of this measure, use the following MS-DRGs to identify a vaginal delivery:</w:t>
            </w:r>
          </w:p>
          <w:p w14:paraId="362B8074" w14:textId="77777777" w:rsidR="00465170" w:rsidRDefault="00465170" w:rsidP="00ED58C1">
            <w:pPr>
              <w:numPr>
                <w:ilvl w:val="0"/>
                <w:numId w:val="37"/>
              </w:numPr>
              <w:autoSpaceDE w:val="0"/>
              <w:autoSpaceDN w:val="0"/>
              <w:adjustRightInd w:val="0"/>
            </w:pPr>
            <w:r>
              <w:t>767: Vaginal delivery with sterilization and/or D&amp;C</w:t>
            </w:r>
          </w:p>
          <w:p w14:paraId="3DEBC186" w14:textId="77777777" w:rsidR="00465170" w:rsidRDefault="00465170" w:rsidP="00ED58C1">
            <w:pPr>
              <w:numPr>
                <w:ilvl w:val="0"/>
                <w:numId w:val="37"/>
              </w:numPr>
              <w:autoSpaceDE w:val="0"/>
              <w:autoSpaceDN w:val="0"/>
              <w:adjustRightInd w:val="0"/>
            </w:pPr>
            <w:r>
              <w:t>768: Vaginal delivery with O.R. procedure except sterilization and/or D&amp;C</w:t>
            </w:r>
          </w:p>
          <w:p w14:paraId="186C144A" w14:textId="77777777" w:rsidR="00465170" w:rsidRDefault="00465170" w:rsidP="00ED58C1">
            <w:pPr>
              <w:numPr>
                <w:ilvl w:val="0"/>
                <w:numId w:val="37"/>
              </w:numPr>
              <w:autoSpaceDE w:val="0"/>
              <w:autoSpaceDN w:val="0"/>
              <w:adjustRightInd w:val="0"/>
            </w:pPr>
            <w:r>
              <w:t>774: Vaginal delivery with complicating diagnoses</w:t>
            </w:r>
          </w:p>
          <w:p w14:paraId="05530FDC" w14:textId="77777777" w:rsidR="00465170" w:rsidRDefault="00465170" w:rsidP="00ED58C1">
            <w:pPr>
              <w:numPr>
                <w:ilvl w:val="0"/>
                <w:numId w:val="37"/>
              </w:numPr>
              <w:autoSpaceDE w:val="0"/>
              <w:autoSpaceDN w:val="0"/>
              <w:adjustRightInd w:val="0"/>
            </w:pPr>
            <w:r>
              <w:t>775: Vaginal delivery without complicating diagnoses</w:t>
            </w:r>
          </w:p>
          <w:p w14:paraId="5E942E81" w14:textId="77777777" w:rsidR="00C64E9F" w:rsidRDefault="00C64E9F" w:rsidP="00C64E9F">
            <w:pPr>
              <w:autoSpaceDE w:val="0"/>
              <w:autoSpaceDN w:val="0"/>
              <w:adjustRightInd w:val="0"/>
              <w:rPr>
                <w:b/>
                <w:bCs/>
              </w:rPr>
            </w:pPr>
          </w:p>
          <w:p w14:paraId="75C904EB" w14:textId="77777777" w:rsidR="00C64E9F" w:rsidRPr="00B56EB8" w:rsidRDefault="00C64E9F" w:rsidP="00C64E9F">
            <w:pPr>
              <w:autoSpaceDE w:val="0"/>
              <w:autoSpaceDN w:val="0"/>
              <w:adjustRightInd w:val="0"/>
              <w:rPr>
                <w:b/>
                <w:bCs/>
              </w:rPr>
            </w:pPr>
            <w:r w:rsidRPr="00B56EB8">
              <w:rPr>
                <w:b/>
                <w:bCs/>
              </w:rPr>
              <w:t>Excluded Populations:</w:t>
            </w:r>
          </w:p>
          <w:p w14:paraId="3BCEA774" w14:textId="77777777" w:rsidR="00C64E9F" w:rsidRPr="00B56EB8" w:rsidRDefault="00C64E9F" w:rsidP="00C64E9F">
            <w:pPr>
              <w:autoSpaceDE w:val="0"/>
              <w:autoSpaceDN w:val="0"/>
              <w:adjustRightInd w:val="0"/>
            </w:pPr>
            <w:r w:rsidRPr="00B56EB8">
              <w:t>Exclude any cases with the following ICD-9-CM diagnostic code in a primary or secondary field:</w:t>
            </w:r>
          </w:p>
          <w:p w14:paraId="01FADF31" w14:textId="77777777" w:rsidR="00C64E9F" w:rsidRPr="007B42A0" w:rsidRDefault="00C64E9F" w:rsidP="00ED58C1">
            <w:pPr>
              <w:numPr>
                <w:ilvl w:val="0"/>
                <w:numId w:val="35"/>
              </w:numPr>
              <w:autoSpaceDE w:val="0"/>
              <w:autoSpaceDN w:val="0"/>
              <w:adjustRightInd w:val="0"/>
            </w:pPr>
            <w:r w:rsidRPr="00B56EB8">
              <w:t>660.41</w:t>
            </w:r>
            <w:r w:rsidR="00465170">
              <w:t xml:space="preserve">: </w:t>
            </w:r>
            <w:r w:rsidRPr="00030478">
              <w:t>Shoulder (girdle) dystocia, delivered, with or without mention of antepartum condition</w:t>
            </w:r>
          </w:p>
        </w:tc>
        <w:tc>
          <w:tcPr>
            <w:tcW w:w="4959" w:type="dxa"/>
          </w:tcPr>
          <w:p w14:paraId="10510A4F" w14:textId="77777777" w:rsidR="00C33725" w:rsidRPr="007C045C" w:rsidRDefault="00C33725" w:rsidP="00C33725">
            <w:pPr>
              <w:autoSpaceDE w:val="0"/>
              <w:autoSpaceDN w:val="0"/>
              <w:adjustRightInd w:val="0"/>
              <w:rPr>
                <w:rFonts w:cs="Arial"/>
              </w:rPr>
            </w:pPr>
            <w:r w:rsidRPr="007C045C">
              <w:rPr>
                <w:rFonts w:cs="Arial"/>
                <w:b/>
                <w:bCs/>
              </w:rPr>
              <w:t xml:space="preserve">Question 2 (denominator): </w:t>
            </w:r>
            <w:r w:rsidRPr="007C045C">
              <w:rPr>
                <w:rFonts w:cs="Arial"/>
              </w:rPr>
              <w:t xml:space="preserve">Total number of vaginal deliveries during the reporting period with </w:t>
            </w:r>
            <w:r w:rsidRPr="007C045C">
              <w:rPr>
                <w:rFonts w:cs="Arial"/>
                <w:b/>
              </w:rPr>
              <w:t>Excluded Populations</w:t>
            </w:r>
            <w:r w:rsidRPr="007C045C">
              <w:rPr>
                <w:rFonts w:cs="Arial"/>
              </w:rPr>
              <w:t xml:space="preserve"> removed.</w:t>
            </w:r>
          </w:p>
          <w:p w14:paraId="10053253" w14:textId="77777777" w:rsidR="00C33725" w:rsidRDefault="00C33725" w:rsidP="00C33725">
            <w:pPr>
              <w:autoSpaceDE w:val="0"/>
              <w:autoSpaceDN w:val="0"/>
              <w:adjustRightInd w:val="0"/>
              <w:rPr>
                <w:rFonts w:cs="Arial"/>
              </w:rPr>
            </w:pPr>
          </w:p>
          <w:p w14:paraId="3268586B" w14:textId="77777777" w:rsidR="00465170" w:rsidRPr="007C045C" w:rsidRDefault="00C33725" w:rsidP="00C33725">
            <w:pPr>
              <w:autoSpaceDE w:val="0"/>
              <w:autoSpaceDN w:val="0"/>
              <w:adjustRightInd w:val="0"/>
              <w:rPr>
                <w:rFonts w:cs="Arial"/>
              </w:rPr>
            </w:pPr>
            <w:r w:rsidRPr="007C045C">
              <w:rPr>
                <w:rFonts w:cs="Arial"/>
              </w:rPr>
              <w:t>For the purposes of this measure, use the following</w:t>
            </w:r>
            <w:r w:rsidR="00CE4D1A">
              <w:rPr>
                <w:rFonts w:cs="Arial"/>
              </w:rPr>
              <w:t xml:space="preserve"> </w:t>
            </w:r>
            <w:r w:rsidRPr="007C045C">
              <w:rPr>
                <w:rFonts w:cs="Arial"/>
              </w:rPr>
              <w:t>MS-DRGs to identify a vaginal delivery:</w:t>
            </w:r>
          </w:p>
          <w:p w14:paraId="6814D889" w14:textId="77777777" w:rsidR="00465170" w:rsidRPr="007C045C" w:rsidRDefault="00C33725" w:rsidP="00ED58C1">
            <w:pPr>
              <w:pStyle w:val="ListParagraph"/>
              <w:numPr>
                <w:ilvl w:val="0"/>
                <w:numId w:val="122"/>
              </w:numPr>
              <w:autoSpaceDE w:val="0"/>
              <w:autoSpaceDN w:val="0"/>
              <w:adjustRightInd w:val="0"/>
            </w:pPr>
            <w:r w:rsidRPr="007C045C">
              <w:t>767: Vaginal delivery with sterilization and/or D&amp;C</w:t>
            </w:r>
          </w:p>
          <w:p w14:paraId="02C3ED8B" w14:textId="77777777" w:rsidR="00465170" w:rsidRPr="00465170" w:rsidRDefault="00C33725" w:rsidP="00ED58C1">
            <w:pPr>
              <w:pStyle w:val="ListParagraph"/>
              <w:numPr>
                <w:ilvl w:val="0"/>
                <w:numId w:val="122"/>
              </w:numPr>
              <w:autoSpaceDE w:val="0"/>
              <w:autoSpaceDN w:val="0"/>
              <w:adjustRightInd w:val="0"/>
              <w:rPr>
                <w:rFonts w:cs="Arial"/>
              </w:rPr>
            </w:pPr>
            <w:r w:rsidRPr="00465170">
              <w:rPr>
                <w:rFonts w:cs="Arial"/>
              </w:rPr>
              <w:t>768: Vaginal delivery with O.R. procedure except sterilization and/or D&amp;C</w:t>
            </w:r>
          </w:p>
          <w:p w14:paraId="317CA4F2" w14:textId="77777777" w:rsidR="00465170" w:rsidRPr="00465170" w:rsidRDefault="00C33725" w:rsidP="00ED58C1">
            <w:pPr>
              <w:pStyle w:val="ListParagraph"/>
              <w:numPr>
                <w:ilvl w:val="0"/>
                <w:numId w:val="122"/>
              </w:numPr>
              <w:autoSpaceDE w:val="0"/>
              <w:autoSpaceDN w:val="0"/>
              <w:adjustRightInd w:val="0"/>
              <w:rPr>
                <w:rFonts w:cs="Arial"/>
              </w:rPr>
            </w:pPr>
            <w:r w:rsidRPr="00465170">
              <w:rPr>
                <w:rFonts w:cs="Arial"/>
              </w:rPr>
              <w:t>774: Vaginal delivery with complicating diagnoses</w:t>
            </w:r>
          </w:p>
          <w:p w14:paraId="15D09B48" w14:textId="77777777" w:rsidR="00C33725" w:rsidRDefault="00C33725" w:rsidP="00ED58C1">
            <w:pPr>
              <w:pStyle w:val="ListParagraph"/>
              <w:numPr>
                <w:ilvl w:val="0"/>
                <w:numId w:val="122"/>
              </w:numPr>
              <w:autoSpaceDE w:val="0"/>
              <w:autoSpaceDN w:val="0"/>
              <w:adjustRightInd w:val="0"/>
              <w:rPr>
                <w:rFonts w:cs="Arial"/>
              </w:rPr>
            </w:pPr>
            <w:r w:rsidRPr="00465170">
              <w:rPr>
                <w:rFonts w:cs="Arial"/>
              </w:rPr>
              <w:t>775: Vaginal delivery without complicating diagnoses</w:t>
            </w:r>
          </w:p>
          <w:p w14:paraId="7EE1C895" w14:textId="77777777" w:rsidR="00465170" w:rsidRPr="00465170" w:rsidRDefault="00465170" w:rsidP="002A1A1A">
            <w:pPr>
              <w:pStyle w:val="ListParagraph"/>
              <w:autoSpaceDE w:val="0"/>
              <w:autoSpaceDN w:val="0"/>
              <w:adjustRightInd w:val="0"/>
              <w:rPr>
                <w:rFonts w:cs="Arial"/>
              </w:rPr>
            </w:pPr>
          </w:p>
          <w:p w14:paraId="36D8FB82" w14:textId="77777777" w:rsidR="00C33725" w:rsidRPr="007C045C" w:rsidRDefault="00C33725" w:rsidP="00C33725">
            <w:pPr>
              <w:autoSpaceDE w:val="0"/>
              <w:autoSpaceDN w:val="0"/>
              <w:adjustRightInd w:val="0"/>
              <w:rPr>
                <w:rFonts w:cs="Arial"/>
                <w:b/>
                <w:bCs/>
              </w:rPr>
            </w:pPr>
            <w:r w:rsidRPr="007C045C">
              <w:rPr>
                <w:rFonts w:cs="Arial"/>
                <w:b/>
                <w:bCs/>
              </w:rPr>
              <w:t>Excluded Populations:</w:t>
            </w:r>
          </w:p>
          <w:p w14:paraId="3D357BF9" w14:textId="77777777" w:rsidR="00C33725" w:rsidRPr="007C045C" w:rsidRDefault="00C33725" w:rsidP="00C33725">
            <w:pPr>
              <w:autoSpaceDE w:val="0"/>
              <w:autoSpaceDN w:val="0"/>
              <w:adjustRightInd w:val="0"/>
              <w:rPr>
                <w:rFonts w:cs="Arial"/>
              </w:rPr>
            </w:pPr>
            <w:r w:rsidRPr="007C045C">
              <w:rPr>
                <w:rFonts w:cs="Arial"/>
              </w:rPr>
              <w:t>Exclude any cases with the following ICD-10-CM diagnostic code in a primary or secondary field:</w:t>
            </w:r>
          </w:p>
          <w:p w14:paraId="47E1DFD1" w14:textId="77777777" w:rsidR="00C64E9F" w:rsidRPr="002A1A1A" w:rsidRDefault="00C33725" w:rsidP="00ED58C1">
            <w:pPr>
              <w:pStyle w:val="ListParagraph"/>
              <w:numPr>
                <w:ilvl w:val="0"/>
                <w:numId w:val="123"/>
              </w:numPr>
              <w:autoSpaceDE w:val="0"/>
              <w:autoSpaceDN w:val="0"/>
              <w:adjustRightInd w:val="0"/>
              <w:spacing w:line="276" w:lineRule="auto"/>
              <w:rPr>
                <w:rFonts w:cs="Arial"/>
              </w:rPr>
            </w:pPr>
            <w:r w:rsidRPr="00465170">
              <w:rPr>
                <w:rFonts w:cs="Arial"/>
              </w:rPr>
              <w:t>O66.0: Obstructed labor due to shoulder dystocia</w:t>
            </w:r>
          </w:p>
        </w:tc>
      </w:tr>
      <w:tr w:rsidR="00C64E9F" w:rsidRPr="00B56EB8" w14:paraId="175FCFEE" w14:textId="77777777" w:rsidTr="00C33725">
        <w:trPr>
          <w:jc w:val="center"/>
        </w:trPr>
        <w:tc>
          <w:tcPr>
            <w:tcW w:w="5035" w:type="dxa"/>
          </w:tcPr>
          <w:p w14:paraId="19374209" w14:textId="77777777" w:rsidR="00C64E9F" w:rsidRPr="00AF3835" w:rsidRDefault="00C64E9F" w:rsidP="00C64E9F">
            <w:pPr>
              <w:rPr>
                <w:b/>
                <w:bCs/>
              </w:rPr>
            </w:pPr>
            <w:r>
              <w:rPr>
                <w:b/>
                <w:bCs/>
              </w:rPr>
              <w:lastRenderedPageBreak/>
              <w:t xml:space="preserve">Question 3 (numerator): </w:t>
            </w:r>
            <w:r w:rsidRPr="00B56EB8">
              <w:t>Number of cases included in the denominator that had an episiotomy procedure performed.</w:t>
            </w:r>
            <w:r>
              <w:t xml:space="preserve"> </w:t>
            </w:r>
            <w:r w:rsidRPr="00B56EB8">
              <w:br/>
            </w:r>
          </w:p>
          <w:p w14:paraId="77ED1BB9" w14:textId="77777777" w:rsidR="00C64E9F" w:rsidRPr="00B56EB8" w:rsidRDefault="00C64E9F" w:rsidP="00C64E9F">
            <w:r w:rsidRPr="00B56EB8">
              <w:t xml:space="preserve">For </w:t>
            </w:r>
            <w:r w:rsidR="008F30B4">
              <w:t xml:space="preserve">the </w:t>
            </w:r>
            <w:r w:rsidRPr="00B56EB8">
              <w:t>purposes of this measure, the following ICD-9-CM procedure codes should be used for identifying an episiotomy:</w:t>
            </w:r>
          </w:p>
          <w:p w14:paraId="5E4D7AD9" w14:textId="77777777" w:rsidR="00C64E9F" w:rsidRPr="00B56EB8" w:rsidRDefault="00C64E9F" w:rsidP="00ED58C1">
            <w:pPr>
              <w:numPr>
                <w:ilvl w:val="0"/>
                <w:numId w:val="35"/>
              </w:numPr>
            </w:pPr>
            <w:r w:rsidRPr="00B56EB8">
              <w:t>72.1</w:t>
            </w:r>
            <w:r w:rsidR="00CE4D1A">
              <w:t xml:space="preserve">: </w:t>
            </w:r>
            <w:r w:rsidRPr="00B56EB8">
              <w:t>Low forceps operation with episiotomy</w:t>
            </w:r>
          </w:p>
          <w:p w14:paraId="5D6EAD5F" w14:textId="77777777" w:rsidR="00C64E9F" w:rsidRPr="00B56EB8" w:rsidRDefault="00C64E9F" w:rsidP="00ED58C1">
            <w:pPr>
              <w:numPr>
                <w:ilvl w:val="0"/>
                <w:numId w:val="35"/>
              </w:numPr>
            </w:pPr>
            <w:r w:rsidRPr="00B56EB8">
              <w:t>72.21</w:t>
            </w:r>
            <w:r w:rsidR="00CE4D1A">
              <w:t>:</w:t>
            </w:r>
            <w:r w:rsidRPr="00B56EB8">
              <w:t xml:space="preserve"> Mid forceps operation with episiotomy</w:t>
            </w:r>
          </w:p>
          <w:p w14:paraId="79FE0DD8" w14:textId="77777777" w:rsidR="00C64E9F" w:rsidRPr="00B56EB8" w:rsidRDefault="00C64E9F" w:rsidP="00ED58C1">
            <w:pPr>
              <w:numPr>
                <w:ilvl w:val="0"/>
                <w:numId w:val="35"/>
              </w:numPr>
            </w:pPr>
            <w:r w:rsidRPr="00B56EB8">
              <w:t>72.31</w:t>
            </w:r>
            <w:r w:rsidR="00CE4D1A">
              <w:t>:</w:t>
            </w:r>
            <w:r w:rsidRPr="00B56EB8">
              <w:t xml:space="preserve"> High forceps operation with episiotomy</w:t>
            </w:r>
          </w:p>
          <w:p w14:paraId="22660CBC" w14:textId="77777777" w:rsidR="00C64E9F" w:rsidRPr="00B56EB8" w:rsidRDefault="00C64E9F" w:rsidP="00ED58C1">
            <w:pPr>
              <w:numPr>
                <w:ilvl w:val="0"/>
                <w:numId w:val="35"/>
              </w:numPr>
            </w:pPr>
            <w:r w:rsidRPr="00B56EB8">
              <w:t>72.71</w:t>
            </w:r>
            <w:r w:rsidR="00CE4D1A">
              <w:t>:</w:t>
            </w:r>
            <w:r w:rsidRPr="00B56EB8">
              <w:t xml:space="preserve"> Vacuum extraction with episiotomy</w:t>
            </w:r>
          </w:p>
          <w:p w14:paraId="4003461D" w14:textId="77777777" w:rsidR="00C64E9F" w:rsidRPr="00B56EB8" w:rsidRDefault="00C64E9F" w:rsidP="00ED58C1">
            <w:pPr>
              <w:numPr>
                <w:ilvl w:val="0"/>
                <w:numId w:val="35"/>
              </w:numPr>
            </w:pPr>
            <w:r w:rsidRPr="00B56EB8">
              <w:t>73.6</w:t>
            </w:r>
            <w:r w:rsidR="00CE4D1A">
              <w:t>:</w:t>
            </w:r>
            <w:r w:rsidRPr="00B56EB8">
              <w:t xml:space="preserve"> Episiotomy</w:t>
            </w:r>
          </w:p>
          <w:p w14:paraId="58A59AC1" w14:textId="77777777" w:rsidR="00C64E9F" w:rsidRPr="00B56EB8" w:rsidRDefault="00C64E9F" w:rsidP="00C64E9F"/>
        </w:tc>
        <w:tc>
          <w:tcPr>
            <w:tcW w:w="4959" w:type="dxa"/>
          </w:tcPr>
          <w:p w14:paraId="642EBE3F" w14:textId="77777777" w:rsidR="00C33725" w:rsidRPr="007C045C" w:rsidRDefault="00C33725" w:rsidP="00C33725">
            <w:pPr>
              <w:rPr>
                <w:rFonts w:cs="Arial"/>
                <w:b/>
                <w:bCs/>
              </w:rPr>
            </w:pPr>
            <w:r w:rsidRPr="007C045C">
              <w:rPr>
                <w:rFonts w:cs="Arial"/>
                <w:b/>
                <w:bCs/>
              </w:rPr>
              <w:t xml:space="preserve">Question 3 (numerator): </w:t>
            </w:r>
            <w:r w:rsidRPr="007C045C">
              <w:rPr>
                <w:rFonts w:cs="Arial"/>
              </w:rPr>
              <w:t xml:space="preserve">Number of cases included in the denominator that had an episiotomy procedure performed. </w:t>
            </w:r>
          </w:p>
          <w:p w14:paraId="70455272" w14:textId="77777777" w:rsidR="00C33725" w:rsidRDefault="00C33725" w:rsidP="00C33725">
            <w:pPr>
              <w:rPr>
                <w:rFonts w:cs="Arial"/>
              </w:rPr>
            </w:pPr>
          </w:p>
          <w:p w14:paraId="2E78DE45" w14:textId="77777777" w:rsidR="00C33725" w:rsidRPr="007C045C" w:rsidRDefault="00C33725" w:rsidP="00C33725">
            <w:pPr>
              <w:rPr>
                <w:rFonts w:cs="Arial"/>
              </w:rPr>
            </w:pPr>
            <w:r w:rsidRPr="007C045C">
              <w:rPr>
                <w:rFonts w:cs="Arial"/>
              </w:rPr>
              <w:t xml:space="preserve">For </w:t>
            </w:r>
            <w:r w:rsidR="008F30B4">
              <w:rPr>
                <w:rFonts w:cs="Arial"/>
              </w:rPr>
              <w:t xml:space="preserve">the </w:t>
            </w:r>
            <w:r w:rsidRPr="007C045C">
              <w:rPr>
                <w:rFonts w:cs="Arial"/>
              </w:rPr>
              <w:t>purposes of this measure, the following ICD-10-PCS procedure codes should be used for identifying an episiotomy:</w:t>
            </w:r>
          </w:p>
          <w:p w14:paraId="6DF3C478" w14:textId="77777777" w:rsidR="00C33725" w:rsidRPr="00CE4D1A" w:rsidRDefault="00C33725" w:rsidP="00ED58C1">
            <w:pPr>
              <w:pStyle w:val="ListParagraph"/>
              <w:numPr>
                <w:ilvl w:val="0"/>
                <w:numId w:val="123"/>
              </w:numPr>
              <w:spacing w:line="276" w:lineRule="auto"/>
              <w:rPr>
                <w:rFonts w:cs="Arial"/>
              </w:rPr>
            </w:pPr>
            <w:r w:rsidRPr="00CE4D1A">
              <w:rPr>
                <w:rFonts w:cs="Arial"/>
              </w:rPr>
              <w:t>0W8NXZZ: Division of female perineum, external approach</w:t>
            </w:r>
          </w:p>
          <w:p w14:paraId="3BC533C5" w14:textId="77777777" w:rsidR="00C64E9F" w:rsidRDefault="00C64E9F" w:rsidP="00C64E9F">
            <w:pPr>
              <w:rPr>
                <w:b/>
                <w:bCs/>
              </w:rPr>
            </w:pPr>
          </w:p>
        </w:tc>
      </w:tr>
    </w:tbl>
    <w:p w14:paraId="51B89C40" w14:textId="77777777" w:rsidR="00DA74F8" w:rsidRDefault="00DA74F8" w:rsidP="007A44CB">
      <w:pPr>
        <w:pStyle w:val="Heading3"/>
      </w:pPr>
      <w:bookmarkStart w:id="186" w:name="_Toc383775047"/>
      <w:bookmarkStart w:id="187" w:name="MatProcessSpecs"/>
    </w:p>
    <w:p w14:paraId="324F2555" w14:textId="77777777" w:rsidR="00C33725" w:rsidRPr="00E843C6" w:rsidRDefault="00C33725" w:rsidP="00C33725">
      <w:pPr>
        <w:pStyle w:val="Heading44"/>
        <w:rPr>
          <w:rFonts w:cs="Arial"/>
          <w:caps/>
          <w:color w:val="C0504D" w:themeColor="accent2"/>
          <w:u w:val="single"/>
        </w:rPr>
      </w:pPr>
    </w:p>
    <w:p w14:paraId="2157FECE" w14:textId="77777777" w:rsidR="006E50EF" w:rsidRPr="00CF1281" w:rsidRDefault="006E50EF" w:rsidP="00954B73">
      <w:pPr>
        <w:pStyle w:val="Heading2"/>
      </w:pPr>
      <w:bookmarkStart w:id="188" w:name="_Toc447195025"/>
      <w:r w:rsidRPr="004C2611">
        <w:t>Maternity Care</w:t>
      </w:r>
      <w:r w:rsidR="00E843C6">
        <w:rPr>
          <w:rFonts w:hint="eastAsia"/>
        </w:rPr>
        <w:t xml:space="preserve"> Process Measure</w:t>
      </w:r>
      <w:r w:rsidRPr="004C2611">
        <w:rPr>
          <w:rFonts w:hint="eastAsia"/>
        </w:rPr>
        <w:t xml:space="preserve"> Specifications</w:t>
      </w:r>
      <w:bookmarkEnd w:id="186"/>
      <w:bookmarkEnd w:id="188"/>
    </w:p>
    <w:p w14:paraId="47D6DEE8" w14:textId="77777777" w:rsidR="00C33725" w:rsidRDefault="00C33725" w:rsidP="00786A7D">
      <w:pPr>
        <w:rPr>
          <w:b/>
          <w:color w:val="FF0000"/>
          <w:lang w:eastAsia="ja-JP"/>
        </w:rPr>
      </w:pPr>
    </w:p>
    <w:p w14:paraId="19323B5B" w14:textId="77777777" w:rsidR="00A02948" w:rsidRDefault="00C33725" w:rsidP="00786A7D">
      <w:pPr>
        <w:rPr>
          <w:b/>
          <w:color w:val="FF0000"/>
          <w:lang w:eastAsia="ja-JP"/>
        </w:rPr>
      </w:pPr>
      <w:r>
        <w:rPr>
          <w:b/>
          <w:color w:val="FF0000"/>
          <w:lang w:eastAsia="ja-JP"/>
        </w:rPr>
        <w:t>Important Note</w:t>
      </w:r>
      <w:r w:rsidR="00A02948">
        <w:rPr>
          <w:b/>
          <w:color w:val="FF0000"/>
          <w:lang w:eastAsia="ja-JP"/>
        </w:rPr>
        <w:t>s</w:t>
      </w:r>
      <w:r>
        <w:rPr>
          <w:b/>
          <w:color w:val="FF0000"/>
          <w:lang w:eastAsia="ja-JP"/>
        </w:rPr>
        <w:t xml:space="preserve">: </w:t>
      </w:r>
    </w:p>
    <w:p w14:paraId="371BDA11" w14:textId="77777777" w:rsidR="00A02948" w:rsidRDefault="00A02948" w:rsidP="00786A7D">
      <w:pPr>
        <w:rPr>
          <w:b/>
          <w:color w:val="FF0000"/>
          <w:lang w:eastAsia="ja-JP"/>
        </w:rPr>
      </w:pPr>
    </w:p>
    <w:p w14:paraId="42898702" w14:textId="77777777" w:rsidR="00786A7D" w:rsidRPr="00017A11" w:rsidRDefault="00A02948" w:rsidP="00786A7D">
      <w:pPr>
        <w:rPr>
          <w:b/>
          <w:color w:val="FF0000"/>
          <w:lang w:eastAsia="ja-JP"/>
        </w:rPr>
      </w:pPr>
      <w:r>
        <w:rPr>
          <w:lang w:eastAsia="ja-JP"/>
        </w:rPr>
        <w:t xml:space="preserve">Note 1: </w:t>
      </w:r>
      <w:r w:rsidR="00786A7D" w:rsidRPr="00C33725">
        <w:rPr>
          <w:lang w:eastAsia="ja-JP"/>
        </w:rPr>
        <w:t>There is only one set of measure specifications for Maternity Care Process Measures. These measure specifications should be used by all hospitals.</w:t>
      </w:r>
      <w:r w:rsidR="00786A7D" w:rsidRPr="00017A11">
        <w:rPr>
          <w:b/>
          <w:color w:val="FF0000"/>
          <w:lang w:eastAsia="ja-JP"/>
        </w:rPr>
        <w:t xml:space="preserve"> </w:t>
      </w:r>
    </w:p>
    <w:bookmarkEnd w:id="187"/>
    <w:p w14:paraId="310D207C" w14:textId="77777777" w:rsidR="006E50EF" w:rsidRDefault="006E50EF" w:rsidP="00CD7AE6">
      <w:pPr>
        <w:rPr>
          <w:i/>
          <w:color w:val="FF0000"/>
        </w:rPr>
      </w:pPr>
    </w:p>
    <w:p w14:paraId="5FA3F6D5" w14:textId="530B702B" w:rsidR="006E50EF" w:rsidRDefault="00A02948" w:rsidP="00CD7AE6">
      <w:pPr>
        <w:rPr>
          <w:rFonts w:cs="Arial"/>
        </w:rPr>
      </w:pPr>
      <w:r w:rsidRPr="002A1A1A">
        <w:t>Note 2</w:t>
      </w:r>
      <w:r w:rsidR="006E50EF" w:rsidRPr="00766ED1">
        <w:t>:</w:t>
      </w:r>
      <w:r w:rsidR="006E50EF">
        <w:rPr>
          <w:b/>
          <w:color w:val="FF0000"/>
        </w:rPr>
        <w:t xml:space="preserve"> </w:t>
      </w:r>
      <w:r w:rsidR="006E50EF" w:rsidRPr="005E59D8">
        <w:t>For Materni</w:t>
      </w:r>
      <w:r w:rsidR="00F72AE1" w:rsidRPr="005E59D8">
        <w:t xml:space="preserve">ty Care Process Measures, </w:t>
      </w:r>
      <w:r w:rsidR="006E50EF" w:rsidRPr="005E59D8">
        <w:t xml:space="preserve">hospitals with a sufficient sample size (as defined </w:t>
      </w:r>
      <w:r w:rsidR="005C141D">
        <w:t>below</w:t>
      </w:r>
      <w:r w:rsidR="006E50EF" w:rsidRPr="005E59D8">
        <w:t>), can randomly sample for the denominator of each indicator, and measure and report adherence based</w:t>
      </w:r>
      <w:r w:rsidR="006E50EF" w:rsidRPr="00766ED1">
        <w:t xml:space="preserve"> on that sample. </w:t>
      </w:r>
      <w:r w:rsidR="006E50EF" w:rsidRPr="00766ED1">
        <w:rPr>
          <w:rFonts w:cs="Arial"/>
        </w:rPr>
        <w:t>Most likely</w:t>
      </w:r>
      <w:r w:rsidR="00F72DC7">
        <w:rPr>
          <w:rFonts w:cs="Arial"/>
        </w:rPr>
        <w:t>,</w:t>
      </w:r>
      <w:r w:rsidR="006E50EF" w:rsidRPr="00766ED1">
        <w:rPr>
          <w:rFonts w:cs="Arial"/>
        </w:rPr>
        <w:t xml:space="preserve"> the numerator criteria for these two measures will require medical chart review if these specific data are not already extracted or coded consistently for other purposes.</w:t>
      </w:r>
    </w:p>
    <w:p w14:paraId="304135A7" w14:textId="77777777" w:rsidR="006E50EF" w:rsidRPr="00BC2D78" w:rsidRDefault="006E50EF" w:rsidP="00CD7AE6">
      <w:pPr>
        <w:rPr>
          <w:b/>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E50EF" w:rsidRPr="00BC2D78" w14:paraId="266B4CF3" w14:textId="77777777" w:rsidTr="00E21246">
        <w:trPr>
          <w:jc w:val="center"/>
        </w:trPr>
        <w:tc>
          <w:tcPr>
            <w:tcW w:w="8856" w:type="dxa"/>
            <w:shd w:val="clear" w:color="auto" w:fill="CCCCCC"/>
          </w:tcPr>
          <w:p w14:paraId="50B40D33" w14:textId="77777777" w:rsidR="006E50EF" w:rsidRPr="005B7CB8" w:rsidRDefault="006E50EF" w:rsidP="005B7CB8">
            <w:pPr>
              <w:pStyle w:val="Heading44"/>
            </w:pPr>
            <w:r w:rsidRPr="005B7CB8">
              <w:br w:type="page"/>
            </w:r>
            <w:r w:rsidRPr="005B7CB8">
              <w:br w:type="page"/>
              <w:t>Newborn Bilirubin Screening Prior to Discharge</w:t>
            </w:r>
          </w:p>
        </w:tc>
      </w:tr>
      <w:tr w:rsidR="006E50EF" w:rsidRPr="00BC2D78" w14:paraId="4C1526D7" w14:textId="77777777" w:rsidTr="00E21246">
        <w:trPr>
          <w:jc w:val="center"/>
        </w:trPr>
        <w:tc>
          <w:tcPr>
            <w:tcW w:w="8856" w:type="dxa"/>
          </w:tcPr>
          <w:p w14:paraId="7D73BD92" w14:textId="77777777" w:rsidR="006E50EF" w:rsidRDefault="006E50EF" w:rsidP="00CD7AE6">
            <w:pPr>
              <w:autoSpaceDE w:val="0"/>
              <w:autoSpaceDN w:val="0"/>
              <w:adjustRightInd w:val="0"/>
            </w:pPr>
            <w:r w:rsidRPr="00BC2D78">
              <w:rPr>
                <w:b/>
              </w:rPr>
              <w:t xml:space="preserve">Source: </w:t>
            </w:r>
            <w:r w:rsidRPr="00BC2D78">
              <w:t>Providence Health</w:t>
            </w:r>
          </w:p>
          <w:p w14:paraId="5C3C8C30" w14:textId="77777777" w:rsidR="007D4CA8" w:rsidRDefault="007D4CA8" w:rsidP="00CD7AE6">
            <w:pPr>
              <w:autoSpaceDE w:val="0"/>
              <w:autoSpaceDN w:val="0"/>
              <w:adjustRightInd w:val="0"/>
            </w:pPr>
          </w:p>
          <w:p w14:paraId="19DAFAE9" w14:textId="77777777" w:rsidR="007D4CA8" w:rsidRPr="007C2A37" w:rsidRDefault="007D4CA8" w:rsidP="007D4CA8">
            <w:pPr>
              <w:rPr>
                <w:snapToGrid w:val="0"/>
              </w:rPr>
            </w:pPr>
            <w:r w:rsidRPr="007C2A37">
              <w:rPr>
                <w:b/>
                <w:snapToGrid w:val="0"/>
              </w:rPr>
              <w:t>Reporting Time Period:</w:t>
            </w:r>
            <w:r w:rsidRPr="007C2A37">
              <w:rPr>
                <w:snapToGrid w:val="0"/>
              </w:rPr>
              <w:t xml:space="preserve"> </w:t>
            </w:r>
            <w:r w:rsidRPr="007C2A37">
              <w:rPr>
                <w:b/>
                <w:snapToGrid w:val="0"/>
              </w:rPr>
              <w:t>9 months</w:t>
            </w:r>
          </w:p>
          <w:p w14:paraId="00D87E96" w14:textId="77777777" w:rsidR="007D4CA8" w:rsidRPr="007D4CA8" w:rsidRDefault="007D4CA8" w:rsidP="00ED58C1">
            <w:pPr>
              <w:pStyle w:val="ListParagraph"/>
              <w:numPr>
                <w:ilvl w:val="0"/>
                <w:numId w:val="59"/>
              </w:numPr>
              <w:rPr>
                <w:i/>
                <w:snapToGrid w:val="0"/>
              </w:rPr>
            </w:pPr>
            <w:r w:rsidRPr="007C2A37">
              <w:rPr>
                <w:snapToGrid w:val="0"/>
              </w:rPr>
              <w:t>Surveys submitted prior to September 1, 2016: 01/01/2015 - 09/30/2015</w:t>
            </w:r>
          </w:p>
          <w:p w14:paraId="0C7CEDFA" w14:textId="77777777" w:rsidR="007D4CA8" w:rsidRPr="007D4CA8" w:rsidRDefault="007D4CA8" w:rsidP="00ED58C1">
            <w:pPr>
              <w:pStyle w:val="ListParagraph"/>
              <w:numPr>
                <w:ilvl w:val="0"/>
                <w:numId w:val="59"/>
              </w:numPr>
              <w:rPr>
                <w:i/>
                <w:snapToGrid w:val="0"/>
              </w:rPr>
            </w:pPr>
            <w:r w:rsidRPr="007D4CA8">
              <w:rPr>
                <w:snapToGrid w:val="0"/>
              </w:rPr>
              <w:t>Surveys (re)submitted on or after September 1, 2016: 10/01/2015 – 06/30/2016</w:t>
            </w:r>
          </w:p>
          <w:p w14:paraId="2FC24D1D" w14:textId="77777777" w:rsidR="00640E85" w:rsidRPr="00BC2D78" w:rsidRDefault="00640E85" w:rsidP="00CD7AE6">
            <w:pPr>
              <w:autoSpaceDE w:val="0"/>
              <w:autoSpaceDN w:val="0"/>
              <w:adjustRightInd w:val="0"/>
              <w:rPr>
                <w:b/>
              </w:rPr>
            </w:pPr>
          </w:p>
        </w:tc>
      </w:tr>
      <w:tr w:rsidR="001F0A55" w:rsidRPr="00BC2D78" w14:paraId="563EA4F0" w14:textId="77777777" w:rsidTr="00E21246">
        <w:trPr>
          <w:jc w:val="center"/>
        </w:trPr>
        <w:tc>
          <w:tcPr>
            <w:tcW w:w="8856" w:type="dxa"/>
          </w:tcPr>
          <w:p w14:paraId="627FEB5F" w14:textId="34E8273D" w:rsidR="001F0A55" w:rsidRPr="00066B62" w:rsidRDefault="001F0A55" w:rsidP="001F0A55">
            <w:pPr>
              <w:pStyle w:val="EndnoteText"/>
              <w:rPr>
                <w:highlight w:val="yellow"/>
              </w:rPr>
            </w:pPr>
            <w:r w:rsidRPr="00066B62">
              <w:rPr>
                <w:b/>
                <w:highlight w:val="yellow"/>
              </w:rPr>
              <w:t>Sampling:</w:t>
            </w:r>
            <w:r w:rsidRPr="00066B62">
              <w:rPr>
                <w:highlight w:val="yellow"/>
              </w:rPr>
              <w:t xml:space="preserve"> If you have </w:t>
            </w:r>
            <w:r w:rsidR="00066B62" w:rsidRPr="00066B62">
              <w:rPr>
                <w:highlight w:val="yellow"/>
                <w:u w:val="single"/>
              </w:rPr>
              <w:t>fewer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w:t>
            </w:r>
            <w:r w:rsidR="00066B62" w:rsidRPr="00066B62">
              <w:rPr>
                <w:highlight w:val="yellow"/>
              </w:rPr>
              <w:t>ase the eligible cases beyond 45</w:t>
            </w:r>
            <w:r w:rsidRPr="00066B62">
              <w:rPr>
                <w:highlight w:val="yellow"/>
              </w:rPr>
              <w:t xml:space="preserve">; just measure and report on ALL eligible cases that you have in that reporting time period. </w:t>
            </w:r>
          </w:p>
          <w:p w14:paraId="607574D3" w14:textId="77777777" w:rsidR="001F0A55" w:rsidRPr="00066B62" w:rsidRDefault="001F0A55" w:rsidP="001F0A55">
            <w:pPr>
              <w:pStyle w:val="EndnoteText"/>
              <w:rPr>
                <w:highlight w:val="yellow"/>
              </w:rPr>
            </w:pPr>
          </w:p>
          <w:p w14:paraId="150FB046" w14:textId="11132CF9" w:rsidR="001F0A55" w:rsidRDefault="001F0A55" w:rsidP="001F0A55">
            <w:pPr>
              <w:pStyle w:val="EndnoteText"/>
            </w:pPr>
            <w:r w:rsidRPr="00066B62">
              <w:rPr>
                <w:highlight w:val="yellow"/>
              </w:rPr>
              <w:t xml:space="preserve">If you have </w:t>
            </w:r>
            <w:r w:rsidR="00066B62" w:rsidRPr="00066B62">
              <w:rPr>
                <w:highlight w:val="yellow"/>
                <w:u w:val="single"/>
              </w:rPr>
              <w:t>more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w:t>
            </w:r>
            <w:r w:rsidR="00066B62" w:rsidRPr="00066B62">
              <w:rPr>
                <w:highlight w:val="yellow"/>
              </w:rPr>
              <w:t>udit, you may randomly sample 45</w:t>
            </w:r>
            <w:r w:rsidRPr="00066B62">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15EA3D4E" w14:textId="77777777" w:rsidR="001F0A55" w:rsidRPr="00BC2D78" w:rsidRDefault="001F0A55" w:rsidP="00CD7AE6">
            <w:pPr>
              <w:autoSpaceDE w:val="0"/>
              <w:autoSpaceDN w:val="0"/>
              <w:adjustRightInd w:val="0"/>
              <w:rPr>
                <w:b/>
              </w:rPr>
            </w:pPr>
          </w:p>
        </w:tc>
      </w:tr>
      <w:tr w:rsidR="0093311D" w:rsidRPr="00BC2D78" w14:paraId="01ABC753" w14:textId="77777777" w:rsidTr="00E21246">
        <w:trPr>
          <w:trHeight w:val="2594"/>
          <w:jc w:val="center"/>
        </w:trPr>
        <w:tc>
          <w:tcPr>
            <w:tcW w:w="8856" w:type="dxa"/>
          </w:tcPr>
          <w:p w14:paraId="3C4A6F98" w14:textId="24C4DE05" w:rsidR="0093311D" w:rsidRPr="0093311D" w:rsidRDefault="001036AC" w:rsidP="00CD7AE6">
            <w:pPr>
              <w:autoSpaceDE w:val="0"/>
              <w:autoSpaceDN w:val="0"/>
              <w:adjustRightInd w:val="0"/>
              <w:rPr>
                <w:b/>
                <w:bCs/>
              </w:rPr>
            </w:pPr>
            <w:r>
              <w:rPr>
                <w:b/>
                <w:bCs/>
              </w:rPr>
              <w:lastRenderedPageBreak/>
              <w:t>Question 3</w:t>
            </w:r>
            <w:r w:rsidR="0093311D">
              <w:rPr>
                <w:b/>
                <w:bCs/>
              </w:rPr>
              <w:t xml:space="preserve"> (denominator): </w:t>
            </w:r>
            <w:r w:rsidR="0093311D" w:rsidRPr="00BC2D78">
              <w:rPr>
                <w:bCs/>
              </w:rPr>
              <w:t>Eligible cases include a</w:t>
            </w:r>
            <w:r w:rsidR="0093311D" w:rsidRPr="00BC2D78">
              <w:t xml:space="preserve">ll normal newborns born at or beyond 35 completed weeks gestation that were delivered in the facility during the reporting period (all inborns) with </w:t>
            </w:r>
            <w:r w:rsidR="0093311D" w:rsidRPr="00BC2D78">
              <w:rPr>
                <w:b/>
              </w:rPr>
              <w:t>Excluded Populations</w:t>
            </w:r>
            <w:r w:rsidR="0093311D" w:rsidRPr="00BC2D78">
              <w:t xml:space="preserve"> removed.</w:t>
            </w:r>
            <w:r w:rsidR="0093311D">
              <w:t xml:space="preserve"> </w:t>
            </w:r>
          </w:p>
          <w:p w14:paraId="0EA7DCFC" w14:textId="77777777" w:rsidR="0093311D" w:rsidRDefault="0093311D" w:rsidP="00CD7AE6">
            <w:pPr>
              <w:autoSpaceDE w:val="0"/>
              <w:autoSpaceDN w:val="0"/>
              <w:adjustRightInd w:val="0"/>
              <w:rPr>
                <w:b/>
                <w:bCs/>
              </w:rPr>
            </w:pPr>
          </w:p>
          <w:p w14:paraId="58D55CF4" w14:textId="77777777" w:rsidR="0093311D" w:rsidRPr="00BC2D78" w:rsidRDefault="0093311D" w:rsidP="00CD7AE6">
            <w:pPr>
              <w:autoSpaceDE w:val="0"/>
              <w:autoSpaceDN w:val="0"/>
              <w:adjustRightInd w:val="0"/>
              <w:rPr>
                <w:b/>
                <w:bCs/>
              </w:rPr>
            </w:pPr>
            <w:r w:rsidRPr="00BC2D78">
              <w:rPr>
                <w:b/>
                <w:bCs/>
              </w:rPr>
              <w:t>Excluded Populations:</w:t>
            </w:r>
          </w:p>
          <w:p w14:paraId="0C5BD955" w14:textId="77777777" w:rsidR="0093311D" w:rsidRPr="00866C9B" w:rsidRDefault="0093311D" w:rsidP="00ED58C1">
            <w:pPr>
              <w:pStyle w:val="ListParagraph"/>
              <w:numPr>
                <w:ilvl w:val="0"/>
                <w:numId w:val="40"/>
              </w:numPr>
              <w:autoSpaceDE w:val="0"/>
              <w:autoSpaceDN w:val="0"/>
              <w:adjustRightInd w:val="0"/>
              <w:contextualSpacing w:val="0"/>
            </w:pPr>
            <w:r w:rsidRPr="00866C9B">
              <w:rPr>
                <w:iCs/>
              </w:rPr>
              <w:t>admitted to a NICU, either at your hospital or another hospital;</w:t>
            </w:r>
            <w:r w:rsidRPr="00866C9B">
              <w:t xml:space="preserve"> or</w:t>
            </w:r>
          </w:p>
          <w:p w14:paraId="3AAD3971" w14:textId="77777777" w:rsidR="0093311D" w:rsidRPr="00866C9B" w:rsidRDefault="0093311D" w:rsidP="00ED58C1">
            <w:pPr>
              <w:numPr>
                <w:ilvl w:val="0"/>
                <w:numId w:val="35"/>
              </w:numPr>
              <w:autoSpaceDE w:val="0"/>
              <w:autoSpaceDN w:val="0"/>
            </w:pPr>
            <w:r w:rsidRPr="00866C9B">
              <w:t>with parental refusal to test; or</w:t>
            </w:r>
          </w:p>
          <w:p w14:paraId="22817A4C" w14:textId="77777777" w:rsidR="0093311D" w:rsidRPr="00866C9B" w:rsidRDefault="0093311D" w:rsidP="00ED58C1">
            <w:pPr>
              <w:numPr>
                <w:ilvl w:val="0"/>
                <w:numId w:val="35"/>
              </w:numPr>
              <w:autoSpaceDE w:val="0"/>
              <w:autoSpaceDN w:val="0"/>
              <w:rPr>
                <w:iCs/>
              </w:rPr>
            </w:pPr>
            <w:r w:rsidRPr="00866C9B">
              <w:rPr>
                <w:iCs/>
              </w:rPr>
              <w:t>prenatal documentation of severe congenital anomalies in the newborn and documentation that the newborn will receive comfort care measures only; or</w:t>
            </w:r>
          </w:p>
          <w:p w14:paraId="5C3D6BB5" w14:textId="77777777" w:rsidR="0093311D" w:rsidRPr="00866C9B" w:rsidRDefault="0093311D" w:rsidP="00ED58C1">
            <w:pPr>
              <w:numPr>
                <w:ilvl w:val="0"/>
                <w:numId w:val="35"/>
              </w:numPr>
              <w:autoSpaceDE w:val="0"/>
              <w:autoSpaceDN w:val="0"/>
            </w:pPr>
            <w:r w:rsidRPr="00866C9B">
              <w:t>newborn died prior to discharge</w:t>
            </w:r>
          </w:p>
          <w:p w14:paraId="3B59DE23" w14:textId="77777777" w:rsidR="0093311D" w:rsidRPr="00BC2D78" w:rsidRDefault="0093311D" w:rsidP="00CD7AE6">
            <w:pPr>
              <w:autoSpaceDE w:val="0"/>
              <w:autoSpaceDN w:val="0"/>
              <w:adjustRightInd w:val="0"/>
              <w:ind w:left="720"/>
              <w:rPr>
                <w:i/>
              </w:rPr>
            </w:pPr>
          </w:p>
        </w:tc>
      </w:tr>
      <w:tr w:rsidR="006E50EF" w:rsidRPr="00BC2D78" w14:paraId="4A4D8E39" w14:textId="77777777" w:rsidTr="00E21246">
        <w:trPr>
          <w:jc w:val="center"/>
        </w:trPr>
        <w:tc>
          <w:tcPr>
            <w:tcW w:w="8856" w:type="dxa"/>
          </w:tcPr>
          <w:p w14:paraId="360A7021" w14:textId="00788C9C" w:rsidR="006E50EF" w:rsidRPr="0093311D" w:rsidRDefault="001036AC" w:rsidP="00CD7AE6">
            <w:pPr>
              <w:autoSpaceDE w:val="0"/>
              <w:autoSpaceDN w:val="0"/>
              <w:adjustRightInd w:val="0"/>
              <w:rPr>
                <w:b/>
                <w:bCs/>
              </w:rPr>
            </w:pPr>
            <w:r>
              <w:rPr>
                <w:b/>
                <w:bCs/>
              </w:rPr>
              <w:t>Question 4</w:t>
            </w:r>
            <w:r w:rsidR="0093311D">
              <w:rPr>
                <w:b/>
                <w:bCs/>
              </w:rPr>
              <w:t xml:space="preserve"> (numerator): </w:t>
            </w:r>
            <w:r w:rsidR="006E50EF" w:rsidRPr="00BC2D78">
              <w:t>Number of eligible cases included in the denominator who have a serum or transcutaneous bilirubin screen prior to discharge to identify risk of hyperbilirubinemia according to the Bhutani Nomogram</w:t>
            </w:r>
            <w:r w:rsidR="0093311D">
              <w:t xml:space="preserve">. </w:t>
            </w:r>
          </w:p>
          <w:p w14:paraId="497C6593" w14:textId="77777777" w:rsidR="006E50EF" w:rsidRPr="00866C9B" w:rsidRDefault="006E50EF" w:rsidP="00CD7AE6">
            <w:pPr>
              <w:autoSpaceDE w:val="0"/>
              <w:autoSpaceDN w:val="0"/>
              <w:adjustRightInd w:val="0"/>
            </w:pPr>
          </w:p>
          <w:p w14:paraId="4451A31A" w14:textId="77777777" w:rsidR="006E50EF" w:rsidRPr="00BC2D78" w:rsidRDefault="006E50EF" w:rsidP="00CD7AE6">
            <w:pPr>
              <w:rPr>
                <w:rFonts w:cs="Arial"/>
              </w:rPr>
            </w:pPr>
            <w:r>
              <w:rPr>
                <w:rFonts w:cs="Arial"/>
              </w:rPr>
              <w:t xml:space="preserve">For an example of the </w:t>
            </w:r>
            <w:r w:rsidRPr="00866C9B">
              <w:rPr>
                <w:rFonts w:cs="Arial"/>
                <w:u w:val="single"/>
              </w:rPr>
              <w:t>Bhutani Nomogram</w:t>
            </w:r>
            <w:r>
              <w:rPr>
                <w:rFonts w:cs="Arial"/>
              </w:rPr>
              <w:t>, please s</w:t>
            </w:r>
            <w:r w:rsidRPr="00BC2D78">
              <w:rPr>
                <w:rFonts w:cs="Arial"/>
              </w:rPr>
              <w:t xml:space="preserve">ee: </w:t>
            </w:r>
          </w:p>
          <w:p w14:paraId="0AEAE91A" w14:textId="77777777" w:rsidR="006E50EF" w:rsidRPr="00BC2D78" w:rsidRDefault="006E50EF" w:rsidP="00CD7AE6">
            <w:pPr>
              <w:rPr>
                <w:i/>
              </w:rPr>
            </w:pPr>
            <w:r w:rsidRPr="00BC2D78">
              <w:rPr>
                <w:rFonts w:cs="Arial"/>
                <w:i/>
              </w:rPr>
              <w:t xml:space="preserve">American Academy of Pediatrics Clinical Practice Guidelines: Management of Hyperbilirubinemia in the Newborn Infant 35 or More Weeks of Gestation.  </w:t>
            </w:r>
          </w:p>
          <w:p w14:paraId="70FD36F3" w14:textId="77777777" w:rsidR="006E50EF" w:rsidRDefault="00E9134C" w:rsidP="00CD7AE6">
            <w:hyperlink r:id="rId125" w:history="1">
              <w:r w:rsidR="006E50EF" w:rsidRPr="00325979">
                <w:rPr>
                  <w:rStyle w:val="Hyperlink"/>
                </w:rPr>
                <w:t>http://pediatrics.aappublications.org/content/114/1/297.full</w:t>
              </w:r>
            </w:hyperlink>
          </w:p>
          <w:p w14:paraId="3D32046F" w14:textId="77777777" w:rsidR="006E50EF" w:rsidRPr="00BC2D78" w:rsidRDefault="006E50EF" w:rsidP="00CD7AE6">
            <w:r w:rsidRPr="00BC2D78">
              <w:rPr>
                <w:b/>
              </w:rPr>
              <w:t>Tip</w:t>
            </w:r>
            <w:r w:rsidRPr="00BC2D78">
              <w:t>: To view any Figure in the reference, click on it to open, then again to enlarge.</w:t>
            </w:r>
          </w:p>
          <w:p w14:paraId="42E0EF6A" w14:textId="77777777" w:rsidR="006E50EF" w:rsidRPr="00BC2D78" w:rsidRDefault="006E50EF" w:rsidP="00CD7AE6">
            <w:pPr>
              <w:autoSpaceDE w:val="0"/>
              <w:autoSpaceDN w:val="0"/>
              <w:adjustRightInd w:val="0"/>
            </w:pPr>
          </w:p>
        </w:tc>
      </w:tr>
    </w:tbl>
    <w:p w14:paraId="1C55FCF2" w14:textId="77777777" w:rsidR="00AC1A18" w:rsidRDefault="00AC1A18" w:rsidP="00CD7AE6"/>
    <w:p w14:paraId="29D59A65" w14:textId="77777777" w:rsidR="00CF1281" w:rsidRPr="00BC2D78" w:rsidRDefault="00CF1281"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E50EF" w:rsidRPr="00BC2D78" w14:paraId="0A8686D4" w14:textId="77777777" w:rsidTr="00E21246">
        <w:trPr>
          <w:cantSplit/>
          <w:jc w:val="center"/>
        </w:trPr>
        <w:tc>
          <w:tcPr>
            <w:tcW w:w="8856" w:type="dxa"/>
            <w:shd w:val="clear" w:color="auto" w:fill="CCCCCC"/>
          </w:tcPr>
          <w:p w14:paraId="0290DD4D" w14:textId="77777777" w:rsidR="006E50EF" w:rsidRPr="005B7CB8" w:rsidRDefault="006E50EF" w:rsidP="005B7CB8">
            <w:pPr>
              <w:pStyle w:val="Heading44"/>
            </w:pPr>
            <w:r w:rsidRPr="005B7CB8">
              <w:br w:type="page"/>
            </w:r>
            <w:r w:rsidRPr="005B7CB8">
              <w:br w:type="page"/>
              <w:t>Appropriate DVT Prophylaxis in Women Undergoing Cesarean Delivery</w:t>
            </w:r>
          </w:p>
        </w:tc>
      </w:tr>
      <w:tr w:rsidR="006E50EF" w:rsidRPr="00BC2D78" w14:paraId="4BA77F5E" w14:textId="77777777" w:rsidTr="00E21246">
        <w:trPr>
          <w:cantSplit/>
          <w:jc w:val="center"/>
        </w:trPr>
        <w:tc>
          <w:tcPr>
            <w:tcW w:w="8856" w:type="dxa"/>
          </w:tcPr>
          <w:p w14:paraId="65EF1ACE" w14:textId="77777777" w:rsidR="006E50EF" w:rsidRDefault="006E50EF" w:rsidP="00CD7AE6">
            <w:pPr>
              <w:autoSpaceDE w:val="0"/>
              <w:autoSpaceDN w:val="0"/>
              <w:adjustRightInd w:val="0"/>
            </w:pPr>
            <w:r w:rsidRPr="00BC2D78">
              <w:rPr>
                <w:b/>
              </w:rPr>
              <w:t xml:space="preserve">Source: </w:t>
            </w:r>
            <w:r w:rsidRPr="002640B2">
              <w:t>National Quality Forum #0473</w:t>
            </w:r>
          </w:p>
          <w:p w14:paraId="20E42C9E" w14:textId="77777777" w:rsidR="007D4CA8" w:rsidRDefault="007D4CA8" w:rsidP="00CD7AE6">
            <w:pPr>
              <w:autoSpaceDE w:val="0"/>
              <w:autoSpaceDN w:val="0"/>
              <w:adjustRightInd w:val="0"/>
            </w:pPr>
          </w:p>
          <w:p w14:paraId="6C906125" w14:textId="77777777" w:rsidR="007D4CA8" w:rsidRPr="007C2A37" w:rsidRDefault="007D4CA8" w:rsidP="007D4CA8">
            <w:pPr>
              <w:rPr>
                <w:snapToGrid w:val="0"/>
              </w:rPr>
            </w:pPr>
            <w:r w:rsidRPr="007C2A37">
              <w:rPr>
                <w:b/>
                <w:snapToGrid w:val="0"/>
              </w:rPr>
              <w:t>Reporting Time Period:</w:t>
            </w:r>
            <w:r w:rsidRPr="007C2A37">
              <w:rPr>
                <w:snapToGrid w:val="0"/>
              </w:rPr>
              <w:t xml:space="preserve"> </w:t>
            </w:r>
            <w:r w:rsidRPr="007C2A37">
              <w:rPr>
                <w:b/>
                <w:snapToGrid w:val="0"/>
              </w:rPr>
              <w:t>9 months</w:t>
            </w:r>
          </w:p>
          <w:p w14:paraId="79EBA7AC" w14:textId="77777777" w:rsidR="007D4CA8" w:rsidRPr="007D4CA8" w:rsidRDefault="007D4CA8" w:rsidP="00ED58C1">
            <w:pPr>
              <w:pStyle w:val="ListParagraph"/>
              <w:numPr>
                <w:ilvl w:val="0"/>
                <w:numId w:val="59"/>
              </w:numPr>
              <w:rPr>
                <w:i/>
                <w:snapToGrid w:val="0"/>
              </w:rPr>
            </w:pPr>
            <w:r w:rsidRPr="007C2A37">
              <w:rPr>
                <w:snapToGrid w:val="0"/>
              </w:rPr>
              <w:t>Surveys submitted prior to September 1, 2016: 01/01/2015 - 09/30/2015</w:t>
            </w:r>
          </w:p>
          <w:p w14:paraId="608C6C97" w14:textId="77777777" w:rsidR="007D4CA8" w:rsidRPr="007D4CA8" w:rsidRDefault="007D4CA8" w:rsidP="00ED58C1">
            <w:pPr>
              <w:pStyle w:val="ListParagraph"/>
              <w:numPr>
                <w:ilvl w:val="0"/>
                <w:numId w:val="59"/>
              </w:numPr>
              <w:rPr>
                <w:i/>
                <w:snapToGrid w:val="0"/>
              </w:rPr>
            </w:pPr>
            <w:r w:rsidRPr="007D4CA8">
              <w:rPr>
                <w:snapToGrid w:val="0"/>
              </w:rPr>
              <w:t>Surveys (re)submitted on or after September 1, 2016: 10/01/2015 – 06/30/2016</w:t>
            </w:r>
          </w:p>
          <w:p w14:paraId="062EC77B" w14:textId="77777777" w:rsidR="00640E85" w:rsidRPr="005773C8" w:rsidRDefault="00640E85" w:rsidP="00CD7AE6">
            <w:pPr>
              <w:autoSpaceDE w:val="0"/>
              <w:autoSpaceDN w:val="0"/>
              <w:adjustRightInd w:val="0"/>
            </w:pPr>
          </w:p>
        </w:tc>
      </w:tr>
      <w:tr w:rsidR="001F0A55" w:rsidRPr="00BC2D78" w14:paraId="2F75A23A" w14:textId="77777777" w:rsidTr="00E21246">
        <w:trPr>
          <w:cantSplit/>
          <w:jc w:val="center"/>
        </w:trPr>
        <w:tc>
          <w:tcPr>
            <w:tcW w:w="8856" w:type="dxa"/>
          </w:tcPr>
          <w:p w14:paraId="73CE1023" w14:textId="34319617" w:rsidR="001F0A55" w:rsidRPr="00066B62" w:rsidRDefault="001F0A55" w:rsidP="001F0A55">
            <w:pPr>
              <w:pStyle w:val="EndnoteText"/>
              <w:rPr>
                <w:highlight w:val="yellow"/>
              </w:rPr>
            </w:pPr>
            <w:r w:rsidRPr="00066B62">
              <w:rPr>
                <w:b/>
                <w:highlight w:val="yellow"/>
              </w:rPr>
              <w:t>Sampling:</w:t>
            </w:r>
            <w:r w:rsidRPr="00066B62">
              <w:rPr>
                <w:highlight w:val="yellow"/>
              </w:rPr>
              <w:t xml:space="preserve"> If you have </w:t>
            </w:r>
            <w:r w:rsidR="00066B62" w:rsidRPr="00066B62">
              <w:rPr>
                <w:highlight w:val="yellow"/>
                <w:u w:val="single"/>
              </w:rPr>
              <w:t>fewer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w:t>
            </w:r>
            <w:r w:rsidR="00066B62" w:rsidRPr="00066B62">
              <w:rPr>
                <w:highlight w:val="yellow"/>
              </w:rPr>
              <w:t>ase the eligible cases beyond 45</w:t>
            </w:r>
            <w:r w:rsidRPr="00066B62">
              <w:rPr>
                <w:highlight w:val="yellow"/>
              </w:rPr>
              <w:t xml:space="preserve">; just measure and report on ALL eligible cases that you have in that reporting time period. </w:t>
            </w:r>
          </w:p>
          <w:p w14:paraId="434E0A7F" w14:textId="77777777" w:rsidR="001F0A55" w:rsidRPr="00066B62" w:rsidRDefault="001F0A55" w:rsidP="001F0A55">
            <w:pPr>
              <w:pStyle w:val="EndnoteText"/>
              <w:rPr>
                <w:highlight w:val="yellow"/>
              </w:rPr>
            </w:pPr>
          </w:p>
          <w:p w14:paraId="23F586AD" w14:textId="69F7E4E1" w:rsidR="001F0A55" w:rsidRDefault="001F0A55" w:rsidP="001F0A55">
            <w:pPr>
              <w:pStyle w:val="EndnoteText"/>
            </w:pPr>
            <w:r w:rsidRPr="00066B62">
              <w:rPr>
                <w:highlight w:val="yellow"/>
              </w:rPr>
              <w:t xml:space="preserve">If you have </w:t>
            </w:r>
            <w:r w:rsidR="00066B62" w:rsidRPr="00066B62">
              <w:rPr>
                <w:highlight w:val="yellow"/>
                <w:u w:val="single"/>
              </w:rPr>
              <w:t>more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w:t>
            </w:r>
            <w:r w:rsidR="00066B62" w:rsidRPr="00066B62">
              <w:rPr>
                <w:highlight w:val="yellow"/>
              </w:rPr>
              <w:t>udit, you may randomly sample 45</w:t>
            </w:r>
            <w:r w:rsidRPr="00066B62">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1D3C5AD7" w14:textId="77777777" w:rsidR="001F0A55" w:rsidRPr="00BC2D78" w:rsidRDefault="001F0A55" w:rsidP="00CD7AE6">
            <w:pPr>
              <w:autoSpaceDE w:val="0"/>
              <w:autoSpaceDN w:val="0"/>
              <w:adjustRightInd w:val="0"/>
              <w:rPr>
                <w:b/>
              </w:rPr>
            </w:pPr>
          </w:p>
        </w:tc>
      </w:tr>
      <w:tr w:rsidR="006E50EF" w:rsidRPr="00BC2D78" w14:paraId="017F43E9" w14:textId="77777777" w:rsidTr="00E21246">
        <w:trPr>
          <w:cantSplit/>
          <w:jc w:val="center"/>
        </w:trPr>
        <w:tc>
          <w:tcPr>
            <w:tcW w:w="8856" w:type="dxa"/>
          </w:tcPr>
          <w:p w14:paraId="4EDD66C8" w14:textId="1541F913" w:rsidR="006E50EF" w:rsidRPr="0093311D" w:rsidRDefault="006E50EF" w:rsidP="00CD7AE6">
            <w:pPr>
              <w:autoSpaceDE w:val="0"/>
              <w:autoSpaceDN w:val="0"/>
              <w:adjustRightInd w:val="0"/>
              <w:rPr>
                <w:b/>
                <w:bCs/>
              </w:rPr>
            </w:pPr>
            <w:r>
              <w:rPr>
                <w:b/>
                <w:bCs/>
              </w:rPr>
              <w:t>Q</w:t>
            </w:r>
            <w:r w:rsidR="001036AC">
              <w:rPr>
                <w:b/>
                <w:bCs/>
              </w:rPr>
              <w:t>uestions 8</w:t>
            </w:r>
            <w:r w:rsidR="0093311D">
              <w:rPr>
                <w:b/>
                <w:bCs/>
              </w:rPr>
              <w:t xml:space="preserve"> (denominator): </w:t>
            </w:r>
            <w:r w:rsidRPr="00BC2D78">
              <w:rPr>
                <w:bCs/>
              </w:rPr>
              <w:t>Eligible cases include a</w:t>
            </w:r>
            <w:r w:rsidRPr="00BC2D78">
              <w:t>ll women undergoing cesarean delivery during the reporting period.</w:t>
            </w:r>
            <w:r w:rsidR="0093311D">
              <w:t xml:space="preserve"> </w:t>
            </w:r>
          </w:p>
          <w:p w14:paraId="1EBCED16" w14:textId="77777777" w:rsidR="006E50EF" w:rsidRPr="00BC2D78" w:rsidRDefault="006E50EF" w:rsidP="00CD7AE6">
            <w:pPr>
              <w:autoSpaceDE w:val="0"/>
              <w:autoSpaceDN w:val="0"/>
              <w:adjustRightInd w:val="0"/>
              <w:rPr>
                <w:i/>
              </w:rPr>
            </w:pPr>
            <w:r w:rsidRPr="00BC2D78">
              <w:rPr>
                <w:i/>
              </w:rPr>
              <w:t xml:space="preserve"> </w:t>
            </w:r>
          </w:p>
          <w:p w14:paraId="50E02415" w14:textId="77777777" w:rsidR="006E50EF" w:rsidRPr="00BC2D78" w:rsidRDefault="006E50EF" w:rsidP="00CD7AE6">
            <w:pPr>
              <w:autoSpaceDE w:val="0"/>
              <w:autoSpaceDN w:val="0"/>
              <w:adjustRightInd w:val="0"/>
            </w:pPr>
            <w:r w:rsidRPr="00BC2D78">
              <w:t>Include cases with one o</w:t>
            </w:r>
            <w:r w:rsidR="001A767A">
              <w:t>f the following MS-DRG codes</w:t>
            </w:r>
            <w:r w:rsidRPr="00BC2D78">
              <w:t>:</w:t>
            </w:r>
          </w:p>
          <w:p w14:paraId="41D51138" w14:textId="77777777" w:rsidR="006E50EF" w:rsidRPr="00BC2D78" w:rsidRDefault="006E50EF" w:rsidP="00ED58C1">
            <w:pPr>
              <w:numPr>
                <w:ilvl w:val="0"/>
                <w:numId w:val="36"/>
              </w:numPr>
              <w:autoSpaceDE w:val="0"/>
              <w:autoSpaceDN w:val="0"/>
              <w:adjustRightInd w:val="0"/>
              <w:rPr>
                <w:rFonts w:cs="Arial"/>
                <w:color w:val="000000"/>
              </w:rPr>
            </w:pPr>
            <w:r w:rsidRPr="00BC2D78">
              <w:rPr>
                <w:rFonts w:cs="Arial"/>
                <w:color w:val="000000"/>
              </w:rPr>
              <w:t>765: Cesarean section w CC</w:t>
            </w:r>
            <w:r>
              <w:rPr>
                <w:rFonts w:cs="Arial"/>
                <w:color w:val="000000"/>
              </w:rPr>
              <w:t>/MCC</w:t>
            </w:r>
          </w:p>
          <w:p w14:paraId="26027826" w14:textId="77777777" w:rsidR="006E50EF" w:rsidRPr="00BC2D78" w:rsidRDefault="006E50EF" w:rsidP="00ED58C1">
            <w:pPr>
              <w:numPr>
                <w:ilvl w:val="0"/>
                <w:numId w:val="36"/>
              </w:numPr>
              <w:autoSpaceDE w:val="0"/>
              <w:autoSpaceDN w:val="0"/>
              <w:adjustRightInd w:val="0"/>
              <w:rPr>
                <w:rFonts w:cs="Arial"/>
                <w:color w:val="000000"/>
              </w:rPr>
            </w:pPr>
            <w:r w:rsidRPr="00BC2D78">
              <w:rPr>
                <w:rFonts w:cs="Arial"/>
                <w:color w:val="000000"/>
              </w:rPr>
              <w:t>766: Cesarean section w/o CC</w:t>
            </w:r>
            <w:r>
              <w:rPr>
                <w:rFonts w:cs="Arial"/>
                <w:color w:val="000000"/>
              </w:rPr>
              <w:t>/MCC</w:t>
            </w:r>
          </w:p>
          <w:p w14:paraId="47C8055F" w14:textId="77777777" w:rsidR="006E50EF" w:rsidRDefault="006E50EF" w:rsidP="00CD7AE6">
            <w:pPr>
              <w:autoSpaceDE w:val="0"/>
              <w:autoSpaceDN w:val="0"/>
              <w:adjustRightInd w:val="0"/>
              <w:rPr>
                <w:sz w:val="16"/>
                <w:szCs w:val="16"/>
              </w:rPr>
            </w:pPr>
          </w:p>
          <w:p w14:paraId="5F82F6DC" w14:textId="77777777" w:rsidR="006E50EF" w:rsidRPr="004A4015" w:rsidRDefault="006E50EF" w:rsidP="00CD7AE6">
            <w:pPr>
              <w:autoSpaceDE w:val="0"/>
              <w:autoSpaceDN w:val="0"/>
              <w:adjustRightInd w:val="0"/>
              <w:rPr>
                <w:rFonts w:cs="Arial"/>
                <w:bCs/>
              </w:rPr>
            </w:pPr>
            <w:r w:rsidRPr="004A4015">
              <w:rPr>
                <w:rFonts w:cs="Arial"/>
                <w:b/>
                <w:bCs/>
              </w:rPr>
              <w:t>Excluded Populations:</w:t>
            </w:r>
            <w:r>
              <w:rPr>
                <w:rFonts w:cs="Arial"/>
                <w:b/>
                <w:bCs/>
              </w:rPr>
              <w:t xml:space="preserve"> </w:t>
            </w:r>
            <w:r>
              <w:rPr>
                <w:rFonts w:cs="Arial"/>
                <w:bCs/>
              </w:rPr>
              <w:t>None.</w:t>
            </w:r>
          </w:p>
          <w:p w14:paraId="3E453E99" w14:textId="77777777" w:rsidR="006E50EF" w:rsidRPr="00BC2D78" w:rsidRDefault="006E50EF" w:rsidP="00CD7AE6">
            <w:pPr>
              <w:autoSpaceDE w:val="0"/>
              <w:autoSpaceDN w:val="0"/>
              <w:adjustRightInd w:val="0"/>
              <w:rPr>
                <w:i/>
              </w:rPr>
            </w:pPr>
          </w:p>
        </w:tc>
      </w:tr>
      <w:tr w:rsidR="006E50EF" w:rsidRPr="00BC2D78" w14:paraId="0F4E6077" w14:textId="77777777" w:rsidTr="00E21246">
        <w:trPr>
          <w:jc w:val="center"/>
        </w:trPr>
        <w:tc>
          <w:tcPr>
            <w:tcW w:w="8856" w:type="dxa"/>
          </w:tcPr>
          <w:p w14:paraId="0A5CEA56" w14:textId="41D492CD" w:rsidR="006E50EF" w:rsidRDefault="006E50EF" w:rsidP="00CD7AE6">
            <w:pPr>
              <w:autoSpaceDE w:val="0"/>
              <w:autoSpaceDN w:val="0"/>
              <w:adjustRightInd w:val="0"/>
            </w:pPr>
            <w:r>
              <w:rPr>
                <w:b/>
                <w:bCs/>
              </w:rPr>
              <w:t>Q</w:t>
            </w:r>
            <w:r w:rsidR="001036AC">
              <w:rPr>
                <w:b/>
                <w:bCs/>
              </w:rPr>
              <w:t>uestion 9</w:t>
            </w:r>
            <w:r w:rsidR="0093311D">
              <w:rPr>
                <w:b/>
                <w:bCs/>
              </w:rPr>
              <w:t xml:space="preserve"> (numerator) </w:t>
            </w:r>
            <w:r w:rsidRPr="00BC2D78">
              <w:t xml:space="preserve">Number of eligible cases included in </w:t>
            </w:r>
            <w:r w:rsidR="007B1273">
              <w:t xml:space="preserve">the </w:t>
            </w:r>
            <w:r w:rsidRPr="00BC2D78">
              <w:t xml:space="preserve">denominator who received either fractionated or unfractionated heparin or </w:t>
            </w:r>
            <w:r>
              <w:t xml:space="preserve">heparinoid, or </w:t>
            </w:r>
            <w:r w:rsidRPr="00BC2D78">
              <w:t>pneumatic compression devices prior to surgery</w:t>
            </w:r>
            <w:r>
              <w:t xml:space="preserve">. </w:t>
            </w:r>
          </w:p>
          <w:p w14:paraId="29968A8F" w14:textId="77777777" w:rsidR="00640E85" w:rsidRPr="0093311D" w:rsidRDefault="00640E85" w:rsidP="00CD7AE6">
            <w:pPr>
              <w:autoSpaceDE w:val="0"/>
              <w:autoSpaceDN w:val="0"/>
              <w:adjustRightInd w:val="0"/>
              <w:rPr>
                <w:b/>
                <w:bCs/>
              </w:rPr>
            </w:pPr>
          </w:p>
        </w:tc>
      </w:tr>
    </w:tbl>
    <w:p w14:paraId="4CD75C28" w14:textId="77777777" w:rsidR="006E50EF" w:rsidRPr="00570C36" w:rsidRDefault="006E50EF" w:rsidP="00954B73">
      <w:pPr>
        <w:pStyle w:val="Heading2"/>
      </w:pPr>
      <w:bookmarkStart w:id="189" w:name="_Toc236210641"/>
      <w:bookmarkStart w:id="190" w:name="_Toc383775048"/>
    </w:p>
    <w:p w14:paraId="7CF73F16" w14:textId="77777777" w:rsidR="00CF1281" w:rsidRDefault="00CF1281" w:rsidP="00CF1281">
      <w:bookmarkStart w:id="191" w:name="_Toc233710592"/>
      <w:bookmarkStart w:id="192" w:name="_Toc383775028"/>
      <w:bookmarkEnd w:id="189"/>
      <w:bookmarkEnd w:id="190"/>
    </w:p>
    <w:p w14:paraId="343C1B57" w14:textId="77777777" w:rsidR="0064237E" w:rsidRDefault="0064237E">
      <w:pPr>
        <w:rPr>
          <w:b/>
          <w:sz w:val="28"/>
          <w:u w:val="single"/>
          <w:lang w:eastAsia="ja-JP"/>
        </w:rPr>
      </w:pPr>
    </w:p>
    <w:p w14:paraId="00F1A543" w14:textId="77777777" w:rsidR="004C5CE3" w:rsidRPr="00CF1281" w:rsidRDefault="006E50EF" w:rsidP="00954B73">
      <w:pPr>
        <w:pStyle w:val="Heading2"/>
      </w:pPr>
      <w:bookmarkStart w:id="193" w:name="_Toc447195026"/>
      <w:r w:rsidRPr="00BA3D2A">
        <w:t>High-Risk Deliveries</w:t>
      </w:r>
      <w:r w:rsidRPr="00BA3D2A">
        <w:rPr>
          <w:rFonts w:hint="eastAsia"/>
        </w:rPr>
        <w:t xml:space="preserve"> Measure</w:t>
      </w:r>
      <w:r w:rsidR="00A139F0">
        <w:t xml:space="preserve"> Specifications</w:t>
      </w:r>
      <w:bookmarkEnd w:id="191"/>
      <w:bookmarkEnd w:id="192"/>
      <w:bookmarkEnd w:id="193"/>
    </w:p>
    <w:p w14:paraId="515DA7D9" w14:textId="77777777" w:rsidR="00083AEA" w:rsidRPr="00017A11" w:rsidRDefault="00083AEA" w:rsidP="00017A11">
      <w:pPr>
        <w:rPr>
          <w:b/>
          <w:color w:val="FF0000"/>
          <w:lang w:eastAsia="ja-JP"/>
        </w:rPr>
      </w:pPr>
    </w:p>
    <w:p w14:paraId="10FD05A1" w14:textId="77777777" w:rsidR="006E50EF" w:rsidRPr="00BC2D78" w:rsidRDefault="006E50EF" w:rsidP="0065777E">
      <w:pPr>
        <w:rPr>
          <w:lang w:eastAsia="ja-JP"/>
        </w:rPr>
      </w:pPr>
    </w:p>
    <w:p w14:paraId="55CDAF9A" w14:textId="77777777" w:rsidR="006E50EF" w:rsidRDefault="006E50EF" w:rsidP="007A44CB">
      <w:pPr>
        <w:pStyle w:val="Heading3"/>
      </w:pPr>
      <w:bookmarkStart w:id="194" w:name="_Toc233710593"/>
      <w:bookmarkStart w:id="195" w:name="_Toc383775029"/>
      <w:bookmarkStart w:id="196" w:name="_Toc447195027"/>
      <w:bookmarkStart w:id="197" w:name="HighRiskVol"/>
      <w:r w:rsidRPr="00AA5DDA">
        <w:t>High-Risk Deliveries</w:t>
      </w:r>
      <w:r w:rsidRPr="00AA5DDA">
        <w:rPr>
          <w:rFonts w:hint="eastAsia"/>
        </w:rPr>
        <w:t xml:space="preserve"> Volume Standard</w:t>
      </w:r>
      <w:bookmarkEnd w:id="194"/>
      <w:bookmarkEnd w:id="195"/>
      <w:bookmarkEnd w:id="196"/>
    </w:p>
    <w:bookmarkEnd w:id="197"/>
    <w:p w14:paraId="4ED6970A" w14:textId="77777777" w:rsidR="006E50EF" w:rsidRDefault="006E50EF" w:rsidP="0065777E"/>
    <w:p w14:paraId="196D2A49" w14:textId="77777777" w:rsidR="00017A11" w:rsidRDefault="00017A11" w:rsidP="0065777E">
      <w:r>
        <w:rPr>
          <w:b/>
          <w:color w:val="FF0000"/>
          <w:lang w:eastAsia="ja-JP"/>
        </w:rPr>
        <w:t xml:space="preserve">Important </w:t>
      </w:r>
      <w:r w:rsidRPr="005F63A3">
        <w:rPr>
          <w:b/>
          <w:color w:val="FF0000"/>
          <w:lang w:eastAsia="ja-JP"/>
        </w:rPr>
        <w:t xml:space="preserve">Note: </w:t>
      </w:r>
      <w:r w:rsidRPr="00C33725">
        <w:rPr>
          <w:lang w:eastAsia="ja-JP"/>
        </w:rPr>
        <w:t xml:space="preserve">Hospitals should respond to either Volume OR the </w:t>
      </w:r>
      <w:r w:rsidR="00164243">
        <w:rPr>
          <w:lang w:eastAsia="ja-JP"/>
        </w:rPr>
        <w:t xml:space="preserve">VON </w:t>
      </w:r>
      <w:r w:rsidRPr="00C33725">
        <w:rPr>
          <w:lang w:eastAsia="ja-JP"/>
        </w:rPr>
        <w:t>National Performance Measure. Hospitals opting to report on Volume will only use ICD-9-CM codes for the 2016 Leapfrog Hospital Survey. There is only one reporting period for this measure: October 1, 2014 – September 30, 2015.</w:t>
      </w:r>
    </w:p>
    <w:p w14:paraId="0BFBE938" w14:textId="77777777" w:rsidR="006E50EF" w:rsidRPr="00247A77" w:rsidRDefault="006E50EF" w:rsidP="0065777E">
      <w:pPr>
        <w:rPr>
          <w:lang w:eastAsia="ja-JP"/>
        </w:rPr>
      </w:pPr>
    </w:p>
    <w:p w14:paraId="5A2ED3BF" w14:textId="77777777" w:rsidR="006E50EF" w:rsidRPr="00247A77" w:rsidRDefault="006E50EF" w:rsidP="0065777E">
      <w:pPr>
        <w:rPr>
          <w:color w:val="000000"/>
        </w:rPr>
      </w:pPr>
      <w:r w:rsidRPr="00247A77">
        <w:rPr>
          <w:color w:val="000000"/>
        </w:rPr>
        <w:t xml:space="preserve">Use only ICD-9-CM codes as indicated </w:t>
      </w:r>
      <w:r w:rsidRPr="00247A77">
        <w:rPr>
          <w:color w:val="000000"/>
          <w:lang w:eastAsia="ja-JP"/>
        </w:rPr>
        <w:t>in the specification</w:t>
      </w:r>
      <w:r w:rsidR="00AC2682" w:rsidRPr="00247A77">
        <w:rPr>
          <w:color w:val="000000"/>
          <w:lang w:eastAsia="ja-JP"/>
        </w:rPr>
        <w:t>s</w:t>
      </w:r>
      <w:r w:rsidRPr="00247A77">
        <w:rPr>
          <w:color w:val="000000"/>
        </w:rPr>
        <w:t xml:space="preserve">. When calculating hospital volume: count the number of </w:t>
      </w:r>
      <w:r w:rsidRPr="00247A77">
        <w:rPr>
          <w:b/>
          <w:color w:val="000000"/>
        </w:rPr>
        <w:t>patients</w:t>
      </w:r>
      <w:r w:rsidRPr="00247A77">
        <w:rPr>
          <w:color w:val="000000"/>
        </w:rPr>
        <w:t xml:space="preserve"> with any one or more of the specified procedure codes for</w:t>
      </w:r>
      <w:r w:rsidR="007A6CF8">
        <w:rPr>
          <w:color w:val="000000"/>
        </w:rPr>
        <w:t xml:space="preserve"> high-risk deliveries</w:t>
      </w:r>
      <w:r w:rsidRPr="00247A77">
        <w:rPr>
          <w:color w:val="000000"/>
        </w:rPr>
        <w:t xml:space="preserve">, subject to the other inclusion/exclusion criteria below. </w:t>
      </w:r>
    </w:p>
    <w:p w14:paraId="517E2E63" w14:textId="77777777" w:rsidR="006E50EF" w:rsidRPr="00247A77" w:rsidRDefault="006E50EF" w:rsidP="0065777E">
      <w:pPr>
        <w:rPr>
          <w:lang w:eastAsia="ja-JP"/>
        </w:rPr>
      </w:pPr>
    </w:p>
    <w:p w14:paraId="70C66A4C" w14:textId="77777777" w:rsidR="006E50EF" w:rsidRPr="00247A77" w:rsidRDefault="006E50EF" w:rsidP="0065777E">
      <w:r w:rsidRPr="00247A77">
        <w:t xml:space="preserve">The count can include inborn as well as transfer cases.  </w:t>
      </w:r>
    </w:p>
    <w:p w14:paraId="06E8D9C1" w14:textId="77777777" w:rsidR="006E50EF" w:rsidRPr="00247A77" w:rsidRDefault="006E50EF" w:rsidP="0065777E">
      <w:pPr>
        <w:rPr>
          <w:lang w:eastAsia="ja-JP"/>
        </w:rPr>
      </w:pPr>
    </w:p>
    <w:p w14:paraId="2DF66335" w14:textId="77777777" w:rsidR="006A7541" w:rsidRPr="005B7CB8" w:rsidRDefault="006A7541" w:rsidP="005B7CB8">
      <w:pPr>
        <w:pStyle w:val="Heading44"/>
      </w:pPr>
      <w:bookmarkStart w:id="198" w:name="_Toc383775030"/>
      <w:r w:rsidRPr="005B7CB8">
        <w:t>Question #5: Instructions for Volume Reporting</w:t>
      </w:r>
      <w:bookmarkEnd w:id="198"/>
    </w:p>
    <w:p w14:paraId="6048B487" w14:textId="77777777" w:rsidR="006A7541" w:rsidRPr="005B7CB8" w:rsidRDefault="006A7541" w:rsidP="005B7CB8">
      <w:pPr>
        <w:pStyle w:val="Heading44"/>
      </w:pPr>
    </w:p>
    <w:p w14:paraId="60429BCC" w14:textId="77777777" w:rsidR="006E50EF" w:rsidRDefault="006E50EF" w:rsidP="0065777E">
      <w:pPr>
        <w:autoSpaceDE w:val="0"/>
        <w:autoSpaceDN w:val="0"/>
        <w:adjustRightInd w:val="0"/>
      </w:pPr>
      <w:r w:rsidRPr="00247A77">
        <w:rPr>
          <w:b/>
        </w:rPr>
        <w:t>Source:</w:t>
      </w:r>
      <w:r w:rsidRPr="00247A77">
        <w:t xml:space="preserve">  The Leapfrog Group </w:t>
      </w:r>
    </w:p>
    <w:p w14:paraId="765FCB81" w14:textId="77777777" w:rsidR="006E50EF" w:rsidRPr="00BC2D78" w:rsidRDefault="006E50EF" w:rsidP="0065777E">
      <w:pPr>
        <w:rPr>
          <w:b/>
          <w:i/>
        </w:rPr>
      </w:pPr>
    </w:p>
    <w:p w14:paraId="540F115E" w14:textId="77777777" w:rsidR="006E50EF" w:rsidRDefault="006E50EF" w:rsidP="0065777E">
      <w:pPr>
        <w:rPr>
          <w:b/>
          <w:i/>
        </w:rPr>
      </w:pPr>
      <w:r w:rsidRPr="00BC2D78">
        <w:rPr>
          <w:b/>
        </w:rPr>
        <w:t>Number of newborns admitted to the NICU with the following ICD-9-CM codes:</w:t>
      </w:r>
      <w:r w:rsidRPr="00BC2D78">
        <w:rPr>
          <w:b/>
          <w:i/>
        </w:rPr>
        <w:t xml:space="preserve"> </w:t>
      </w:r>
    </w:p>
    <w:p w14:paraId="611A2694" w14:textId="77777777" w:rsidR="00E678B9" w:rsidRPr="00BC2D78" w:rsidRDefault="00E678B9" w:rsidP="0065777E">
      <w:pPr>
        <w:rPr>
          <w:b/>
          <w:i/>
        </w:rPr>
      </w:pPr>
    </w:p>
    <w:tbl>
      <w:tblPr>
        <w:tblW w:w="0" w:type="auto"/>
        <w:tblLook w:val="01E0" w:firstRow="1" w:lastRow="1" w:firstColumn="1" w:lastColumn="1" w:noHBand="0" w:noVBand="0"/>
      </w:tblPr>
      <w:tblGrid>
        <w:gridCol w:w="1708"/>
        <w:gridCol w:w="7868"/>
      </w:tblGrid>
      <w:tr w:rsidR="006E50EF" w:rsidRPr="00BC2D78" w14:paraId="09048E80" w14:textId="77777777" w:rsidTr="00A828BA">
        <w:tc>
          <w:tcPr>
            <w:tcW w:w="1708" w:type="dxa"/>
          </w:tcPr>
          <w:p w14:paraId="4346D707" w14:textId="77777777" w:rsidR="006E50EF" w:rsidRPr="00BC2D78" w:rsidRDefault="006E50EF" w:rsidP="00A828BA">
            <w:r w:rsidRPr="00BC2D78">
              <w:t>764.02-764.05</w:t>
            </w:r>
          </w:p>
        </w:tc>
        <w:tc>
          <w:tcPr>
            <w:tcW w:w="7868" w:type="dxa"/>
          </w:tcPr>
          <w:p w14:paraId="0FB40A87" w14:textId="77777777" w:rsidR="006E50EF" w:rsidRPr="00BC2D78" w:rsidRDefault="006E50EF" w:rsidP="00A828BA">
            <w:r w:rsidRPr="00BC2D78">
              <w:t>Light for dates without mention of malnutrition—500 gms.-1499 gms.</w:t>
            </w:r>
          </w:p>
        </w:tc>
      </w:tr>
      <w:tr w:rsidR="006E50EF" w:rsidRPr="00BC2D78" w14:paraId="14BE80BA" w14:textId="77777777" w:rsidTr="00A828BA">
        <w:tc>
          <w:tcPr>
            <w:tcW w:w="1708" w:type="dxa"/>
          </w:tcPr>
          <w:p w14:paraId="0EDB737C" w14:textId="77777777" w:rsidR="006E50EF" w:rsidRPr="00BC2D78" w:rsidRDefault="006E50EF" w:rsidP="00A828BA">
            <w:r w:rsidRPr="00BC2D78">
              <w:t>764.12-764.15</w:t>
            </w:r>
          </w:p>
        </w:tc>
        <w:tc>
          <w:tcPr>
            <w:tcW w:w="7868" w:type="dxa"/>
          </w:tcPr>
          <w:p w14:paraId="13EA0B41" w14:textId="77777777" w:rsidR="006E50EF" w:rsidRPr="00BC2D78" w:rsidRDefault="006E50EF" w:rsidP="00A828BA">
            <w:r w:rsidRPr="00BC2D78">
              <w:t>Light for dates with signs of fetal malnutrition -- 500 gms. - 1499 gms.</w:t>
            </w:r>
          </w:p>
        </w:tc>
      </w:tr>
      <w:tr w:rsidR="006E50EF" w:rsidRPr="00BC2D78" w14:paraId="5899F123" w14:textId="77777777" w:rsidTr="00A828BA">
        <w:tc>
          <w:tcPr>
            <w:tcW w:w="1708" w:type="dxa"/>
          </w:tcPr>
          <w:p w14:paraId="6B5D1751" w14:textId="77777777" w:rsidR="006E50EF" w:rsidRPr="00BC2D78" w:rsidRDefault="006E50EF" w:rsidP="00A828BA">
            <w:r w:rsidRPr="00BC2D78">
              <w:t>764.22-764.25</w:t>
            </w:r>
          </w:p>
        </w:tc>
        <w:tc>
          <w:tcPr>
            <w:tcW w:w="7868" w:type="dxa"/>
          </w:tcPr>
          <w:p w14:paraId="6D545DA8" w14:textId="77777777" w:rsidR="006E50EF" w:rsidRPr="00BC2D78" w:rsidRDefault="006E50EF" w:rsidP="00A828BA">
            <w:r w:rsidRPr="00BC2D78">
              <w:t>Fetal malnutrition without mention of “light for dates” -- 500 gms. -1499 gms.</w:t>
            </w:r>
          </w:p>
        </w:tc>
      </w:tr>
      <w:tr w:rsidR="006E50EF" w:rsidRPr="00BC2D78" w14:paraId="2B0306E0" w14:textId="77777777" w:rsidTr="00A828BA">
        <w:tc>
          <w:tcPr>
            <w:tcW w:w="1708" w:type="dxa"/>
          </w:tcPr>
          <w:p w14:paraId="24C4B657" w14:textId="77777777" w:rsidR="006E50EF" w:rsidRPr="00BC2D78" w:rsidRDefault="006E50EF" w:rsidP="00A828BA">
            <w:r w:rsidRPr="00BC2D78">
              <w:t>764.92-764.95</w:t>
            </w:r>
          </w:p>
        </w:tc>
        <w:tc>
          <w:tcPr>
            <w:tcW w:w="7868" w:type="dxa"/>
          </w:tcPr>
          <w:p w14:paraId="2993ED4A" w14:textId="77777777" w:rsidR="006E50EF" w:rsidRPr="00BC2D78" w:rsidRDefault="006E50EF" w:rsidP="00A828BA">
            <w:r w:rsidRPr="00BC2D78">
              <w:t>Fetal growth retardation, unspecified -- 500gms. - 1499 gms.</w:t>
            </w:r>
          </w:p>
        </w:tc>
      </w:tr>
      <w:tr w:rsidR="006E50EF" w:rsidRPr="00BC2D78" w14:paraId="3EFC0C82" w14:textId="77777777" w:rsidTr="00A828BA">
        <w:tc>
          <w:tcPr>
            <w:tcW w:w="1708" w:type="dxa"/>
          </w:tcPr>
          <w:p w14:paraId="2E2B94CB" w14:textId="77777777" w:rsidR="006E50EF" w:rsidRPr="00BC2D78" w:rsidRDefault="006E50EF" w:rsidP="00A828BA">
            <w:r w:rsidRPr="00BC2D78">
              <w:t>765.02-765.05</w:t>
            </w:r>
          </w:p>
        </w:tc>
        <w:tc>
          <w:tcPr>
            <w:tcW w:w="7868" w:type="dxa"/>
          </w:tcPr>
          <w:p w14:paraId="58F80C48" w14:textId="77777777" w:rsidR="006E50EF" w:rsidRPr="00BC2D78" w:rsidRDefault="006E50EF" w:rsidP="00A828BA">
            <w:r w:rsidRPr="00BC2D78">
              <w:t>Extreme immaturity -- 500 gms – 1499 gms</w:t>
            </w:r>
          </w:p>
        </w:tc>
      </w:tr>
      <w:tr w:rsidR="006E50EF" w:rsidRPr="00BC2D78" w14:paraId="0B0DC572" w14:textId="77777777" w:rsidTr="00A828BA">
        <w:tc>
          <w:tcPr>
            <w:tcW w:w="1708" w:type="dxa"/>
          </w:tcPr>
          <w:p w14:paraId="6678B5B6" w14:textId="77777777" w:rsidR="006E50EF" w:rsidRPr="00BC2D78" w:rsidRDefault="006E50EF" w:rsidP="00A828BA">
            <w:r w:rsidRPr="00BC2D78">
              <w:t>765.12-765.15</w:t>
            </w:r>
          </w:p>
        </w:tc>
        <w:tc>
          <w:tcPr>
            <w:tcW w:w="7868" w:type="dxa"/>
          </w:tcPr>
          <w:p w14:paraId="3FDFE2D4" w14:textId="77777777" w:rsidR="006E50EF" w:rsidRPr="00BC2D78" w:rsidRDefault="006E50EF" w:rsidP="00A828BA">
            <w:r w:rsidRPr="00BC2D78">
              <w:t>Other preterm infants -- 500 gms-1499 gms</w:t>
            </w:r>
          </w:p>
        </w:tc>
      </w:tr>
    </w:tbl>
    <w:p w14:paraId="2A5C6581" w14:textId="77777777" w:rsidR="006E50EF" w:rsidRDefault="006E50EF" w:rsidP="0065777E">
      <w:pPr>
        <w:rPr>
          <w:lang w:eastAsia="ja-JP"/>
        </w:rPr>
      </w:pPr>
    </w:p>
    <w:p w14:paraId="35AEDD75" w14:textId="77777777" w:rsidR="008F00F3" w:rsidRDefault="008F00F3" w:rsidP="0065777E">
      <w:pPr>
        <w:rPr>
          <w:lang w:eastAsia="ja-JP"/>
        </w:rPr>
      </w:pPr>
    </w:p>
    <w:p w14:paraId="107291F2" w14:textId="77777777" w:rsidR="00517198" w:rsidRDefault="00517198">
      <w:pPr>
        <w:rPr>
          <w:b/>
          <w:i/>
          <w:sz w:val="24"/>
          <w:szCs w:val="24"/>
          <w:lang w:eastAsia="ja-JP"/>
        </w:rPr>
      </w:pPr>
      <w:bookmarkStart w:id="199" w:name="_Toc383775031"/>
      <w:bookmarkStart w:id="200" w:name="HighRiskOut"/>
      <w:r>
        <w:br w:type="page"/>
      </w:r>
    </w:p>
    <w:p w14:paraId="1655AC7C" w14:textId="77777777" w:rsidR="006E50EF" w:rsidRDefault="0092786C" w:rsidP="00517198">
      <w:pPr>
        <w:pStyle w:val="Heading3"/>
      </w:pPr>
      <w:bookmarkStart w:id="201" w:name="_VON_National_Performance"/>
      <w:bookmarkStart w:id="202" w:name="_Toc447195028"/>
      <w:bookmarkEnd w:id="201"/>
      <w:r>
        <w:lastRenderedPageBreak/>
        <w:t>VON</w:t>
      </w:r>
      <w:r w:rsidR="006E50EF" w:rsidRPr="005E59D8">
        <w:rPr>
          <w:rFonts w:hint="eastAsia"/>
        </w:rPr>
        <w:t xml:space="preserve"> </w:t>
      </w:r>
      <w:r>
        <w:t xml:space="preserve">National </w:t>
      </w:r>
      <w:r w:rsidR="00CA2ADC">
        <w:t>Performance</w:t>
      </w:r>
      <w:r w:rsidR="006E50EF" w:rsidRPr="005E59D8">
        <w:t xml:space="preserve"> Measure</w:t>
      </w:r>
      <w:bookmarkEnd w:id="199"/>
      <w:r w:rsidR="00050081" w:rsidRPr="005E59D8">
        <w:t xml:space="preserve"> Specifications</w:t>
      </w:r>
      <w:bookmarkEnd w:id="202"/>
    </w:p>
    <w:p w14:paraId="6FC6D408" w14:textId="77777777" w:rsidR="00CA2ADC" w:rsidRDefault="00CA2ADC" w:rsidP="00CA2ADC">
      <w:pPr>
        <w:rPr>
          <w:lang w:eastAsia="ja-JP"/>
        </w:rPr>
      </w:pPr>
    </w:p>
    <w:p w14:paraId="39C11F95" w14:textId="77777777" w:rsidR="00CA2ADC" w:rsidRDefault="00CA2ADC" w:rsidP="00CA2ADC">
      <w:r>
        <w:rPr>
          <w:b/>
          <w:color w:val="FF0000"/>
          <w:lang w:eastAsia="ja-JP"/>
        </w:rPr>
        <w:t xml:space="preserve">Important </w:t>
      </w:r>
      <w:r w:rsidRPr="005F63A3">
        <w:rPr>
          <w:b/>
          <w:color w:val="FF0000"/>
          <w:lang w:eastAsia="ja-JP"/>
        </w:rPr>
        <w:t xml:space="preserve">Note: </w:t>
      </w:r>
      <w:r w:rsidRPr="00017A11">
        <w:rPr>
          <w:lang w:eastAsia="ja-JP"/>
        </w:rPr>
        <w:t xml:space="preserve">Hospitals should respond to either Volume OR the </w:t>
      </w:r>
      <w:r>
        <w:rPr>
          <w:lang w:eastAsia="ja-JP"/>
        </w:rPr>
        <w:t xml:space="preserve">VON </w:t>
      </w:r>
      <w:r w:rsidRPr="00017A11">
        <w:rPr>
          <w:lang w:eastAsia="ja-JP"/>
        </w:rPr>
        <w:t xml:space="preserve">National Performance Measure. Hospitals opting to report on </w:t>
      </w:r>
      <w:r>
        <w:rPr>
          <w:lang w:eastAsia="ja-JP"/>
        </w:rPr>
        <w:t xml:space="preserve">the VON National Performance Measure should use these instructions. There is only one set of instructions for the VON National Performance Measure. </w:t>
      </w:r>
    </w:p>
    <w:p w14:paraId="40E56787" w14:textId="77777777" w:rsidR="00CA2ADC" w:rsidRPr="00CA2ADC" w:rsidRDefault="00CA2ADC" w:rsidP="00CA2ADC">
      <w:pPr>
        <w:rPr>
          <w:lang w:eastAsia="ja-JP"/>
        </w:rPr>
      </w:pPr>
    </w:p>
    <w:bookmarkEnd w:id="200"/>
    <w:p w14:paraId="3BC17C10" w14:textId="77777777" w:rsidR="006E50EF" w:rsidRPr="005E59D8" w:rsidRDefault="006E50EF" w:rsidP="0065777E"/>
    <w:p w14:paraId="08C1395F" w14:textId="77777777" w:rsidR="006E50EF" w:rsidRPr="005E59D8" w:rsidRDefault="008D1ED1" w:rsidP="00CB2EDB">
      <w:pPr>
        <w:pStyle w:val="Heading44"/>
        <w:rPr>
          <w:i/>
        </w:rPr>
      </w:pPr>
      <w:bookmarkStart w:id="203" w:name="_Toc383775032"/>
      <w:r w:rsidRPr="005E59D8">
        <w:rPr>
          <w:rFonts w:hint="eastAsia"/>
        </w:rPr>
        <w:t>Q</w:t>
      </w:r>
      <w:r w:rsidRPr="005E59D8">
        <w:t xml:space="preserve">uestions </w:t>
      </w:r>
      <w:r w:rsidR="00635B41" w:rsidRPr="005E59D8">
        <w:t>#</w:t>
      </w:r>
      <w:r w:rsidRPr="005E59D8">
        <w:t>6-11</w:t>
      </w:r>
      <w:r w:rsidR="006E50EF" w:rsidRPr="005E59D8">
        <w:rPr>
          <w:rFonts w:hint="eastAsia"/>
        </w:rPr>
        <w:t xml:space="preserve">: Instructions for </w:t>
      </w:r>
      <w:r w:rsidR="006E50EF" w:rsidRPr="005E59D8">
        <w:t>reporting on Death or Morbidity</w:t>
      </w:r>
      <w:bookmarkEnd w:id="203"/>
      <w:r w:rsidR="006E50EF" w:rsidRPr="005E59D8">
        <w:t xml:space="preserve"> </w:t>
      </w:r>
      <w:r w:rsidR="00D1050E" w:rsidRPr="005E59D8">
        <w:br/>
      </w:r>
    </w:p>
    <w:p w14:paraId="77C2B6E4" w14:textId="13942053" w:rsidR="00D1050E" w:rsidRPr="005E59D8" w:rsidRDefault="00D1050E" w:rsidP="00D1050E">
      <w:r w:rsidRPr="005E59D8">
        <w:t xml:space="preserve">Download instructions for using the VON Nightingale online tool at </w:t>
      </w:r>
      <w:hyperlink r:id="rId126" w:history="1">
        <w:r w:rsidR="00B3755C" w:rsidRPr="00B3755C">
          <w:rPr>
            <w:rStyle w:val="Hyperlink"/>
          </w:rPr>
          <w:t>http://leapfroggroup.org/survey-materials/survey-and-cpoe-materials</w:t>
        </w:r>
      </w:hyperlink>
      <w:r w:rsidR="00B3755C" w:rsidRPr="00B3755C">
        <w:t xml:space="preserve">. </w:t>
      </w:r>
    </w:p>
    <w:p w14:paraId="03EF50AD" w14:textId="77777777" w:rsidR="006E50EF" w:rsidRPr="005E59D8" w:rsidRDefault="006E50EF" w:rsidP="00CA5E4C">
      <w:pPr>
        <w:pStyle w:val="Heading4"/>
        <w:framePr w:wrap="notBeside"/>
      </w:pPr>
    </w:p>
    <w:tbl>
      <w:tblPr>
        <w:tblW w:w="0" w:type="auto"/>
        <w:tblLook w:val="01E0" w:firstRow="1" w:lastRow="1" w:firstColumn="1" w:lastColumn="1" w:noHBand="0" w:noVBand="0"/>
      </w:tblPr>
      <w:tblGrid>
        <w:gridCol w:w="1809"/>
        <w:gridCol w:w="7767"/>
      </w:tblGrid>
      <w:tr w:rsidR="006E50EF" w:rsidRPr="005E59D8" w14:paraId="29734612" w14:textId="77777777" w:rsidTr="00A828BA">
        <w:tc>
          <w:tcPr>
            <w:tcW w:w="1809" w:type="dxa"/>
          </w:tcPr>
          <w:p w14:paraId="0EF6BC77" w14:textId="77777777" w:rsidR="006E50EF" w:rsidRPr="005E59D8" w:rsidRDefault="006E50EF" w:rsidP="00A828BA">
            <w:pPr>
              <w:rPr>
                <w:b/>
              </w:rPr>
            </w:pPr>
            <w:r w:rsidRPr="005E59D8">
              <w:rPr>
                <w:b/>
                <w:lang w:eastAsia="ja-JP"/>
              </w:rPr>
              <w:t>Entity</w:t>
            </w:r>
            <w:r w:rsidRPr="005E59D8">
              <w:rPr>
                <w:b/>
              </w:rPr>
              <w:t>:</w:t>
            </w:r>
          </w:p>
        </w:tc>
        <w:tc>
          <w:tcPr>
            <w:tcW w:w="7767" w:type="dxa"/>
          </w:tcPr>
          <w:p w14:paraId="2AA8DCE0" w14:textId="77777777" w:rsidR="006E50EF" w:rsidRPr="005E59D8" w:rsidRDefault="006E50EF" w:rsidP="00A828BA">
            <w:pPr>
              <w:rPr>
                <w:b/>
                <w:lang w:eastAsia="ja-JP"/>
              </w:rPr>
            </w:pPr>
            <w:r w:rsidRPr="005E59D8">
              <w:rPr>
                <w:b/>
                <w:lang w:eastAsia="ja-JP"/>
              </w:rPr>
              <w:t xml:space="preserve">Vermont Oxford Network (SMR Report from Nightingale online tool) </w:t>
            </w:r>
          </w:p>
          <w:p w14:paraId="2B2E4755" w14:textId="77777777" w:rsidR="006E50EF" w:rsidRPr="005E59D8" w:rsidRDefault="006E50EF" w:rsidP="00A828BA">
            <w:pPr>
              <w:rPr>
                <w:b/>
                <w:lang w:eastAsia="ja-JP"/>
              </w:rPr>
            </w:pPr>
          </w:p>
        </w:tc>
      </w:tr>
      <w:tr w:rsidR="006E50EF" w:rsidRPr="005E59D8" w14:paraId="409A1BDF" w14:textId="77777777" w:rsidTr="00A828BA">
        <w:tc>
          <w:tcPr>
            <w:tcW w:w="1809" w:type="dxa"/>
          </w:tcPr>
          <w:p w14:paraId="4653F13D" w14:textId="77777777" w:rsidR="006E50EF" w:rsidRPr="005E59D8" w:rsidRDefault="006E50EF" w:rsidP="00A828BA">
            <w:pPr>
              <w:rPr>
                <w:lang w:eastAsia="ja-JP"/>
              </w:rPr>
            </w:pPr>
            <w:r w:rsidRPr="005E59D8">
              <w:rPr>
                <w:lang w:eastAsia="ja-JP"/>
              </w:rPr>
              <w:t xml:space="preserve">Volume </w:t>
            </w:r>
          </w:p>
          <w:p w14:paraId="1D5A7CB1" w14:textId="77777777" w:rsidR="006E50EF" w:rsidRPr="005E59D8" w:rsidRDefault="006E50EF" w:rsidP="00A828BA">
            <w:pPr>
              <w:rPr>
                <w:lang w:eastAsia="ja-JP"/>
              </w:rPr>
            </w:pPr>
          </w:p>
        </w:tc>
        <w:tc>
          <w:tcPr>
            <w:tcW w:w="7767" w:type="dxa"/>
          </w:tcPr>
          <w:p w14:paraId="336E4960" w14:textId="77777777" w:rsidR="006E50EF" w:rsidRPr="005E59D8" w:rsidRDefault="006E50EF" w:rsidP="00A828BA">
            <w:r w:rsidRPr="005E59D8">
              <w:t xml:space="preserve">For the latest 12-month or 36-month </w:t>
            </w:r>
            <w:r w:rsidR="00D1050E" w:rsidRPr="005E59D8">
              <w:t>standardized mortality or morbidity ratio (</w:t>
            </w:r>
            <w:r w:rsidRPr="005E59D8">
              <w:t>SMR</w:t>
            </w:r>
            <w:r w:rsidR="00D1050E" w:rsidRPr="005E59D8">
              <w:t>)</w:t>
            </w:r>
            <w:r w:rsidRPr="005E59D8">
              <w:t xml:space="preserve"> report for Death or Morbidity, enter </w:t>
            </w:r>
            <w:r w:rsidRPr="005E59D8">
              <w:rPr>
                <w:u w:val="single"/>
              </w:rPr>
              <w:t>your</w:t>
            </w:r>
            <w:r w:rsidRPr="005E59D8">
              <w:t xml:space="preserve"> hospital’s “N” for the volume of cases for the reporting period.</w:t>
            </w:r>
            <w:r w:rsidR="00D1050E" w:rsidRPr="005E59D8">
              <w:t xml:space="preserve"> </w:t>
            </w:r>
          </w:p>
          <w:p w14:paraId="2901AEC2" w14:textId="77777777" w:rsidR="006E50EF" w:rsidRPr="005E59D8" w:rsidRDefault="006E50EF" w:rsidP="00A828BA">
            <w:pPr>
              <w:rPr>
                <w:b/>
                <w:lang w:eastAsia="ja-JP"/>
              </w:rPr>
            </w:pPr>
          </w:p>
        </w:tc>
      </w:tr>
      <w:tr w:rsidR="006E50EF" w:rsidRPr="005E59D8" w14:paraId="5D3E05E0" w14:textId="77777777" w:rsidTr="00A828BA">
        <w:tc>
          <w:tcPr>
            <w:tcW w:w="1809" w:type="dxa"/>
          </w:tcPr>
          <w:p w14:paraId="732C1A38" w14:textId="77777777" w:rsidR="006E50EF" w:rsidRPr="005E59D8" w:rsidRDefault="006E50EF" w:rsidP="00A828BA">
            <w:pPr>
              <w:rPr>
                <w:color w:val="000000"/>
                <w:lang w:eastAsia="ja-JP"/>
              </w:rPr>
            </w:pPr>
            <w:r w:rsidRPr="005E59D8">
              <w:rPr>
                <w:color w:val="000000"/>
                <w:lang w:eastAsia="ja-JP"/>
              </w:rPr>
              <w:t>SMR 95% (lower bound)</w:t>
            </w:r>
          </w:p>
          <w:p w14:paraId="7DF6B8DF" w14:textId="77777777" w:rsidR="006E50EF" w:rsidRPr="005E59D8" w:rsidRDefault="006E50EF" w:rsidP="00A828BA"/>
        </w:tc>
        <w:tc>
          <w:tcPr>
            <w:tcW w:w="7767" w:type="dxa"/>
          </w:tcPr>
          <w:p w14:paraId="7D1F3DD1" w14:textId="77777777" w:rsidR="006E50EF" w:rsidRDefault="006E50EF" w:rsidP="00A828BA">
            <w:pPr>
              <w:autoSpaceDE w:val="0"/>
              <w:autoSpaceDN w:val="0"/>
              <w:adjustRightInd w:val="0"/>
            </w:pPr>
            <w:r w:rsidRPr="005E59D8">
              <w:t xml:space="preserve">From the same report, enter </w:t>
            </w:r>
            <w:r w:rsidRPr="005E59D8">
              <w:rPr>
                <w:u w:val="single"/>
              </w:rPr>
              <w:t>your</w:t>
            </w:r>
            <w:r w:rsidRPr="005E59D8">
              <w:t xml:space="preserve"> hospital’s “SMR 95% (lower)” for Death or Morbidity. This represents the lower value of your hospital’s 95% confidence interval.</w:t>
            </w:r>
          </w:p>
          <w:p w14:paraId="3293700A" w14:textId="77777777" w:rsidR="003C449A" w:rsidRPr="005E59D8" w:rsidRDefault="003C449A" w:rsidP="00A828BA">
            <w:pPr>
              <w:autoSpaceDE w:val="0"/>
              <w:autoSpaceDN w:val="0"/>
              <w:adjustRightInd w:val="0"/>
            </w:pPr>
          </w:p>
        </w:tc>
      </w:tr>
      <w:tr w:rsidR="006E50EF" w:rsidRPr="005E59D8" w14:paraId="7C35E93A" w14:textId="77777777" w:rsidTr="00A828BA">
        <w:tc>
          <w:tcPr>
            <w:tcW w:w="1809" w:type="dxa"/>
          </w:tcPr>
          <w:p w14:paraId="2F743ED6" w14:textId="77777777" w:rsidR="006E50EF" w:rsidRPr="005E59D8" w:rsidRDefault="006E50EF" w:rsidP="00A828BA">
            <w:r w:rsidRPr="005E59D8">
              <w:rPr>
                <w:snapToGrid w:val="0"/>
                <w:color w:val="000000"/>
              </w:rPr>
              <w:t>SMR (shrunken)</w:t>
            </w:r>
          </w:p>
        </w:tc>
        <w:tc>
          <w:tcPr>
            <w:tcW w:w="7767" w:type="dxa"/>
          </w:tcPr>
          <w:p w14:paraId="199B7721" w14:textId="77777777" w:rsidR="006E50EF" w:rsidRPr="005E59D8" w:rsidRDefault="006E50EF" w:rsidP="00A828BA">
            <w:r w:rsidRPr="005E59D8">
              <w:t xml:space="preserve">From the same report, enter </w:t>
            </w:r>
            <w:r w:rsidRPr="005E59D8">
              <w:rPr>
                <w:u w:val="single"/>
              </w:rPr>
              <w:t>your</w:t>
            </w:r>
            <w:r w:rsidRPr="005E59D8">
              <w:t xml:space="preserve"> hospital’s “SMR (shrunken)” for Death or Morbidity. This is the weighted average of the hospital value and the population (Vermont Oxford Network) mean value.  </w:t>
            </w:r>
            <w:r w:rsidRPr="005E59D8">
              <w:br/>
            </w:r>
          </w:p>
        </w:tc>
      </w:tr>
      <w:tr w:rsidR="006E50EF" w:rsidRPr="005E59D8" w14:paraId="1DC948EA" w14:textId="77777777" w:rsidTr="00A828BA">
        <w:tc>
          <w:tcPr>
            <w:tcW w:w="1809" w:type="dxa"/>
          </w:tcPr>
          <w:p w14:paraId="3B4157C6" w14:textId="77777777" w:rsidR="006E50EF" w:rsidRPr="005E59D8" w:rsidRDefault="006E50EF" w:rsidP="00A828BA">
            <w:pPr>
              <w:rPr>
                <w:color w:val="000000"/>
                <w:lang w:eastAsia="ja-JP"/>
              </w:rPr>
            </w:pPr>
            <w:r w:rsidRPr="005E59D8">
              <w:rPr>
                <w:color w:val="000000"/>
                <w:lang w:eastAsia="ja-JP"/>
              </w:rPr>
              <w:t>SMR 95% (upper bound)</w:t>
            </w:r>
          </w:p>
        </w:tc>
        <w:tc>
          <w:tcPr>
            <w:tcW w:w="7767" w:type="dxa"/>
          </w:tcPr>
          <w:p w14:paraId="54D10A97" w14:textId="77777777" w:rsidR="006E50EF" w:rsidRPr="005E59D8" w:rsidRDefault="006E50EF" w:rsidP="00A828BA">
            <w:pPr>
              <w:autoSpaceDE w:val="0"/>
              <w:autoSpaceDN w:val="0"/>
              <w:adjustRightInd w:val="0"/>
              <w:rPr>
                <w:lang w:eastAsia="ja-JP"/>
              </w:rPr>
            </w:pPr>
            <w:r w:rsidRPr="005E59D8">
              <w:t xml:space="preserve">From the same report, enter </w:t>
            </w:r>
            <w:r w:rsidRPr="005E59D8">
              <w:rPr>
                <w:u w:val="single"/>
              </w:rPr>
              <w:t>your</w:t>
            </w:r>
            <w:r w:rsidRPr="005E59D8">
              <w:t xml:space="preserve"> hospital’s “SMR 95% (upper)” for Death or Morbidity. This represents the upper value of your hospital’s 95% confidence interval.</w:t>
            </w:r>
            <w:r w:rsidRPr="005E59D8" w:rsidDel="00EE4363">
              <w:t xml:space="preserve"> </w:t>
            </w:r>
          </w:p>
          <w:p w14:paraId="72901D84" w14:textId="77777777" w:rsidR="006E50EF" w:rsidRPr="005E59D8" w:rsidRDefault="006E50EF" w:rsidP="00A828BA">
            <w:pPr>
              <w:autoSpaceDE w:val="0"/>
              <w:autoSpaceDN w:val="0"/>
              <w:adjustRightInd w:val="0"/>
            </w:pPr>
          </w:p>
        </w:tc>
      </w:tr>
      <w:bookmarkEnd w:id="157"/>
    </w:tbl>
    <w:p w14:paraId="4DFF0B81" w14:textId="77777777" w:rsidR="006E50EF" w:rsidRPr="005E59D8" w:rsidRDefault="006E50EF" w:rsidP="00954B73">
      <w:pPr>
        <w:pStyle w:val="Heading2"/>
      </w:pPr>
    </w:p>
    <w:p w14:paraId="4C692D2D" w14:textId="77777777" w:rsidR="00517198" w:rsidRDefault="00517198">
      <w:pPr>
        <w:rPr>
          <w:b/>
          <w:i/>
          <w:sz w:val="24"/>
          <w:szCs w:val="24"/>
          <w:lang w:eastAsia="ja-JP"/>
        </w:rPr>
      </w:pPr>
      <w:bookmarkStart w:id="204" w:name="HighRiskProcess"/>
      <w:r>
        <w:br w:type="page"/>
      </w:r>
    </w:p>
    <w:p w14:paraId="79F704F7" w14:textId="77777777" w:rsidR="006E50EF" w:rsidRDefault="00CA2ADC" w:rsidP="007A44CB">
      <w:pPr>
        <w:pStyle w:val="Heading3"/>
      </w:pPr>
      <w:bookmarkStart w:id="205" w:name="_Antenatal_Steroids_Process"/>
      <w:bookmarkStart w:id="206" w:name="_Toc447195029"/>
      <w:bookmarkEnd w:id="205"/>
      <w:r>
        <w:lastRenderedPageBreak/>
        <w:t>Antenatal</w:t>
      </w:r>
      <w:r w:rsidR="008D2FFC">
        <w:t xml:space="preserve"> Steroids </w:t>
      </w:r>
      <w:r w:rsidR="006E50EF" w:rsidRPr="005E59D8">
        <w:t>Process Measure</w:t>
      </w:r>
      <w:bookmarkEnd w:id="206"/>
    </w:p>
    <w:p w14:paraId="14866DF8" w14:textId="77777777" w:rsidR="00083AEA" w:rsidRDefault="00083AEA" w:rsidP="00083AEA">
      <w:pPr>
        <w:rPr>
          <w:lang w:eastAsia="ja-JP"/>
        </w:rPr>
      </w:pPr>
    </w:p>
    <w:p w14:paraId="04358EDA" w14:textId="77777777" w:rsidR="0064237E" w:rsidRDefault="00083AEA" w:rsidP="00083AEA">
      <w:pPr>
        <w:rPr>
          <w:b/>
          <w:color w:val="FF0000"/>
          <w:lang w:eastAsia="ja-JP"/>
        </w:rPr>
      </w:pPr>
      <w:r>
        <w:rPr>
          <w:b/>
          <w:color w:val="FF0000"/>
          <w:lang w:eastAsia="ja-JP"/>
        </w:rPr>
        <w:t xml:space="preserve">Important </w:t>
      </w:r>
      <w:r w:rsidRPr="005F63A3">
        <w:rPr>
          <w:b/>
          <w:color w:val="FF0000"/>
          <w:lang w:eastAsia="ja-JP"/>
        </w:rPr>
        <w:t>Note</w:t>
      </w:r>
      <w:r w:rsidR="00E23046">
        <w:rPr>
          <w:b/>
          <w:color w:val="FF0000"/>
          <w:lang w:eastAsia="ja-JP"/>
        </w:rPr>
        <w:t>s</w:t>
      </w:r>
      <w:r w:rsidRPr="005F63A3">
        <w:rPr>
          <w:b/>
          <w:color w:val="FF0000"/>
          <w:lang w:eastAsia="ja-JP"/>
        </w:rPr>
        <w:t xml:space="preserve">: </w:t>
      </w:r>
    </w:p>
    <w:p w14:paraId="15B5E6D0" w14:textId="77777777" w:rsidR="0064237E" w:rsidRDefault="0064237E" w:rsidP="00083AEA">
      <w:pPr>
        <w:rPr>
          <w:b/>
          <w:color w:val="FF0000"/>
          <w:lang w:eastAsia="ja-JP"/>
        </w:rPr>
      </w:pPr>
    </w:p>
    <w:p w14:paraId="7E647414" w14:textId="77777777" w:rsidR="00083AEA" w:rsidRDefault="0064237E" w:rsidP="00083AEA">
      <w:r>
        <w:rPr>
          <w:lang w:eastAsia="ja-JP"/>
        </w:rPr>
        <w:t xml:space="preserve">Note 1: </w:t>
      </w:r>
      <w:r w:rsidR="00083AEA" w:rsidRPr="00017A11">
        <w:rPr>
          <w:lang w:eastAsia="ja-JP"/>
        </w:rPr>
        <w:t xml:space="preserve">Hospitals </w:t>
      </w:r>
      <w:r w:rsidR="00083AEA">
        <w:rPr>
          <w:lang w:eastAsia="ja-JP"/>
        </w:rPr>
        <w:t xml:space="preserve">reporting on the VON Antenatal Steroids Process Measure should use these instructions. There is only one set of instructions for the VON Antenatal Steroid Process Measure. </w:t>
      </w:r>
    </w:p>
    <w:p w14:paraId="6EC61E25" w14:textId="77777777" w:rsidR="008F02CE" w:rsidRDefault="008F02CE" w:rsidP="008F02CE">
      <w:pPr>
        <w:rPr>
          <w:lang w:eastAsia="ja-JP"/>
        </w:rPr>
      </w:pPr>
    </w:p>
    <w:p w14:paraId="417F6D73" w14:textId="77777777" w:rsidR="008F02CE" w:rsidRPr="0064237E" w:rsidRDefault="0064237E" w:rsidP="008F02CE">
      <w:r>
        <w:rPr>
          <w:snapToGrid w:val="0"/>
        </w:rPr>
        <w:t xml:space="preserve">Note 2: </w:t>
      </w:r>
      <w:r w:rsidRPr="00F126A0">
        <w:rPr>
          <w:snapToGrid w:val="0"/>
        </w:rPr>
        <w:t xml:space="preserve">Hospitals that share a Medicare Provider Number are required to report by facility. Please carefully review </w:t>
      </w:r>
      <w:hyperlink r:id="rId127" w:history="1">
        <w:r w:rsidRPr="00F126A0">
          <w:rPr>
            <w:rStyle w:val="Hyperlink"/>
            <w:snapToGrid w:val="0"/>
          </w:rPr>
          <w:t>Leapfrog’s Multi-Campus Reporting Policy</w:t>
        </w:r>
      </w:hyperlink>
      <w:r w:rsidRPr="00F126A0">
        <w:rPr>
          <w:snapToGrid w:val="0"/>
        </w:rPr>
        <w:t>.</w:t>
      </w:r>
    </w:p>
    <w:p w14:paraId="50969FEE" w14:textId="77777777" w:rsidR="00A309AB" w:rsidRDefault="00A309AB" w:rsidP="00A309AB">
      <w:pPr>
        <w:rPr>
          <w:rFonts w:cs="Arial"/>
        </w:rPr>
      </w:pPr>
    </w:p>
    <w:p w14:paraId="3D824E6B" w14:textId="77777777" w:rsidR="00A309AB" w:rsidRPr="0064237E" w:rsidRDefault="00A309AB" w:rsidP="00A309AB">
      <w:pPr>
        <w:pStyle w:val="BodyText"/>
        <w:rPr>
          <w:rFonts w:cs="Arial"/>
          <w:b/>
          <w:i w:val="0"/>
          <w:color w:val="FF0000"/>
        </w:rPr>
      </w:pPr>
      <w:r w:rsidRPr="00AE1866">
        <w:rPr>
          <w:rFonts w:cs="Arial"/>
          <w:b/>
          <w:i w:val="0"/>
          <w:color w:val="FF0000"/>
        </w:rPr>
        <w:t>Note</w:t>
      </w:r>
      <w:r w:rsidR="00A02948">
        <w:rPr>
          <w:rFonts w:cs="Arial"/>
          <w:b/>
          <w:i w:val="0"/>
          <w:color w:val="FF0000"/>
        </w:rPr>
        <w:t>s</w:t>
      </w:r>
      <w:r w:rsidRPr="00AE1866">
        <w:rPr>
          <w:rFonts w:cs="Arial"/>
          <w:b/>
          <w:i w:val="0"/>
          <w:color w:val="FF0000"/>
        </w:rPr>
        <w:t xml:space="preserve"> on Changes</w:t>
      </w:r>
      <w:r w:rsidR="00CB42DA">
        <w:rPr>
          <w:rFonts w:cs="Arial"/>
          <w:b/>
          <w:i w:val="0"/>
          <w:color w:val="FF0000"/>
        </w:rPr>
        <w:t xml:space="preserve"> </w:t>
      </w:r>
      <w:r w:rsidR="00770995">
        <w:rPr>
          <w:rFonts w:cs="Arial"/>
          <w:b/>
          <w:i w:val="0"/>
          <w:color w:val="FF0000"/>
        </w:rPr>
        <w:t>between</w:t>
      </w:r>
      <w:r>
        <w:rPr>
          <w:rFonts w:cs="Arial"/>
          <w:b/>
          <w:i w:val="0"/>
          <w:color w:val="FF0000"/>
        </w:rPr>
        <w:t xml:space="preserve"> PC-03 version 2015A1 and 2015B2</w:t>
      </w:r>
      <w:r w:rsidRPr="00AE1866">
        <w:rPr>
          <w:rFonts w:cs="Arial"/>
          <w:b/>
          <w:i w:val="0"/>
          <w:color w:val="FF0000"/>
        </w:rPr>
        <w:t>:</w:t>
      </w:r>
      <w:r w:rsidR="0064237E">
        <w:rPr>
          <w:rFonts w:cs="Arial"/>
          <w:b/>
          <w:i w:val="0"/>
          <w:color w:val="FF0000"/>
        </w:rPr>
        <w:t xml:space="preserve"> </w:t>
      </w:r>
      <w:r w:rsidRPr="00842EF6">
        <w:rPr>
          <w:rFonts w:cs="Arial"/>
          <w:i w:val="0"/>
        </w:rPr>
        <w:t xml:space="preserve">Measure specifications for identifying the denominator for antenatal steroids </w:t>
      </w:r>
      <w:r w:rsidR="00770995">
        <w:rPr>
          <w:rFonts w:cs="Arial"/>
          <w:i w:val="0"/>
        </w:rPr>
        <w:t>in version 2015B2</w:t>
      </w:r>
      <w:r w:rsidRPr="00842EF6">
        <w:rPr>
          <w:rFonts w:cs="Arial"/>
          <w:i w:val="0"/>
        </w:rPr>
        <w:t xml:space="preserve">  us</w:t>
      </w:r>
      <w:r w:rsidR="00770995">
        <w:rPr>
          <w:rFonts w:cs="Arial"/>
          <w:i w:val="0"/>
        </w:rPr>
        <w:t>e</w:t>
      </w:r>
      <w:r w:rsidRPr="00842EF6">
        <w:rPr>
          <w:rFonts w:cs="Arial"/>
          <w:i w:val="0"/>
        </w:rPr>
        <w:t xml:space="preserve"> ICD</w:t>
      </w:r>
      <w:r w:rsidR="00387F2F">
        <w:rPr>
          <w:rFonts w:cs="Arial"/>
          <w:i w:val="0"/>
        </w:rPr>
        <w:t xml:space="preserve"> </w:t>
      </w:r>
      <w:r w:rsidR="00770995">
        <w:rPr>
          <w:rFonts w:cs="Arial"/>
          <w:i w:val="0"/>
        </w:rPr>
        <w:t xml:space="preserve">10 </w:t>
      </w:r>
      <w:r w:rsidRPr="00842EF6">
        <w:rPr>
          <w:rFonts w:cs="Arial"/>
          <w:b/>
          <w:i w:val="0"/>
        </w:rPr>
        <w:t xml:space="preserve">procedure </w:t>
      </w:r>
      <w:r w:rsidRPr="00842EF6">
        <w:rPr>
          <w:rFonts w:cs="Arial"/>
          <w:i w:val="0"/>
        </w:rPr>
        <w:t>codes that indicate delivery</w:t>
      </w:r>
      <w:r w:rsidR="00770995">
        <w:rPr>
          <w:rFonts w:cs="Arial"/>
          <w:i w:val="0"/>
        </w:rPr>
        <w:t>, whereas the denominator specifications in version 2015A1</w:t>
      </w:r>
      <w:r w:rsidRPr="00842EF6">
        <w:rPr>
          <w:rFonts w:cs="Arial"/>
          <w:i w:val="0"/>
        </w:rPr>
        <w:t xml:space="preserve"> use ICD </w:t>
      </w:r>
      <w:r w:rsidR="00770995">
        <w:rPr>
          <w:rFonts w:cs="Arial"/>
          <w:i w:val="0"/>
        </w:rPr>
        <w:t xml:space="preserve">9 </w:t>
      </w:r>
      <w:r w:rsidRPr="00842EF6">
        <w:rPr>
          <w:rFonts w:cs="Arial"/>
          <w:b/>
          <w:i w:val="0"/>
        </w:rPr>
        <w:t xml:space="preserve">diagnostic </w:t>
      </w:r>
      <w:r w:rsidRPr="00842EF6">
        <w:rPr>
          <w:rFonts w:cs="Arial"/>
          <w:i w:val="0"/>
        </w:rPr>
        <w:t>codes that indicate pregnancy.</w:t>
      </w:r>
    </w:p>
    <w:bookmarkEnd w:id="204"/>
    <w:p w14:paraId="4B073A5C" w14:textId="77777777" w:rsidR="006E50EF" w:rsidRPr="00163586" w:rsidRDefault="006E50EF" w:rsidP="0016358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5"/>
        <w:gridCol w:w="5049"/>
      </w:tblGrid>
      <w:tr w:rsidR="00A309AB" w:rsidRPr="00BC2D78" w14:paraId="5CA03759" w14:textId="77777777" w:rsidTr="00090588">
        <w:trPr>
          <w:jc w:val="center"/>
        </w:trPr>
        <w:tc>
          <w:tcPr>
            <w:tcW w:w="4945" w:type="dxa"/>
            <w:shd w:val="clear" w:color="auto" w:fill="auto"/>
          </w:tcPr>
          <w:p w14:paraId="6F56ACF1" w14:textId="77777777" w:rsidR="00A309AB" w:rsidRPr="00A309AB" w:rsidRDefault="00A309AB" w:rsidP="00A309AB">
            <w:pPr>
              <w:jc w:val="center"/>
              <w:rPr>
                <w:b/>
              </w:rPr>
            </w:pPr>
            <w:r>
              <w:rPr>
                <w:color w:val="FF0000"/>
                <w:lang w:eastAsia="ja-JP"/>
              </w:rPr>
              <w:t xml:space="preserve">Use the following </w:t>
            </w:r>
            <w:r w:rsidRPr="00B943D3">
              <w:rPr>
                <w:color w:val="FF0000"/>
                <w:lang w:eastAsia="ja-JP"/>
              </w:rPr>
              <w:t xml:space="preserve">measure specifications </w:t>
            </w:r>
            <w:r w:rsidR="00FD730A">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5049" w:type="dxa"/>
            <w:shd w:val="clear" w:color="auto" w:fill="auto"/>
          </w:tcPr>
          <w:p w14:paraId="6B358B5D" w14:textId="77777777" w:rsidR="00A309AB" w:rsidRDefault="00A309AB" w:rsidP="00A309AB">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FD730A">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00306BB2" w14:textId="77777777" w:rsidR="00A309AB" w:rsidRPr="00A309AB" w:rsidRDefault="00A309AB" w:rsidP="00A309AB">
            <w:pPr>
              <w:jc w:val="center"/>
              <w:rPr>
                <w:b/>
              </w:rPr>
            </w:pPr>
          </w:p>
        </w:tc>
      </w:tr>
      <w:tr w:rsidR="00A309AB" w:rsidRPr="00BC2D78" w14:paraId="6184BDE5" w14:textId="77777777" w:rsidTr="000469EC">
        <w:trPr>
          <w:jc w:val="center"/>
        </w:trPr>
        <w:tc>
          <w:tcPr>
            <w:tcW w:w="9994" w:type="dxa"/>
            <w:gridSpan w:val="2"/>
            <w:shd w:val="clear" w:color="auto" w:fill="E0E0E0"/>
          </w:tcPr>
          <w:p w14:paraId="09782734" w14:textId="77777777" w:rsidR="00A309AB" w:rsidRPr="00A309AB" w:rsidRDefault="00A309AB" w:rsidP="00A309AB">
            <w:pPr>
              <w:rPr>
                <w:b/>
              </w:rPr>
            </w:pPr>
            <w:r w:rsidRPr="00A309AB">
              <w:rPr>
                <w:b/>
              </w:rPr>
              <w:t>Antenatal Steroids Process Measure</w:t>
            </w:r>
          </w:p>
        </w:tc>
      </w:tr>
      <w:tr w:rsidR="00A309AB" w:rsidRPr="00BC2D78" w14:paraId="6A3DD1FE" w14:textId="77777777" w:rsidTr="000469EC">
        <w:trPr>
          <w:jc w:val="center"/>
        </w:trPr>
        <w:tc>
          <w:tcPr>
            <w:tcW w:w="9994" w:type="dxa"/>
            <w:gridSpan w:val="2"/>
            <w:shd w:val="clear" w:color="auto" w:fill="auto"/>
          </w:tcPr>
          <w:p w14:paraId="3C75E963" w14:textId="77777777" w:rsidR="00A309AB" w:rsidRDefault="00A309AB" w:rsidP="00A309AB">
            <w:pPr>
              <w:rPr>
                <w:rFonts w:cs="Arial"/>
              </w:rPr>
            </w:pPr>
            <w:r w:rsidRPr="00AC1445">
              <w:rPr>
                <w:rFonts w:cs="Arial"/>
                <w:b/>
                <w:u w:val="single"/>
              </w:rPr>
              <w:t>If you participate in the Vermont Oxford Network</w:t>
            </w:r>
            <w:r>
              <w:rPr>
                <w:rFonts w:cs="Arial"/>
              </w:rPr>
              <w:t xml:space="preserve">, measured adherence to the antenatal steroids </w:t>
            </w:r>
            <w:r w:rsidRPr="00AC1445">
              <w:rPr>
                <w:rFonts w:cs="Arial"/>
              </w:rPr>
              <w:t xml:space="preserve">process-of-care quality indicator, reported the results to VON, and continue to submit these data to VON, then use those data </w:t>
            </w:r>
            <w:r>
              <w:rPr>
                <w:rFonts w:cs="Arial"/>
              </w:rPr>
              <w:t xml:space="preserve">(numerator and denominator) </w:t>
            </w:r>
            <w:r w:rsidRPr="00AC1445">
              <w:rPr>
                <w:rFonts w:cs="Arial"/>
              </w:rPr>
              <w:t xml:space="preserve">when responding to this subsection of survey, and ignore The Joint Commission (TJC) specifications listed below for the measure. </w:t>
            </w:r>
          </w:p>
          <w:p w14:paraId="128743B9" w14:textId="77777777" w:rsidR="00A309AB" w:rsidRPr="00BC2D78" w:rsidRDefault="00A309AB" w:rsidP="00A309AB">
            <w:pPr>
              <w:rPr>
                <w:rFonts w:cs="Arial"/>
                <w:b/>
              </w:rPr>
            </w:pPr>
          </w:p>
        </w:tc>
      </w:tr>
      <w:tr w:rsidR="00A309AB" w:rsidRPr="00BC2D78" w14:paraId="18F4D288" w14:textId="77777777" w:rsidTr="00090588">
        <w:trPr>
          <w:jc w:val="center"/>
        </w:trPr>
        <w:tc>
          <w:tcPr>
            <w:tcW w:w="4945" w:type="dxa"/>
            <w:shd w:val="clear" w:color="auto" w:fill="auto"/>
          </w:tcPr>
          <w:p w14:paraId="60ADE98B" w14:textId="77777777" w:rsidR="00A309AB" w:rsidRDefault="00A309AB" w:rsidP="00A309AB">
            <w:pPr>
              <w:rPr>
                <w:rFonts w:cs="Arial"/>
              </w:rPr>
            </w:pPr>
            <w:r w:rsidRPr="00BC2D78">
              <w:rPr>
                <w:rFonts w:cs="Arial"/>
                <w:b/>
              </w:rPr>
              <w:t>Source:</w:t>
            </w:r>
            <w:r>
              <w:rPr>
                <w:rFonts w:cs="Arial"/>
              </w:rPr>
              <w:t xml:space="preserve"> Joint Commission PC-03 </w:t>
            </w:r>
            <w:r w:rsidR="00251E53" w:rsidRPr="002A1A1A">
              <w:rPr>
                <w:rFonts w:cs="Arial"/>
                <w:b/>
              </w:rPr>
              <w:t>(</w:t>
            </w:r>
            <w:r w:rsidRPr="002A1A1A">
              <w:rPr>
                <w:rFonts w:cs="Arial"/>
                <w:b/>
              </w:rPr>
              <w:t>version 2015A1)</w:t>
            </w:r>
          </w:p>
          <w:p w14:paraId="0AE56565" w14:textId="77777777" w:rsidR="00A309AB" w:rsidRDefault="00A309AB" w:rsidP="00A309AB">
            <w:pPr>
              <w:rPr>
                <w:rFonts w:cs="Arial"/>
              </w:rPr>
            </w:pPr>
          </w:p>
          <w:p w14:paraId="1D6F9CC0" w14:textId="77777777" w:rsidR="00A309AB" w:rsidRPr="006E0E0B" w:rsidRDefault="00A309AB" w:rsidP="00A309AB">
            <w:pPr>
              <w:autoSpaceDE w:val="0"/>
              <w:autoSpaceDN w:val="0"/>
              <w:adjustRightInd w:val="0"/>
              <w:rPr>
                <w:b/>
                <w:bCs/>
              </w:rPr>
            </w:pPr>
            <w:r w:rsidRPr="006E0E0B">
              <w:rPr>
                <w:b/>
                <w:bCs/>
              </w:rPr>
              <w:t>Reporting Time Period:</w:t>
            </w:r>
            <w:r>
              <w:rPr>
                <w:b/>
                <w:bCs/>
              </w:rPr>
              <w:t xml:space="preserve"> 9 months</w:t>
            </w:r>
          </w:p>
          <w:p w14:paraId="5DDD290C" w14:textId="77777777" w:rsidR="00A309AB" w:rsidRPr="00BC2D78" w:rsidRDefault="00A309AB" w:rsidP="00A309AB">
            <w:pPr>
              <w:rPr>
                <w:rFonts w:cs="Arial"/>
              </w:rPr>
            </w:pPr>
            <w:r>
              <w:rPr>
                <w:bCs/>
              </w:rPr>
              <w:t>January 1, 2015 – September 30, 2015</w:t>
            </w:r>
          </w:p>
          <w:p w14:paraId="087C8D26" w14:textId="77777777" w:rsidR="00A309AB" w:rsidRPr="00A309AB" w:rsidRDefault="00A309AB" w:rsidP="00A309AB">
            <w:pPr>
              <w:jc w:val="right"/>
              <w:rPr>
                <w:b/>
              </w:rPr>
            </w:pPr>
          </w:p>
        </w:tc>
        <w:tc>
          <w:tcPr>
            <w:tcW w:w="5049" w:type="dxa"/>
            <w:shd w:val="clear" w:color="auto" w:fill="auto"/>
          </w:tcPr>
          <w:p w14:paraId="2D3FB1D7" w14:textId="77777777" w:rsidR="00A309AB" w:rsidRPr="00BC2D78" w:rsidRDefault="00A309AB" w:rsidP="00A309AB">
            <w:pPr>
              <w:rPr>
                <w:rFonts w:cs="Arial"/>
              </w:rPr>
            </w:pPr>
            <w:r w:rsidRPr="00BC2D78">
              <w:rPr>
                <w:rFonts w:cs="Arial"/>
                <w:b/>
              </w:rPr>
              <w:t>Source:</w:t>
            </w:r>
            <w:r>
              <w:rPr>
                <w:rFonts w:cs="Arial"/>
              </w:rPr>
              <w:t xml:space="preserve"> Joint Commission PC-03 </w:t>
            </w:r>
            <w:r w:rsidR="00251E53" w:rsidRPr="002A1A1A">
              <w:rPr>
                <w:rFonts w:cs="Arial"/>
                <w:b/>
              </w:rPr>
              <w:t>(</w:t>
            </w:r>
            <w:r w:rsidRPr="002A1A1A">
              <w:rPr>
                <w:rFonts w:cs="Arial"/>
                <w:b/>
              </w:rPr>
              <w:t>version 2015B2)</w:t>
            </w:r>
          </w:p>
          <w:p w14:paraId="7F964012" w14:textId="77777777" w:rsidR="00A309AB" w:rsidRDefault="00A309AB" w:rsidP="00A309AB">
            <w:pPr>
              <w:rPr>
                <w:b/>
              </w:rPr>
            </w:pPr>
          </w:p>
          <w:p w14:paraId="4224F0DE" w14:textId="77777777" w:rsidR="00A309AB" w:rsidRPr="006E0E0B" w:rsidRDefault="00A309AB" w:rsidP="00A309AB">
            <w:pPr>
              <w:autoSpaceDE w:val="0"/>
              <w:autoSpaceDN w:val="0"/>
              <w:adjustRightInd w:val="0"/>
              <w:rPr>
                <w:b/>
                <w:bCs/>
              </w:rPr>
            </w:pPr>
            <w:r w:rsidRPr="006E0E0B">
              <w:rPr>
                <w:b/>
                <w:bCs/>
              </w:rPr>
              <w:t>Reporting Time Period:</w:t>
            </w:r>
            <w:r>
              <w:rPr>
                <w:b/>
                <w:bCs/>
              </w:rPr>
              <w:t xml:space="preserve"> 9 months</w:t>
            </w:r>
          </w:p>
          <w:p w14:paraId="1E395815" w14:textId="77777777" w:rsidR="00A309AB" w:rsidRPr="00A309AB" w:rsidRDefault="00A309AB" w:rsidP="00A309AB">
            <w:pPr>
              <w:rPr>
                <w:b/>
              </w:rPr>
            </w:pPr>
            <w:r>
              <w:rPr>
                <w:bCs/>
              </w:rPr>
              <w:t>October 1, 2015 – June 30, 2016</w:t>
            </w:r>
          </w:p>
        </w:tc>
      </w:tr>
      <w:tr w:rsidR="00A309AB" w:rsidRPr="00BC2D78" w14:paraId="036C25B4" w14:textId="77777777" w:rsidTr="00090588">
        <w:trPr>
          <w:jc w:val="center"/>
        </w:trPr>
        <w:tc>
          <w:tcPr>
            <w:tcW w:w="4945" w:type="dxa"/>
          </w:tcPr>
          <w:p w14:paraId="033D6807" w14:textId="77777777" w:rsidR="00A309AB" w:rsidRPr="00A309AB" w:rsidRDefault="00A309AB" w:rsidP="00A309AB">
            <w:pPr>
              <w:rPr>
                <w:rFonts w:cs="Arial"/>
              </w:rPr>
            </w:pPr>
            <w:r w:rsidRPr="007B42A0">
              <w:rPr>
                <w:b/>
                <w:u w:val="single"/>
              </w:rPr>
              <w:t>If you participate with The Joint Commission</w:t>
            </w:r>
            <w:r w:rsidRPr="007B42A0">
              <w:t>, measured adherence to this process-of-care quality indicator, reported the results to The Joint Commission, and continue to submit these data to The Joint Commission, use those data when responding to this subsection of the survey.</w:t>
            </w:r>
          </w:p>
          <w:p w14:paraId="65CC85FE" w14:textId="77777777" w:rsidR="00A309AB" w:rsidRPr="007B42A0" w:rsidRDefault="00A309AB" w:rsidP="00A309AB">
            <w:pPr>
              <w:rPr>
                <w:rFonts w:cs="Arial"/>
              </w:rPr>
            </w:pPr>
          </w:p>
          <w:p w14:paraId="723D5CFB" w14:textId="77777777" w:rsidR="00A309AB" w:rsidRDefault="00A309AB" w:rsidP="00A309AB">
            <w:pPr>
              <w:rPr>
                <w:rFonts w:cs="Arial"/>
              </w:rPr>
            </w:pPr>
            <w:r w:rsidRPr="007B42A0">
              <w:rPr>
                <w:rFonts w:cs="Arial"/>
                <w:b/>
                <w:u w:val="single"/>
              </w:rPr>
              <w:t>Otherwise, use The Joint Commission’s PC-03 Antenatal Steroids measure specifications (version 2015A</w:t>
            </w:r>
            <w:r>
              <w:rPr>
                <w:rFonts w:cs="Arial"/>
                <w:b/>
                <w:u w:val="single"/>
              </w:rPr>
              <w:t>1</w:t>
            </w:r>
            <w:r w:rsidRPr="007B42A0">
              <w:rPr>
                <w:rFonts w:cs="Arial"/>
                <w:b/>
                <w:u w:val="single"/>
              </w:rPr>
              <w:t>) detailed below</w:t>
            </w:r>
            <w:r w:rsidRPr="007B42A0">
              <w:rPr>
                <w:rFonts w:cs="Arial"/>
              </w:rPr>
              <w:t xml:space="preserve"> to retrospectively collect and report data for this measure. To access the measure specifications directly on The Joint Commission’s website, visit </w:t>
            </w:r>
            <w:hyperlink r:id="rId128" w:history="1">
              <w:r w:rsidRPr="00E85B55">
                <w:rPr>
                  <w:rStyle w:val="Hyperlink"/>
                  <w:rFonts w:cs="Arial"/>
                </w:rPr>
                <w:t>https://manual.jointcommission.org/releases/TJC2015A1/MIF0168.html</w:t>
              </w:r>
            </w:hyperlink>
            <w:r>
              <w:rPr>
                <w:rFonts w:cs="Arial"/>
              </w:rPr>
              <w:t xml:space="preserve">. </w:t>
            </w:r>
          </w:p>
          <w:p w14:paraId="3724F5C1" w14:textId="77777777" w:rsidR="00A309AB" w:rsidRDefault="00A309AB" w:rsidP="00A309AB"/>
          <w:p w14:paraId="1FF4CE99" w14:textId="77777777" w:rsidR="00A309AB" w:rsidRDefault="00A309AB" w:rsidP="00A309AB"/>
          <w:p w14:paraId="0DA68320" w14:textId="77777777" w:rsidR="00A309AB" w:rsidRPr="00083AEA" w:rsidRDefault="00A309AB" w:rsidP="00A309AB"/>
        </w:tc>
        <w:tc>
          <w:tcPr>
            <w:tcW w:w="5049" w:type="dxa"/>
          </w:tcPr>
          <w:p w14:paraId="4801174D" w14:textId="77777777" w:rsidR="00A309AB" w:rsidRPr="00A309AB" w:rsidRDefault="00A309AB" w:rsidP="00A309AB">
            <w:pPr>
              <w:rPr>
                <w:rFonts w:cs="Arial"/>
              </w:rPr>
            </w:pPr>
            <w:r w:rsidRPr="007B42A0">
              <w:rPr>
                <w:b/>
                <w:u w:val="single"/>
              </w:rPr>
              <w:t>If you participate with The Joint Commission</w:t>
            </w:r>
            <w:r w:rsidRPr="007B42A0">
              <w:t>, measured adherence to this process-of-care quality indicator, reported the results to The Joint Commission, and continue to submit these data to The Joint Commission, use those data when responding to this subsection of the survey.</w:t>
            </w:r>
          </w:p>
          <w:p w14:paraId="6CE7B30C" w14:textId="77777777" w:rsidR="00A309AB" w:rsidRPr="007B42A0" w:rsidRDefault="00A309AB" w:rsidP="00A309AB">
            <w:pPr>
              <w:rPr>
                <w:rFonts w:cs="Arial"/>
              </w:rPr>
            </w:pPr>
          </w:p>
          <w:p w14:paraId="0FCCB78B" w14:textId="77777777" w:rsidR="00A309AB" w:rsidRPr="00AC1445" w:rsidRDefault="00A309AB" w:rsidP="00A309AB">
            <w:pPr>
              <w:rPr>
                <w:rFonts w:cs="Arial"/>
              </w:rPr>
            </w:pPr>
            <w:r w:rsidRPr="00AC1445">
              <w:rPr>
                <w:rFonts w:cs="Arial"/>
                <w:b/>
                <w:u w:val="single"/>
              </w:rPr>
              <w:t>Otherwise, use The Joint Commission’s PC-03 Antenatal Steroids measur</w:t>
            </w:r>
            <w:r>
              <w:rPr>
                <w:rFonts w:cs="Arial"/>
                <w:b/>
                <w:u w:val="single"/>
              </w:rPr>
              <w:t>e specifications (version 2015B2</w:t>
            </w:r>
            <w:r w:rsidRPr="00AC1445">
              <w:rPr>
                <w:rFonts w:cs="Arial"/>
                <w:b/>
                <w:u w:val="single"/>
              </w:rPr>
              <w:t>) detailed below</w:t>
            </w:r>
            <w:r w:rsidRPr="00AC1445">
              <w:rPr>
                <w:rFonts w:cs="Arial"/>
              </w:rPr>
              <w:t xml:space="preserve"> to retrospectively collect and report data for this measure. To access the measure specifications directly on The Joint Commission’s website, visit </w:t>
            </w:r>
            <w:hyperlink r:id="rId129" w:history="1">
              <w:r w:rsidRPr="00E85B55">
                <w:rPr>
                  <w:rStyle w:val="Hyperlink"/>
                  <w:rFonts w:cs="Arial"/>
                </w:rPr>
                <w:t>https://manual.jointcommission.org/releases/TJC2015B2/MIF0168.html</w:t>
              </w:r>
            </w:hyperlink>
            <w:r w:rsidRPr="00AC1445">
              <w:rPr>
                <w:rFonts w:cs="Arial"/>
              </w:rPr>
              <w:t>.</w:t>
            </w:r>
            <w:r>
              <w:rPr>
                <w:rFonts w:cs="Arial"/>
              </w:rPr>
              <w:t xml:space="preserve"> </w:t>
            </w:r>
            <w:r w:rsidRPr="00AC1445">
              <w:rPr>
                <w:rFonts w:cs="Arial"/>
              </w:rPr>
              <w:t xml:space="preserve"> </w:t>
            </w:r>
          </w:p>
          <w:p w14:paraId="3BA9FD6D" w14:textId="77777777" w:rsidR="00A309AB" w:rsidRPr="00A309AB" w:rsidRDefault="00A309AB" w:rsidP="00A309AB">
            <w:pPr>
              <w:rPr>
                <w:rFonts w:cs="Arial"/>
              </w:rPr>
            </w:pPr>
          </w:p>
        </w:tc>
      </w:tr>
      <w:tr w:rsidR="00A309AB" w:rsidRPr="00BC2D78" w14:paraId="0E7B9E30" w14:textId="77777777" w:rsidTr="000469EC">
        <w:trPr>
          <w:jc w:val="center"/>
        </w:trPr>
        <w:tc>
          <w:tcPr>
            <w:tcW w:w="9994" w:type="dxa"/>
            <w:gridSpan w:val="2"/>
          </w:tcPr>
          <w:p w14:paraId="66EF1B77" w14:textId="77777777" w:rsidR="00A309AB" w:rsidRPr="00E77326" w:rsidRDefault="00A309AB" w:rsidP="00A309AB">
            <w:pPr>
              <w:rPr>
                <w:rFonts w:cs="Arial"/>
                <w:b/>
              </w:rPr>
            </w:pPr>
            <w:r w:rsidRPr="00E77326">
              <w:rPr>
                <w:rFonts w:cs="Arial"/>
                <w:b/>
              </w:rPr>
              <w:t xml:space="preserve">Sampling Cases: </w:t>
            </w:r>
            <w:r w:rsidRPr="00E77326">
              <w:rPr>
                <w:rFonts w:cs="Arial"/>
              </w:rPr>
              <w:t xml:space="preserve">Hospitals that report the Perinatal Care Measure Set to TJC may use the sampling methodology used by the TJC to report on these questions. </w:t>
            </w:r>
          </w:p>
          <w:p w14:paraId="7DFDA375" w14:textId="77777777" w:rsidR="001F0A55" w:rsidRPr="00E77326" w:rsidRDefault="001F0A55" w:rsidP="001F0A55">
            <w:pPr>
              <w:pStyle w:val="EndnoteText"/>
              <w:rPr>
                <w:rFonts w:cs="Arial"/>
                <w:highlight w:val="yellow"/>
              </w:rPr>
            </w:pPr>
          </w:p>
          <w:p w14:paraId="0674A9AE" w14:textId="210BDC30" w:rsidR="001F0A55" w:rsidRPr="00E77326" w:rsidRDefault="001F0A55" w:rsidP="001F0A55">
            <w:pPr>
              <w:pStyle w:val="EndnoteText"/>
              <w:rPr>
                <w:highlight w:val="yellow"/>
              </w:rPr>
            </w:pPr>
            <w:r w:rsidRPr="00E77326">
              <w:rPr>
                <w:rFonts w:cs="Arial"/>
                <w:highlight w:val="yellow"/>
              </w:rPr>
              <w:t xml:space="preserve">Otherwise, </w:t>
            </w:r>
            <w:r w:rsidRPr="00E77326">
              <w:rPr>
                <w:highlight w:val="yellow"/>
              </w:rPr>
              <w:t xml:space="preserve">if you have </w:t>
            </w:r>
            <w:r w:rsidR="00E77326" w:rsidRPr="00E77326">
              <w:rPr>
                <w:highlight w:val="yellow"/>
                <w:u w:val="single"/>
              </w:rPr>
              <w:t>fewer than 45</w:t>
            </w:r>
            <w:r w:rsidRPr="00E77326">
              <w:rPr>
                <w:highlight w:val="yellow"/>
                <w:u w:val="single"/>
              </w:rPr>
              <w:t xml:space="preserve"> cases</w:t>
            </w:r>
            <w:r w:rsidRPr="00E77326">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increase the eligible cases beyond 60; just measure and report on ALL eligible cases that you have in that reporting time period. </w:t>
            </w:r>
          </w:p>
          <w:p w14:paraId="449E3A86" w14:textId="77777777" w:rsidR="001F0A55" w:rsidRPr="00E77326" w:rsidRDefault="001F0A55" w:rsidP="001F0A55">
            <w:pPr>
              <w:pStyle w:val="EndnoteText"/>
              <w:rPr>
                <w:highlight w:val="yellow"/>
              </w:rPr>
            </w:pPr>
          </w:p>
          <w:p w14:paraId="0537F702" w14:textId="605739F3" w:rsidR="001F0A55" w:rsidRDefault="001F0A55" w:rsidP="001F0A55">
            <w:pPr>
              <w:pStyle w:val="EndnoteText"/>
            </w:pPr>
            <w:r w:rsidRPr="00E77326">
              <w:rPr>
                <w:highlight w:val="yellow"/>
              </w:rPr>
              <w:t xml:space="preserve">If you have </w:t>
            </w:r>
            <w:r w:rsidR="00E77326" w:rsidRPr="00E77326">
              <w:rPr>
                <w:highlight w:val="yellow"/>
                <w:u w:val="single"/>
              </w:rPr>
              <w:t>more than 45</w:t>
            </w:r>
            <w:r w:rsidRPr="00E77326">
              <w:rPr>
                <w:highlight w:val="yellow"/>
                <w:u w:val="single"/>
              </w:rPr>
              <w:t xml:space="preserve"> cases</w:t>
            </w:r>
            <w:r w:rsidRPr="00E77326">
              <w:rPr>
                <w:highlight w:val="yellow"/>
              </w:rPr>
              <w:t xml:space="preserve"> that meet the criteria for inclusion in the denominator of the process measure </w:t>
            </w:r>
            <w:r w:rsidRPr="00E77326">
              <w:rPr>
                <w:highlight w:val="yellow"/>
              </w:rPr>
              <w:lastRenderedPageBreak/>
              <w:t>during the time period of the medical record a</w:t>
            </w:r>
            <w:r w:rsidR="00E77326" w:rsidRPr="00E77326">
              <w:rPr>
                <w:highlight w:val="yellow"/>
              </w:rPr>
              <w:t>udit, you may randomly sample 45</w:t>
            </w:r>
            <w:r w:rsidRPr="00E77326">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4F0BB069" w14:textId="77777777" w:rsidR="00A309AB" w:rsidRPr="007B42A0" w:rsidRDefault="00A309AB" w:rsidP="001F0A55">
            <w:pPr>
              <w:rPr>
                <w:b/>
                <w:u w:val="single"/>
              </w:rPr>
            </w:pPr>
          </w:p>
        </w:tc>
      </w:tr>
      <w:tr w:rsidR="00A309AB" w:rsidRPr="00BC2D78" w14:paraId="4932DBD1" w14:textId="77777777" w:rsidTr="00090588">
        <w:trPr>
          <w:trHeight w:val="692"/>
          <w:jc w:val="center"/>
        </w:trPr>
        <w:tc>
          <w:tcPr>
            <w:tcW w:w="4945" w:type="dxa"/>
          </w:tcPr>
          <w:p w14:paraId="37705C73" w14:textId="77777777" w:rsidR="00A309AB" w:rsidRPr="00914837" w:rsidRDefault="00A309AB" w:rsidP="00746A0E">
            <w:pPr>
              <w:autoSpaceDE w:val="0"/>
              <w:autoSpaceDN w:val="0"/>
              <w:adjustRightInd w:val="0"/>
              <w:rPr>
                <w:rFonts w:cs="Arial"/>
                <w:b/>
              </w:rPr>
            </w:pPr>
            <w:r>
              <w:rPr>
                <w:rFonts w:cs="Arial"/>
                <w:b/>
              </w:rPr>
              <w:lastRenderedPageBreak/>
              <w:t xml:space="preserve">Question 16 (denominator): </w:t>
            </w:r>
            <w:r w:rsidRPr="00914837">
              <w:rPr>
                <w:rFonts w:cs="Arial"/>
                <w:shd w:val="clear" w:color="auto" w:fill="FFFFFF"/>
              </w:rPr>
              <w:t xml:space="preserve">Patients delivering live preterm newborns with &gt;=24 and &lt;34 weeks gestation completed. </w:t>
            </w:r>
          </w:p>
          <w:p w14:paraId="6C97666A" w14:textId="77777777" w:rsidR="00A309AB" w:rsidRDefault="00A309AB" w:rsidP="00746A0E">
            <w:pPr>
              <w:rPr>
                <w:rStyle w:val="Strong"/>
                <w:rFonts w:cs="Arial"/>
                <w:color w:val="444444"/>
                <w:sz w:val="21"/>
                <w:szCs w:val="21"/>
                <w:bdr w:val="none" w:sz="0" w:space="0" w:color="auto" w:frame="1"/>
                <w:shd w:val="clear" w:color="auto" w:fill="FFFFFF"/>
              </w:rPr>
            </w:pPr>
          </w:p>
          <w:p w14:paraId="0740EB05" w14:textId="77777777" w:rsidR="00A309AB" w:rsidRPr="00640E85" w:rsidRDefault="00A309AB" w:rsidP="00746A0E">
            <w:pPr>
              <w:rPr>
                <w:rFonts w:ascii="Times New Roman" w:hAnsi="Times New Roman"/>
              </w:rPr>
            </w:pPr>
            <w:r w:rsidRPr="00640E85">
              <w:rPr>
                <w:rStyle w:val="Strong"/>
                <w:rFonts w:cs="Arial"/>
                <w:bdr w:val="none" w:sz="0" w:space="0" w:color="auto" w:frame="1"/>
                <w:shd w:val="clear" w:color="auto" w:fill="FFFFFF"/>
              </w:rPr>
              <w:t>Included Populations:</w:t>
            </w:r>
          </w:p>
          <w:p w14:paraId="6084D1B1" w14:textId="77777777" w:rsidR="00A309AB" w:rsidRPr="00640E85" w:rsidRDefault="00A309AB" w:rsidP="00ED58C1">
            <w:pPr>
              <w:numPr>
                <w:ilvl w:val="0"/>
                <w:numId w:val="88"/>
              </w:numPr>
              <w:ind w:left="738"/>
              <w:rPr>
                <w:rFonts w:cs="Arial"/>
              </w:rPr>
            </w:pPr>
            <w:r w:rsidRPr="00640E85">
              <w:rPr>
                <w:rStyle w:val="Emphasis"/>
                <w:rFonts w:cs="Arial"/>
                <w:bdr w:val="none" w:sz="0" w:space="0" w:color="auto" w:frame="1"/>
              </w:rPr>
              <w:t>ICD-9-CM Principal or ICD-9-CM Other Diagnosis Codes</w:t>
            </w:r>
            <w:r w:rsidRPr="00640E85">
              <w:rPr>
                <w:rStyle w:val="apple-converted-space"/>
                <w:rFonts w:cs="Arial"/>
              </w:rPr>
              <w:t> </w:t>
            </w:r>
            <w:r w:rsidRPr="00640E85">
              <w:rPr>
                <w:rFonts w:cs="Arial"/>
              </w:rPr>
              <w:t xml:space="preserve">for pregnancy as defined in Appendix A, Tables </w:t>
            </w:r>
            <w:hyperlink r:id="rId130" w:anchor="Table_Number_11.01:_Complication_Mainly_Related_to_Pregnancy" w:history="1">
              <w:r w:rsidRPr="007F448D">
                <w:rPr>
                  <w:rStyle w:val="Hyperlink"/>
                  <w:rFonts w:cs="Arial"/>
                </w:rPr>
                <w:t>11.01</w:t>
              </w:r>
            </w:hyperlink>
            <w:r w:rsidRPr="00640E85">
              <w:rPr>
                <w:rFonts w:cs="Arial"/>
              </w:rPr>
              <w:t xml:space="preserve">, </w:t>
            </w:r>
            <w:hyperlink r:id="rId131" w:anchor="Table_Number_11.02:_Normal_Delivery_and_Other_Indications_for_Care" w:history="1">
              <w:r w:rsidRPr="007F448D">
                <w:rPr>
                  <w:rStyle w:val="Hyperlink"/>
                  <w:rFonts w:cs="Arial"/>
                </w:rPr>
                <w:t>11.02</w:t>
              </w:r>
            </w:hyperlink>
            <w:r w:rsidRPr="00640E85">
              <w:rPr>
                <w:rFonts w:cs="Arial"/>
              </w:rPr>
              <w:t xml:space="preserve">, </w:t>
            </w:r>
            <w:hyperlink r:id="rId132" w:anchor="Table_Number_11.03:_Complication_Mainly_in_the_Course_of_Labor_and_Delivery" w:history="1">
              <w:r w:rsidRPr="007F448D">
                <w:rPr>
                  <w:rStyle w:val="Hyperlink"/>
                  <w:rFonts w:cs="Arial"/>
                </w:rPr>
                <w:t>11.03</w:t>
              </w:r>
            </w:hyperlink>
            <w:r w:rsidRPr="00640E85">
              <w:rPr>
                <w:rFonts w:cs="Arial"/>
              </w:rPr>
              <w:t xml:space="preserve"> or </w:t>
            </w:r>
            <w:hyperlink r:id="rId133" w:anchor="Table_Number_11.04:_Complication_of_the_Puerperium" w:history="1">
              <w:r w:rsidRPr="007F448D">
                <w:rPr>
                  <w:rStyle w:val="Hyperlink"/>
                  <w:rFonts w:cs="Arial"/>
                </w:rPr>
                <w:t>11.04</w:t>
              </w:r>
            </w:hyperlink>
          </w:p>
          <w:p w14:paraId="626D59F3" w14:textId="77777777" w:rsidR="00A309AB" w:rsidRDefault="00A309AB" w:rsidP="00746A0E">
            <w:pPr>
              <w:rPr>
                <w:rStyle w:val="Strong"/>
                <w:rFonts w:cs="Arial"/>
                <w:bdr w:val="none" w:sz="0" w:space="0" w:color="auto" w:frame="1"/>
                <w:shd w:val="clear" w:color="auto" w:fill="FFFFFF"/>
              </w:rPr>
            </w:pPr>
          </w:p>
          <w:p w14:paraId="1820B9A3" w14:textId="77777777" w:rsidR="00A309AB" w:rsidRPr="00640E85" w:rsidRDefault="00A309AB" w:rsidP="00746A0E">
            <w:pPr>
              <w:rPr>
                <w:rFonts w:ascii="Times New Roman" w:hAnsi="Times New Roman"/>
              </w:rPr>
            </w:pPr>
            <w:r w:rsidRPr="00640E85">
              <w:rPr>
                <w:rStyle w:val="Strong"/>
                <w:rFonts w:cs="Arial"/>
                <w:bdr w:val="none" w:sz="0" w:space="0" w:color="auto" w:frame="1"/>
                <w:shd w:val="clear" w:color="auto" w:fill="FFFFFF"/>
              </w:rPr>
              <w:t>Excluded Populations:</w:t>
            </w:r>
          </w:p>
          <w:p w14:paraId="3A7E6D72" w14:textId="77777777" w:rsidR="00A309AB" w:rsidRPr="00640E85" w:rsidRDefault="00A309AB" w:rsidP="00ED58C1">
            <w:pPr>
              <w:numPr>
                <w:ilvl w:val="0"/>
                <w:numId w:val="89"/>
              </w:numPr>
              <w:ind w:left="738"/>
              <w:rPr>
                <w:rFonts w:cs="Arial"/>
              </w:rPr>
            </w:pPr>
            <w:r w:rsidRPr="00640E85">
              <w:rPr>
                <w:rFonts w:cs="Arial"/>
              </w:rPr>
              <w:t>Less than 8 years of age</w:t>
            </w:r>
          </w:p>
          <w:p w14:paraId="1F396FFB" w14:textId="77777777" w:rsidR="00A309AB" w:rsidRPr="00640E85" w:rsidRDefault="00A309AB" w:rsidP="00ED58C1">
            <w:pPr>
              <w:numPr>
                <w:ilvl w:val="0"/>
                <w:numId w:val="89"/>
              </w:numPr>
              <w:ind w:left="738"/>
              <w:rPr>
                <w:rFonts w:cs="Arial"/>
              </w:rPr>
            </w:pPr>
            <w:r w:rsidRPr="00640E85">
              <w:rPr>
                <w:rFonts w:cs="Arial"/>
              </w:rPr>
              <w:t>Greater than or equal to 65 years of age</w:t>
            </w:r>
          </w:p>
          <w:p w14:paraId="7989A12F" w14:textId="77777777" w:rsidR="00A309AB" w:rsidRPr="00640E85" w:rsidRDefault="00A309AB" w:rsidP="00ED58C1">
            <w:pPr>
              <w:numPr>
                <w:ilvl w:val="0"/>
                <w:numId w:val="89"/>
              </w:numPr>
              <w:ind w:left="738"/>
              <w:rPr>
                <w:rFonts w:cs="Arial"/>
              </w:rPr>
            </w:pPr>
            <w:r w:rsidRPr="00640E85">
              <w:rPr>
                <w:rFonts w:cs="Arial"/>
              </w:rPr>
              <w:t>Length of Stay &gt;120 days</w:t>
            </w:r>
          </w:p>
          <w:p w14:paraId="2FF98056" w14:textId="77777777" w:rsidR="00A309AB" w:rsidRPr="00640E85" w:rsidRDefault="00A309AB" w:rsidP="00ED58C1">
            <w:pPr>
              <w:numPr>
                <w:ilvl w:val="0"/>
                <w:numId w:val="89"/>
              </w:numPr>
              <w:ind w:left="738"/>
              <w:rPr>
                <w:rFonts w:cs="Arial"/>
              </w:rPr>
            </w:pPr>
            <w:r w:rsidRPr="00640E85">
              <w:rPr>
                <w:rFonts w:cs="Arial"/>
              </w:rPr>
              <w:t>Enrolled in clinical trials</w:t>
            </w:r>
          </w:p>
          <w:p w14:paraId="11BD2B40" w14:textId="77777777" w:rsidR="00A309AB" w:rsidRPr="004C5B03" w:rsidRDefault="00A309AB" w:rsidP="00ED58C1">
            <w:pPr>
              <w:numPr>
                <w:ilvl w:val="0"/>
                <w:numId w:val="89"/>
              </w:numPr>
              <w:ind w:left="738"/>
              <w:rPr>
                <w:rStyle w:val="Hyperlink"/>
                <w:rFonts w:cs="Arial"/>
              </w:rPr>
            </w:pPr>
            <w:r w:rsidRPr="00640E85">
              <w:rPr>
                <w:rFonts w:cs="Arial"/>
              </w:rPr>
              <w:t>Documented</w:t>
            </w:r>
            <w:r w:rsidRPr="00640E85">
              <w:rPr>
                <w:rStyle w:val="apple-converted-space"/>
                <w:rFonts w:cs="Arial"/>
              </w:rPr>
              <w:t> </w:t>
            </w:r>
            <w:r>
              <w:rPr>
                <w:rFonts w:cs="Arial"/>
                <w:bdr w:val="none" w:sz="0" w:space="0" w:color="auto" w:frame="1"/>
              </w:rPr>
              <w:fldChar w:fldCharType="begin"/>
            </w:r>
            <w:r>
              <w:rPr>
                <w:rFonts w:cs="Arial"/>
                <w:bdr w:val="none" w:sz="0" w:space="0" w:color="auto" w:frame="1"/>
              </w:rPr>
              <w:instrText xml:space="preserve"> HYPERLINK "https://manual.jointcommission.org/releases/TJC2015A1/DataElem0269.html" </w:instrText>
            </w:r>
            <w:r>
              <w:rPr>
                <w:rFonts w:cs="Arial"/>
                <w:bdr w:val="none" w:sz="0" w:space="0" w:color="auto" w:frame="1"/>
              </w:rPr>
              <w:fldChar w:fldCharType="separate"/>
            </w:r>
            <w:r w:rsidRPr="002A1A1A">
              <w:rPr>
                <w:rStyle w:val="Hyperlink"/>
                <w:rFonts w:cs="Arial"/>
                <w:i/>
                <w:bdr w:val="none" w:sz="0" w:space="0" w:color="auto" w:frame="1"/>
              </w:rPr>
              <w:t>Reason for Not Initiating Antenatal Steroid Therapy</w:t>
            </w:r>
          </w:p>
          <w:p w14:paraId="2130FF15" w14:textId="77777777" w:rsidR="00A309AB" w:rsidRPr="00640E85" w:rsidRDefault="00A309AB" w:rsidP="00ED58C1">
            <w:pPr>
              <w:numPr>
                <w:ilvl w:val="0"/>
                <w:numId w:val="89"/>
              </w:numPr>
              <w:ind w:left="738"/>
              <w:rPr>
                <w:rFonts w:cs="Arial"/>
              </w:rPr>
            </w:pPr>
            <w:r>
              <w:rPr>
                <w:rFonts w:cs="Arial"/>
                <w:bdr w:val="none" w:sz="0" w:space="0" w:color="auto" w:frame="1"/>
              </w:rPr>
              <w:fldChar w:fldCharType="end"/>
            </w:r>
            <w:r w:rsidRPr="00640E85">
              <w:rPr>
                <w:rStyle w:val="Emphasis"/>
                <w:rFonts w:cs="Arial"/>
                <w:bdr w:val="none" w:sz="0" w:space="0" w:color="auto" w:frame="1"/>
              </w:rPr>
              <w:t>ICD-9-CM Principal Diagnosis Code or ICD-9-CM Other Diagnosis Codes</w:t>
            </w:r>
            <w:r w:rsidRPr="00640E85">
              <w:rPr>
                <w:rStyle w:val="apple-converted-space"/>
                <w:rFonts w:cs="Arial"/>
              </w:rPr>
              <w:t> </w:t>
            </w:r>
            <w:r w:rsidRPr="00640E85">
              <w:rPr>
                <w:rFonts w:cs="Arial"/>
              </w:rPr>
              <w:t>for fetal demise as defined in Appendix A,</w:t>
            </w:r>
            <w:r w:rsidR="00EC4898">
              <w:rPr>
                <w:rFonts w:cs="Arial"/>
              </w:rPr>
              <w:t xml:space="preserve"> Table </w:t>
            </w:r>
            <w:hyperlink r:id="rId134" w:anchor="Table_Number_11.09.1:_Fetal_Demise" w:history="1">
              <w:r w:rsidR="00EC4898">
                <w:rPr>
                  <w:rStyle w:val="Hyperlink"/>
                  <w:rFonts w:cs="Arial"/>
                </w:rPr>
                <w:t>11.09.1</w:t>
              </w:r>
            </w:hyperlink>
          </w:p>
          <w:p w14:paraId="6FB69162" w14:textId="77777777" w:rsidR="00A309AB" w:rsidRPr="00640E85" w:rsidRDefault="00E9134C" w:rsidP="00ED58C1">
            <w:pPr>
              <w:numPr>
                <w:ilvl w:val="0"/>
                <w:numId w:val="89"/>
              </w:numPr>
              <w:ind w:left="738"/>
              <w:rPr>
                <w:rFonts w:cs="Arial"/>
              </w:rPr>
            </w:pPr>
            <w:hyperlink r:id="rId135" w:history="1">
              <w:r w:rsidR="00A309AB" w:rsidRPr="002A1A1A">
                <w:rPr>
                  <w:rStyle w:val="Hyperlink"/>
                  <w:rFonts w:cs="Arial"/>
                  <w:i/>
                  <w:bdr w:val="none" w:sz="0" w:space="0" w:color="auto" w:frame="1"/>
                </w:rPr>
                <w:t>Gestational Age</w:t>
              </w:r>
            </w:hyperlink>
            <w:r w:rsidR="00A309AB" w:rsidRPr="00640E85">
              <w:rPr>
                <w:rStyle w:val="apple-converted-space"/>
                <w:rFonts w:cs="Arial"/>
              </w:rPr>
              <w:t> </w:t>
            </w:r>
            <w:r w:rsidR="00A309AB" w:rsidRPr="00640E85">
              <w:rPr>
                <w:rFonts w:cs="Arial"/>
              </w:rPr>
              <w:t>&lt; 24 or &gt;= 34 weeks or UTD</w:t>
            </w:r>
          </w:p>
          <w:p w14:paraId="49F444C0" w14:textId="77777777" w:rsidR="00A309AB" w:rsidRDefault="00A309AB" w:rsidP="00746A0E">
            <w:pPr>
              <w:rPr>
                <w:rStyle w:val="Strong"/>
                <w:rFonts w:cs="Arial"/>
                <w:bdr w:val="none" w:sz="0" w:space="0" w:color="auto" w:frame="1"/>
                <w:shd w:val="clear" w:color="auto" w:fill="FFFFFF"/>
              </w:rPr>
            </w:pPr>
          </w:p>
          <w:p w14:paraId="3AFE662C" w14:textId="77777777" w:rsidR="00A309AB" w:rsidRPr="004C5B03" w:rsidRDefault="00A309AB" w:rsidP="00746A0E">
            <w:pPr>
              <w:rPr>
                <w:rFonts w:ascii="Times New Roman" w:hAnsi="Times New Roman"/>
              </w:rPr>
            </w:pPr>
            <w:r w:rsidRPr="00640E85">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36" w:history="1">
              <w:r w:rsidRPr="00E85B55">
                <w:rPr>
                  <w:rStyle w:val="Hyperlink"/>
                  <w:rFonts w:cs="Arial"/>
                  <w:bdr w:val="none" w:sz="0" w:space="0" w:color="auto" w:frame="1"/>
                  <w:shd w:val="clear" w:color="auto" w:fill="FFFFFF"/>
                </w:rPr>
                <w:t>https://manual.jointcommission.org/releases/TJC2015A1/MIF0168.html</w:t>
              </w:r>
            </w:hyperlink>
            <w:r>
              <w:rPr>
                <w:rStyle w:val="Strong"/>
                <w:rFonts w:cs="Arial"/>
                <w:b w:val="0"/>
                <w:bdr w:val="none" w:sz="0" w:space="0" w:color="auto" w:frame="1"/>
                <w:shd w:val="clear" w:color="auto" w:fill="FFFFFF"/>
              </w:rPr>
              <w:t xml:space="preserve">. </w:t>
            </w:r>
            <w:r>
              <w:rPr>
                <w:rFonts w:cs="Arial"/>
              </w:rPr>
              <w:br/>
            </w:r>
          </w:p>
        </w:tc>
        <w:tc>
          <w:tcPr>
            <w:tcW w:w="5049" w:type="dxa"/>
          </w:tcPr>
          <w:p w14:paraId="4CA27974" w14:textId="77777777" w:rsidR="00A309AB" w:rsidRPr="007C045C" w:rsidRDefault="00A309AB" w:rsidP="00746A0E">
            <w:pPr>
              <w:autoSpaceDE w:val="0"/>
              <w:autoSpaceDN w:val="0"/>
              <w:adjustRightInd w:val="0"/>
              <w:rPr>
                <w:rFonts w:cs="Arial"/>
                <w:b/>
              </w:rPr>
            </w:pPr>
            <w:r w:rsidRPr="007C045C">
              <w:rPr>
                <w:rFonts w:cs="Arial"/>
                <w:b/>
              </w:rPr>
              <w:t xml:space="preserve">Question 16 (denominator) </w:t>
            </w:r>
            <w:r w:rsidRPr="007C045C">
              <w:rPr>
                <w:rFonts w:cs="Arial"/>
                <w:shd w:val="clear" w:color="auto" w:fill="FFFFFF"/>
              </w:rPr>
              <w:t>Patients delivering live preterm newborns with &gt;=24 and &lt;34 weeks gestation completed</w:t>
            </w:r>
            <w:r w:rsidRPr="007C045C">
              <w:rPr>
                <w:rFonts w:cs="Arial"/>
              </w:rPr>
              <w:t xml:space="preserve">. </w:t>
            </w:r>
          </w:p>
          <w:p w14:paraId="101A3E52" w14:textId="77777777" w:rsidR="00A309AB" w:rsidRPr="007C045C" w:rsidRDefault="00A309AB" w:rsidP="00746A0E">
            <w:pPr>
              <w:autoSpaceDE w:val="0"/>
              <w:autoSpaceDN w:val="0"/>
              <w:adjustRightInd w:val="0"/>
              <w:rPr>
                <w:rFonts w:cs="Arial"/>
                <w:b/>
              </w:rPr>
            </w:pPr>
          </w:p>
          <w:p w14:paraId="59D587D6" w14:textId="77777777" w:rsidR="00A309AB" w:rsidRPr="007C045C" w:rsidRDefault="00A309AB" w:rsidP="00746A0E">
            <w:pPr>
              <w:autoSpaceDE w:val="0"/>
              <w:autoSpaceDN w:val="0"/>
              <w:adjustRightInd w:val="0"/>
              <w:rPr>
                <w:rFonts w:cs="Arial"/>
                <w:b/>
              </w:rPr>
            </w:pPr>
            <w:r w:rsidRPr="007C045C">
              <w:rPr>
                <w:rFonts w:cs="Arial"/>
                <w:b/>
              </w:rPr>
              <w:t>Included Populations:</w:t>
            </w:r>
          </w:p>
          <w:p w14:paraId="6FC8F17C" w14:textId="77777777" w:rsidR="00A309AB" w:rsidRPr="007C045C" w:rsidRDefault="00A309AB" w:rsidP="00ED58C1">
            <w:pPr>
              <w:pStyle w:val="ListParagraph"/>
              <w:numPr>
                <w:ilvl w:val="0"/>
                <w:numId w:val="124"/>
              </w:numPr>
              <w:shd w:val="clear" w:color="auto" w:fill="FFFFFF"/>
              <w:contextualSpacing w:val="0"/>
              <w:rPr>
                <w:rFonts w:cs="Arial"/>
                <w:snapToGrid w:val="0"/>
                <w:color w:val="0000FF"/>
              </w:rPr>
            </w:pPr>
            <w:r w:rsidRPr="007C045C">
              <w:rPr>
                <w:rFonts w:cs="Arial"/>
                <w:i/>
              </w:rPr>
              <w:t xml:space="preserve">ICD-10-PCS Principal Procedure Code or ICD-10-PCS Other Procedure Codes </w:t>
            </w:r>
            <w:r w:rsidRPr="007C045C">
              <w:rPr>
                <w:rFonts w:cs="Arial"/>
              </w:rPr>
              <w:t xml:space="preserve">for delivery as defined in Appendix A, Table </w:t>
            </w:r>
            <w:hyperlink r:id="rId137" w:anchor="Table_Number_11.01.1:_Delivery" w:history="1">
              <w:r w:rsidRPr="007C045C">
                <w:rPr>
                  <w:rStyle w:val="Hyperlink"/>
                  <w:rFonts w:cs="Arial"/>
                </w:rPr>
                <w:t>11.01.1</w:t>
              </w:r>
            </w:hyperlink>
            <w:r w:rsidRPr="007C045C">
              <w:rPr>
                <w:rFonts w:cs="Arial"/>
              </w:rPr>
              <w:t>.</w:t>
            </w:r>
          </w:p>
          <w:p w14:paraId="0AE50C99" w14:textId="77777777" w:rsidR="00A309AB" w:rsidRPr="007C045C" w:rsidRDefault="00A309AB" w:rsidP="00746A0E">
            <w:pPr>
              <w:rPr>
                <w:rFonts w:cs="Arial"/>
                <w:b/>
              </w:rPr>
            </w:pPr>
          </w:p>
          <w:p w14:paraId="10210873" w14:textId="77777777" w:rsidR="00A309AB" w:rsidRPr="007C045C" w:rsidRDefault="00A309AB" w:rsidP="00746A0E">
            <w:pPr>
              <w:rPr>
                <w:rFonts w:cs="Arial"/>
              </w:rPr>
            </w:pPr>
            <w:r w:rsidRPr="007C045C">
              <w:rPr>
                <w:rFonts w:cs="Arial"/>
                <w:b/>
              </w:rPr>
              <w:t>Excluded Populations:</w:t>
            </w:r>
          </w:p>
          <w:p w14:paraId="5E4DE676" w14:textId="77777777" w:rsidR="00746A0E" w:rsidRDefault="00A309AB" w:rsidP="00ED58C1">
            <w:pPr>
              <w:pStyle w:val="ListParagraph"/>
              <w:numPr>
                <w:ilvl w:val="0"/>
                <w:numId w:val="124"/>
              </w:numPr>
              <w:shd w:val="clear" w:color="auto" w:fill="FFFFFF"/>
              <w:rPr>
                <w:rFonts w:cs="Arial"/>
              </w:rPr>
            </w:pPr>
            <w:r w:rsidRPr="00746A0E">
              <w:rPr>
                <w:rFonts w:cs="Arial"/>
              </w:rPr>
              <w:t>Less than 8 years of age</w:t>
            </w:r>
          </w:p>
          <w:p w14:paraId="6D8F3008" w14:textId="77777777" w:rsidR="00746A0E" w:rsidRPr="00746A0E" w:rsidRDefault="007E79A9" w:rsidP="00ED58C1">
            <w:pPr>
              <w:pStyle w:val="ListParagraph"/>
              <w:numPr>
                <w:ilvl w:val="0"/>
                <w:numId w:val="124"/>
              </w:numPr>
              <w:shd w:val="clear" w:color="auto" w:fill="FFFFFF"/>
              <w:rPr>
                <w:rFonts w:cs="Arial"/>
              </w:rPr>
            </w:pPr>
            <w:r w:rsidRPr="00746A0E">
              <w:rPr>
                <w:rFonts w:cs="Arial"/>
              </w:rPr>
              <w:t>G</w:t>
            </w:r>
            <w:r w:rsidR="00A309AB" w:rsidRPr="00746A0E">
              <w:rPr>
                <w:rFonts w:cs="Arial"/>
              </w:rPr>
              <w:t>reater than or equal to 65 years of age</w:t>
            </w:r>
          </w:p>
          <w:p w14:paraId="293283B7" w14:textId="77777777" w:rsidR="00746A0E" w:rsidRPr="00746A0E" w:rsidRDefault="00A309AB" w:rsidP="00ED58C1">
            <w:pPr>
              <w:pStyle w:val="ListParagraph"/>
              <w:numPr>
                <w:ilvl w:val="0"/>
                <w:numId w:val="124"/>
              </w:numPr>
              <w:shd w:val="clear" w:color="auto" w:fill="FFFFFF"/>
              <w:rPr>
                <w:rFonts w:cs="Arial"/>
              </w:rPr>
            </w:pPr>
            <w:r w:rsidRPr="00746A0E">
              <w:rPr>
                <w:rFonts w:cs="Arial"/>
              </w:rPr>
              <w:t>Length of Stay &gt;120 days</w:t>
            </w:r>
          </w:p>
          <w:p w14:paraId="11F3D109" w14:textId="77777777" w:rsidR="00746A0E" w:rsidRPr="00746A0E" w:rsidRDefault="00A309AB" w:rsidP="00ED58C1">
            <w:pPr>
              <w:pStyle w:val="ListParagraph"/>
              <w:numPr>
                <w:ilvl w:val="0"/>
                <w:numId w:val="124"/>
              </w:numPr>
              <w:shd w:val="clear" w:color="auto" w:fill="FFFFFF"/>
              <w:rPr>
                <w:rFonts w:cs="Arial"/>
              </w:rPr>
            </w:pPr>
            <w:r w:rsidRPr="00746A0E">
              <w:rPr>
                <w:rFonts w:cs="Arial"/>
              </w:rPr>
              <w:t>Enrolled in clinical trials</w:t>
            </w:r>
          </w:p>
          <w:p w14:paraId="51A6F9AB" w14:textId="77777777" w:rsidR="00746A0E" w:rsidRPr="00746A0E" w:rsidRDefault="00A309AB" w:rsidP="00ED58C1">
            <w:pPr>
              <w:pStyle w:val="ListParagraph"/>
              <w:numPr>
                <w:ilvl w:val="0"/>
                <w:numId w:val="124"/>
              </w:numPr>
              <w:shd w:val="clear" w:color="auto" w:fill="FFFFFF"/>
              <w:rPr>
                <w:rStyle w:val="Hyperlink"/>
                <w:rFonts w:cs="Arial"/>
              </w:rPr>
            </w:pPr>
            <w:r w:rsidRPr="00746A0E">
              <w:rPr>
                <w:rFonts w:cs="Arial"/>
              </w:rPr>
              <w:t>Documented </w:t>
            </w:r>
            <w:hyperlink r:id="rId138" w:history="1">
              <w:r w:rsidRPr="00746A0E">
                <w:rPr>
                  <w:rStyle w:val="Hyperlink"/>
                  <w:rFonts w:cs="Arial"/>
                  <w:i/>
                  <w:iCs/>
                </w:rPr>
                <w:t>Reason for Not Initiating Antenatal Steroids</w:t>
              </w:r>
            </w:hyperlink>
          </w:p>
          <w:p w14:paraId="0DC50631" w14:textId="77777777" w:rsidR="00746A0E" w:rsidRPr="00746A0E" w:rsidRDefault="00A309AB" w:rsidP="00ED58C1">
            <w:pPr>
              <w:pStyle w:val="ListParagraph"/>
              <w:numPr>
                <w:ilvl w:val="0"/>
                <w:numId w:val="124"/>
              </w:numPr>
              <w:shd w:val="clear" w:color="auto" w:fill="FFFFFF"/>
              <w:rPr>
                <w:rFonts w:cs="Arial"/>
              </w:rPr>
            </w:pPr>
            <w:r w:rsidRPr="002A1A1A">
              <w:rPr>
                <w:rFonts w:cs="Arial"/>
                <w:i/>
                <w:iCs/>
              </w:rPr>
              <w:t>ICD-10-CM Principal Diagnosis Code or ICD-10-CM Other Diagnosis Codes</w:t>
            </w:r>
            <w:r w:rsidRPr="00746A0E">
              <w:rPr>
                <w:rFonts w:cs="Arial"/>
              </w:rPr>
              <w:t xml:space="preserve"> for fetal demise as defined in Appendix A, Table </w:t>
            </w:r>
            <w:hyperlink r:id="rId139" w:anchor="Table_Number_11.09.1:_Fetal_Demise" w:history="1">
              <w:r w:rsidRPr="00746A0E">
                <w:rPr>
                  <w:rStyle w:val="Hyperlink"/>
                  <w:rFonts w:cs="Arial"/>
                </w:rPr>
                <w:t>11.09.1</w:t>
              </w:r>
            </w:hyperlink>
            <w:r w:rsidRPr="00746A0E">
              <w:rPr>
                <w:rFonts w:cs="Arial"/>
              </w:rPr>
              <w:t xml:space="preserve"> </w:t>
            </w:r>
          </w:p>
          <w:p w14:paraId="5A8B3CF2" w14:textId="77777777" w:rsidR="00A309AB" w:rsidRPr="00746A0E" w:rsidRDefault="00E9134C" w:rsidP="00ED58C1">
            <w:pPr>
              <w:pStyle w:val="ListParagraph"/>
              <w:numPr>
                <w:ilvl w:val="0"/>
                <w:numId w:val="124"/>
              </w:numPr>
              <w:shd w:val="clear" w:color="auto" w:fill="FFFFFF"/>
              <w:rPr>
                <w:rFonts w:cs="Arial"/>
              </w:rPr>
            </w:pPr>
            <w:hyperlink r:id="rId140" w:history="1">
              <w:r w:rsidR="00A309AB" w:rsidRPr="00746A0E">
                <w:rPr>
                  <w:rStyle w:val="Hyperlink"/>
                  <w:rFonts w:cs="Arial"/>
                  <w:i/>
                  <w:iCs/>
                </w:rPr>
                <w:t>Gestational Age</w:t>
              </w:r>
              <w:r w:rsidR="00A309AB" w:rsidRPr="00746A0E">
                <w:rPr>
                  <w:rStyle w:val="Hyperlink"/>
                  <w:rFonts w:cs="Arial"/>
                </w:rPr>
                <w:t> </w:t>
              </w:r>
            </w:hyperlink>
            <w:r w:rsidR="00A309AB" w:rsidRPr="00746A0E">
              <w:rPr>
                <w:rFonts w:cs="Arial"/>
              </w:rPr>
              <w:t>&lt; 24 or &gt;= 34 weeks or UTD</w:t>
            </w:r>
          </w:p>
          <w:p w14:paraId="2AAE0421" w14:textId="77777777" w:rsidR="00A309AB" w:rsidRPr="007C045C" w:rsidRDefault="00A309AB" w:rsidP="00746A0E">
            <w:pPr>
              <w:shd w:val="clear" w:color="auto" w:fill="FFFFFF"/>
              <w:rPr>
                <w:rFonts w:cs="Arial"/>
                <w:b/>
              </w:rPr>
            </w:pPr>
          </w:p>
          <w:p w14:paraId="70E13542" w14:textId="77777777" w:rsidR="00A309AB" w:rsidRDefault="00A309AB" w:rsidP="00746A0E">
            <w:pPr>
              <w:shd w:val="clear" w:color="auto" w:fill="FFFFFF"/>
              <w:rPr>
                <w:rFonts w:cs="Arial"/>
                <w:b/>
              </w:rPr>
            </w:pPr>
            <w:r w:rsidRPr="007C045C">
              <w:rPr>
                <w:rFonts w:cs="Arial"/>
                <w:b/>
              </w:rPr>
              <w:t>Data Eleme</w:t>
            </w:r>
            <w:r>
              <w:rPr>
                <w:rFonts w:cs="Arial"/>
                <w:b/>
              </w:rPr>
              <w:t xml:space="preserve">nts: </w:t>
            </w:r>
            <w:r w:rsidRPr="00762756">
              <w:rPr>
                <w:rFonts w:cs="Arial"/>
              </w:rPr>
              <w:t xml:space="preserve">Visit </w:t>
            </w:r>
            <w:hyperlink r:id="rId141" w:history="1">
              <w:r w:rsidRPr="00762756">
                <w:rPr>
                  <w:rStyle w:val="Hyperlink"/>
                  <w:rFonts w:cs="Arial"/>
                </w:rPr>
                <w:t>https://manual.jointcommission.org/releases/TJC2015B2/MIF0168.html</w:t>
              </w:r>
            </w:hyperlink>
            <w:r w:rsidRPr="00762756">
              <w:rPr>
                <w:rFonts w:cs="Arial"/>
              </w:rPr>
              <w:t>.</w:t>
            </w:r>
            <w:r>
              <w:rPr>
                <w:rFonts w:cs="Arial"/>
                <w:b/>
              </w:rPr>
              <w:t xml:space="preserve"> </w:t>
            </w:r>
          </w:p>
          <w:p w14:paraId="0AC52BED" w14:textId="77777777" w:rsidR="00A309AB" w:rsidRDefault="00A309AB" w:rsidP="00746A0E">
            <w:pPr>
              <w:autoSpaceDE w:val="0"/>
              <w:autoSpaceDN w:val="0"/>
              <w:adjustRightInd w:val="0"/>
              <w:rPr>
                <w:rFonts w:cs="Arial"/>
                <w:b/>
              </w:rPr>
            </w:pPr>
          </w:p>
        </w:tc>
      </w:tr>
      <w:tr w:rsidR="00A309AB" w:rsidRPr="00BC2D78" w14:paraId="375B5E38" w14:textId="77777777" w:rsidTr="00090588">
        <w:trPr>
          <w:trHeight w:val="692"/>
          <w:jc w:val="center"/>
        </w:trPr>
        <w:tc>
          <w:tcPr>
            <w:tcW w:w="4945" w:type="dxa"/>
          </w:tcPr>
          <w:p w14:paraId="3F27CE06" w14:textId="77777777" w:rsidR="00A309AB" w:rsidRDefault="00A309AB" w:rsidP="00746A0E">
            <w:pPr>
              <w:rPr>
                <w:rFonts w:cs="Arial"/>
                <w:shd w:val="clear" w:color="auto" w:fill="FFFFFF"/>
              </w:rPr>
            </w:pPr>
            <w:r>
              <w:rPr>
                <w:rFonts w:cs="Arial"/>
                <w:b/>
              </w:rPr>
              <w:t>Question 17 (numerator)</w:t>
            </w:r>
            <w:r w:rsidRPr="00E212BC">
              <w:rPr>
                <w:rFonts w:cs="Arial"/>
                <w:b/>
              </w:rPr>
              <w:t xml:space="preserve">: </w:t>
            </w:r>
            <w:r w:rsidRPr="00E212BC">
              <w:rPr>
                <w:rFonts w:cs="Arial"/>
              </w:rPr>
              <w:t xml:space="preserve">The number of </w:t>
            </w:r>
            <w:r w:rsidR="00EA6465">
              <w:rPr>
                <w:rFonts w:cs="Arial"/>
              </w:rPr>
              <w:t xml:space="preserve">patients </w:t>
            </w:r>
            <w:r>
              <w:rPr>
                <w:rFonts w:cs="Arial"/>
              </w:rPr>
              <w:t>included in the denominator</w:t>
            </w:r>
            <w:r w:rsidRPr="00E212BC">
              <w:rPr>
                <w:rFonts w:cs="Arial"/>
              </w:rPr>
              <w:t xml:space="preserve"> </w:t>
            </w:r>
            <w:r w:rsidRPr="00E212BC">
              <w:rPr>
                <w:rFonts w:cs="Arial"/>
                <w:shd w:val="clear" w:color="auto" w:fill="FFFFFF"/>
              </w:rPr>
              <w:t>with antenatal steroid therapy initiated prior to deliverin</w:t>
            </w:r>
            <w:r>
              <w:rPr>
                <w:rFonts w:cs="Arial"/>
                <w:shd w:val="clear" w:color="auto" w:fill="FFFFFF"/>
              </w:rPr>
              <w:t xml:space="preserve">g preterm newborns. </w:t>
            </w:r>
          </w:p>
          <w:p w14:paraId="751781A3" w14:textId="77777777" w:rsidR="00A309AB" w:rsidRDefault="00A309AB" w:rsidP="00746A0E">
            <w:pPr>
              <w:rPr>
                <w:rFonts w:cs="Arial"/>
                <w:shd w:val="clear" w:color="auto" w:fill="FFFFFF"/>
              </w:rPr>
            </w:pPr>
          </w:p>
          <w:p w14:paraId="21D532AB" w14:textId="77777777" w:rsidR="00065862" w:rsidRDefault="00A309AB" w:rsidP="00746A0E">
            <w:pPr>
              <w:rPr>
                <w:rStyle w:val="apple-converted-space"/>
                <w:rFonts w:cs="Arial"/>
                <w:shd w:val="clear" w:color="auto" w:fill="FFFFFF"/>
              </w:rPr>
            </w:pPr>
            <w:r w:rsidRPr="0081786B">
              <w:rPr>
                <w:rStyle w:val="Strong"/>
                <w:rFonts w:cs="Arial"/>
                <w:bdr w:val="none" w:sz="0" w:space="0" w:color="auto" w:frame="1"/>
                <w:shd w:val="clear" w:color="auto" w:fill="FFFFFF"/>
              </w:rPr>
              <w:t>Included Populations:</w:t>
            </w:r>
            <w:r w:rsidRPr="0081786B">
              <w:rPr>
                <w:rStyle w:val="apple-converted-space"/>
                <w:rFonts w:cs="Arial"/>
                <w:shd w:val="clear" w:color="auto" w:fill="FFFFFF"/>
              </w:rPr>
              <w:t> </w:t>
            </w:r>
          </w:p>
          <w:p w14:paraId="0B0585B1" w14:textId="77777777" w:rsidR="00A309AB" w:rsidRPr="0081786B" w:rsidRDefault="00E9134C" w:rsidP="00746A0E">
            <w:pPr>
              <w:rPr>
                <w:rFonts w:ascii="Times New Roman" w:hAnsi="Times New Roman"/>
              </w:rPr>
            </w:pPr>
            <w:hyperlink r:id="rId142" w:history="1">
              <w:r w:rsidR="00A309AB" w:rsidRPr="00EA6465">
                <w:rPr>
                  <w:rStyle w:val="Hyperlink"/>
                  <w:rFonts w:cs="Arial"/>
                  <w:shd w:val="clear" w:color="auto" w:fill="FFFFFF"/>
                </w:rPr>
                <w:t>Antenatal steroid therapy initiated</w:t>
              </w:r>
            </w:hyperlink>
            <w:r w:rsidR="00A309AB" w:rsidRPr="0081786B">
              <w:rPr>
                <w:rFonts w:cs="Arial"/>
                <w:shd w:val="clear" w:color="auto" w:fill="FFFFFF"/>
              </w:rPr>
              <w:t xml:space="preserve"> (refer to </w:t>
            </w:r>
            <w:r w:rsidR="00EA6465" w:rsidRPr="002A1A1A">
              <w:t xml:space="preserve">Appendix C, Table </w:t>
            </w:r>
            <w:hyperlink r:id="rId143" w:anchor="Table_Number_11.0:_Antenatal_Steroid_Medications__40Ver._2010A_41" w:history="1">
              <w:r w:rsidR="00EA6465" w:rsidRPr="00EA6465">
                <w:rPr>
                  <w:rStyle w:val="Hyperlink"/>
                  <w:rFonts w:cs="Arial"/>
                  <w:shd w:val="clear" w:color="auto" w:fill="FFFFFF"/>
                </w:rPr>
                <w:t>11.0</w:t>
              </w:r>
            </w:hyperlink>
            <w:r w:rsidR="00EA6465" w:rsidRPr="002A1A1A">
              <w:t>, antenatal steroid medications</w:t>
            </w:r>
            <w:r w:rsidR="00A309AB" w:rsidRPr="0081786B">
              <w:rPr>
                <w:rFonts w:cs="Arial"/>
                <w:shd w:val="clear" w:color="auto" w:fill="FFFFFF"/>
              </w:rPr>
              <w:t>)</w:t>
            </w:r>
          </w:p>
          <w:p w14:paraId="6DE69A49" w14:textId="77777777" w:rsidR="00A309AB" w:rsidRPr="0081786B" w:rsidRDefault="00A309AB" w:rsidP="00746A0E">
            <w:pPr>
              <w:rPr>
                <w:rStyle w:val="Strong"/>
                <w:rFonts w:cs="Arial"/>
                <w:bdr w:val="none" w:sz="0" w:space="0" w:color="auto" w:frame="1"/>
                <w:shd w:val="clear" w:color="auto" w:fill="FFFFFF"/>
              </w:rPr>
            </w:pPr>
          </w:p>
          <w:p w14:paraId="42B9CB32" w14:textId="77777777" w:rsidR="00A309AB" w:rsidRPr="0081786B" w:rsidRDefault="00A309AB" w:rsidP="00746A0E">
            <w:r w:rsidRPr="0081786B">
              <w:rPr>
                <w:rStyle w:val="Strong"/>
                <w:rFonts w:cs="Arial"/>
                <w:bdr w:val="none" w:sz="0" w:space="0" w:color="auto" w:frame="1"/>
                <w:shd w:val="clear" w:color="auto" w:fill="FFFFFF"/>
              </w:rPr>
              <w:t>Excluded Populations:</w:t>
            </w:r>
            <w:r w:rsidRPr="0081786B">
              <w:rPr>
                <w:rStyle w:val="apple-converted-space"/>
                <w:rFonts w:cs="Arial"/>
                <w:shd w:val="clear" w:color="auto" w:fill="FFFFFF"/>
              </w:rPr>
              <w:t> </w:t>
            </w:r>
            <w:r w:rsidRPr="0081786B">
              <w:rPr>
                <w:rFonts w:cs="Arial"/>
                <w:shd w:val="clear" w:color="auto" w:fill="FFFFFF"/>
              </w:rPr>
              <w:t>None</w:t>
            </w:r>
          </w:p>
          <w:p w14:paraId="6CB50D8F" w14:textId="77777777" w:rsidR="00A309AB" w:rsidRPr="0081786B" w:rsidRDefault="00A309AB" w:rsidP="00746A0E">
            <w:pPr>
              <w:rPr>
                <w:rStyle w:val="Strong"/>
                <w:rFonts w:cs="Arial"/>
                <w:bdr w:val="none" w:sz="0" w:space="0" w:color="auto" w:frame="1"/>
                <w:shd w:val="clear" w:color="auto" w:fill="FFFFFF"/>
              </w:rPr>
            </w:pPr>
          </w:p>
          <w:p w14:paraId="78D62354" w14:textId="77777777" w:rsidR="00A309AB" w:rsidRPr="00F0305B" w:rsidRDefault="00A309AB" w:rsidP="00746A0E">
            <w:r w:rsidRPr="0081786B">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44" w:history="1">
              <w:r w:rsidRPr="00E85B55">
                <w:rPr>
                  <w:rStyle w:val="Hyperlink"/>
                  <w:rFonts w:cs="Arial"/>
                  <w:bdr w:val="none" w:sz="0" w:space="0" w:color="auto" w:frame="1"/>
                  <w:shd w:val="clear" w:color="auto" w:fill="FFFFFF"/>
                </w:rPr>
                <w:t>https://manual.jointcommission.org/releases/TJC2015A1/MIF0168.html</w:t>
              </w:r>
            </w:hyperlink>
            <w:r>
              <w:rPr>
                <w:rStyle w:val="Strong"/>
                <w:rFonts w:cs="Arial"/>
                <w:b w:val="0"/>
                <w:bdr w:val="none" w:sz="0" w:space="0" w:color="auto" w:frame="1"/>
                <w:shd w:val="clear" w:color="auto" w:fill="FFFFFF"/>
              </w:rPr>
              <w:t xml:space="preserve">. </w:t>
            </w:r>
          </w:p>
          <w:p w14:paraId="4A163B6F" w14:textId="77777777" w:rsidR="00A309AB" w:rsidRPr="00841C71" w:rsidRDefault="00A309AB" w:rsidP="002A1A1A">
            <w:pPr>
              <w:rPr>
                <w:b/>
              </w:rPr>
            </w:pPr>
          </w:p>
        </w:tc>
        <w:tc>
          <w:tcPr>
            <w:tcW w:w="5049" w:type="dxa"/>
          </w:tcPr>
          <w:p w14:paraId="51F2FD25" w14:textId="77777777" w:rsidR="00A309AB" w:rsidRPr="007C045C" w:rsidRDefault="00A309AB" w:rsidP="00746A0E">
            <w:pPr>
              <w:rPr>
                <w:rFonts w:cs="Arial"/>
                <w:b/>
              </w:rPr>
            </w:pPr>
            <w:r w:rsidRPr="007C045C">
              <w:rPr>
                <w:rFonts w:cs="Arial"/>
                <w:b/>
              </w:rPr>
              <w:t xml:space="preserve">Question 17 (numerator): </w:t>
            </w:r>
            <w:r w:rsidRPr="007C045C">
              <w:rPr>
                <w:rFonts w:cs="Arial"/>
              </w:rPr>
              <w:t xml:space="preserve">The number of patients included in the denominator </w:t>
            </w:r>
            <w:r w:rsidRPr="007C045C">
              <w:rPr>
                <w:rFonts w:cs="Arial"/>
                <w:shd w:val="clear" w:color="auto" w:fill="FFFFFF"/>
              </w:rPr>
              <w:t xml:space="preserve">with antenatal steroids initiated prior to delivering preterm newborns. </w:t>
            </w:r>
            <w:r w:rsidRPr="007C045C">
              <w:rPr>
                <w:rFonts w:cs="Arial"/>
              </w:rPr>
              <w:t xml:space="preserve"> </w:t>
            </w:r>
          </w:p>
          <w:p w14:paraId="71E65CE4" w14:textId="77777777" w:rsidR="00A309AB" w:rsidRDefault="00A309AB" w:rsidP="00746A0E">
            <w:pPr>
              <w:rPr>
                <w:rFonts w:cs="Arial"/>
                <w:b/>
              </w:rPr>
            </w:pPr>
          </w:p>
          <w:p w14:paraId="2D86789C" w14:textId="77777777" w:rsidR="00A309AB" w:rsidRPr="007C045C" w:rsidRDefault="00A309AB" w:rsidP="00746A0E">
            <w:pPr>
              <w:rPr>
                <w:rFonts w:cs="Arial"/>
                <w:b/>
              </w:rPr>
            </w:pPr>
            <w:r w:rsidRPr="007C045C">
              <w:rPr>
                <w:rFonts w:cs="Arial"/>
                <w:b/>
              </w:rPr>
              <w:t>Included Populations:</w:t>
            </w:r>
          </w:p>
          <w:p w14:paraId="1ACDD429" w14:textId="77777777" w:rsidR="00A309AB" w:rsidRPr="007C045C" w:rsidRDefault="00E9134C" w:rsidP="00746A0E">
            <w:pPr>
              <w:rPr>
                <w:rFonts w:cs="Arial"/>
              </w:rPr>
            </w:pPr>
            <w:hyperlink r:id="rId145" w:history="1">
              <w:r w:rsidR="00A309AB" w:rsidRPr="00065862">
                <w:rPr>
                  <w:rStyle w:val="Hyperlink"/>
                  <w:rFonts w:cs="Arial"/>
                </w:rPr>
                <w:t>Antenatal steroids initiated</w:t>
              </w:r>
            </w:hyperlink>
            <w:r w:rsidR="00A309AB" w:rsidRPr="007C045C">
              <w:rPr>
                <w:rFonts w:cs="Arial"/>
              </w:rPr>
              <w:t xml:space="preserve"> (refer to Appendix C, Table </w:t>
            </w:r>
            <w:hyperlink r:id="rId146" w:anchor="Table_Number_11.0:_Antenatal_Steroid_Medications__40Ver._2010A_41" w:history="1">
              <w:r w:rsidR="00A309AB" w:rsidRPr="007C045C">
                <w:rPr>
                  <w:rStyle w:val="Hyperlink"/>
                  <w:rFonts w:cs="Arial"/>
                </w:rPr>
                <w:t>11.0</w:t>
              </w:r>
            </w:hyperlink>
            <w:r w:rsidR="00A309AB" w:rsidRPr="007C045C">
              <w:rPr>
                <w:rFonts w:cs="Arial"/>
              </w:rPr>
              <w:t>, antenatal steroid medications)</w:t>
            </w:r>
          </w:p>
          <w:p w14:paraId="6550FA6A" w14:textId="77777777" w:rsidR="00A309AB" w:rsidRDefault="00A309AB" w:rsidP="00746A0E">
            <w:pPr>
              <w:rPr>
                <w:rFonts w:cs="Arial"/>
                <w:b/>
              </w:rPr>
            </w:pPr>
          </w:p>
          <w:p w14:paraId="6EA3A652" w14:textId="77777777" w:rsidR="00A309AB" w:rsidRPr="007C045C" w:rsidRDefault="00A309AB" w:rsidP="00746A0E">
            <w:pPr>
              <w:rPr>
                <w:rFonts w:cs="Arial"/>
              </w:rPr>
            </w:pPr>
            <w:r w:rsidRPr="007C045C">
              <w:rPr>
                <w:rFonts w:cs="Arial"/>
                <w:b/>
              </w:rPr>
              <w:t xml:space="preserve">Excluded Populations: </w:t>
            </w:r>
            <w:r w:rsidRPr="007C045C">
              <w:rPr>
                <w:rFonts w:cs="Arial"/>
              </w:rPr>
              <w:t>None.</w:t>
            </w:r>
          </w:p>
          <w:p w14:paraId="1730949F" w14:textId="77777777" w:rsidR="00A309AB" w:rsidRDefault="00A309AB" w:rsidP="00746A0E">
            <w:pPr>
              <w:rPr>
                <w:rFonts w:cs="Arial"/>
                <w:b/>
              </w:rPr>
            </w:pPr>
          </w:p>
          <w:p w14:paraId="3DC262EA" w14:textId="77777777" w:rsidR="00A309AB" w:rsidRDefault="00A309AB" w:rsidP="00746A0E">
            <w:pPr>
              <w:shd w:val="clear" w:color="auto" w:fill="FFFFFF"/>
              <w:rPr>
                <w:rFonts w:cs="Arial"/>
                <w:b/>
              </w:rPr>
            </w:pPr>
            <w:r w:rsidRPr="007C045C">
              <w:rPr>
                <w:rFonts w:cs="Arial"/>
                <w:b/>
              </w:rPr>
              <w:t>Data Eleme</w:t>
            </w:r>
            <w:r>
              <w:rPr>
                <w:rFonts w:cs="Arial"/>
                <w:b/>
              </w:rPr>
              <w:t xml:space="preserve">nts: </w:t>
            </w:r>
            <w:r w:rsidRPr="00762756">
              <w:rPr>
                <w:rFonts w:cs="Arial"/>
              </w:rPr>
              <w:t xml:space="preserve">Visit </w:t>
            </w:r>
            <w:hyperlink r:id="rId147" w:history="1">
              <w:r w:rsidRPr="00762756">
                <w:rPr>
                  <w:rStyle w:val="Hyperlink"/>
                  <w:rFonts w:cs="Arial"/>
                </w:rPr>
                <w:t>https://manual.jointcommission.org/releases/TJC2015B2/MIF0168.html</w:t>
              </w:r>
            </w:hyperlink>
            <w:r w:rsidRPr="00762756">
              <w:rPr>
                <w:rFonts w:cs="Arial"/>
              </w:rPr>
              <w:t>.</w:t>
            </w:r>
            <w:r>
              <w:rPr>
                <w:rFonts w:cs="Arial"/>
                <w:b/>
              </w:rPr>
              <w:t xml:space="preserve"> </w:t>
            </w:r>
          </w:p>
          <w:p w14:paraId="65598BF7" w14:textId="77777777" w:rsidR="00A309AB" w:rsidRDefault="00A309AB" w:rsidP="00746A0E">
            <w:pPr>
              <w:rPr>
                <w:rFonts w:cs="Arial"/>
                <w:b/>
              </w:rPr>
            </w:pPr>
          </w:p>
        </w:tc>
      </w:tr>
    </w:tbl>
    <w:p w14:paraId="473A5BDE" w14:textId="77777777" w:rsidR="00864CF5" w:rsidRPr="007C045C" w:rsidRDefault="00864CF5" w:rsidP="00864CF5">
      <w:pPr>
        <w:rPr>
          <w:rFonts w:cs="Arial"/>
        </w:rPr>
      </w:pPr>
      <w:bookmarkStart w:id="207" w:name="_Maternity_Care_Volume"/>
      <w:bookmarkEnd w:id="207"/>
    </w:p>
    <w:p w14:paraId="24E31F1A" w14:textId="77777777" w:rsidR="00864CF5" w:rsidRPr="007C045C" w:rsidRDefault="00864CF5" w:rsidP="00864CF5">
      <w:pPr>
        <w:rPr>
          <w:rFonts w:cs="Arial"/>
        </w:rPr>
      </w:pPr>
    </w:p>
    <w:p w14:paraId="382CFEEA" w14:textId="77777777" w:rsidR="00CB2EDB" w:rsidRDefault="00CB2EDB">
      <w:pPr>
        <w:rPr>
          <w:b/>
          <w:sz w:val="28"/>
          <w:u w:val="single"/>
          <w:lang w:eastAsia="ja-JP"/>
        </w:rPr>
      </w:pPr>
      <w:r>
        <w:br w:type="page"/>
      </w:r>
    </w:p>
    <w:p w14:paraId="313C2203" w14:textId="77777777" w:rsidR="00CB2EDB" w:rsidRPr="008F00F3" w:rsidRDefault="00D34262" w:rsidP="00954B73">
      <w:pPr>
        <w:pStyle w:val="Heading2"/>
      </w:pPr>
      <w:bookmarkStart w:id="208" w:name="_Toc447195030"/>
      <w:r>
        <w:lastRenderedPageBreak/>
        <w:t>Maternity Care</w:t>
      </w:r>
      <w:r w:rsidR="00CB2EDB" w:rsidRPr="00BC2D78">
        <w:rPr>
          <w:rFonts w:hint="eastAsia"/>
        </w:rPr>
        <w:t xml:space="preserve"> Frequently Asked Questions (FAQs)</w:t>
      </w:r>
      <w:bookmarkEnd w:id="208"/>
    </w:p>
    <w:p w14:paraId="6AF1A01C" w14:textId="77777777" w:rsidR="00CB2EDB" w:rsidRPr="009A4257" w:rsidRDefault="00CB2EDB" w:rsidP="00954B73">
      <w:pPr>
        <w:pStyle w:val="Heading2"/>
      </w:pPr>
    </w:p>
    <w:p w14:paraId="529835E7" w14:textId="77777777" w:rsidR="00CB2EDB" w:rsidRPr="00570C36" w:rsidRDefault="00CB2EDB" w:rsidP="007A44CB">
      <w:pPr>
        <w:pStyle w:val="Heading3"/>
      </w:pPr>
      <w:bookmarkStart w:id="209" w:name="_Toc383775035"/>
      <w:bookmarkStart w:id="210" w:name="_Toc447195031"/>
      <w:r w:rsidRPr="00570C36">
        <w:rPr>
          <w:rFonts w:hint="eastAsia"/>
        </w:rPr>
        <w:t>General Questions</w:t>
      </w:r>
      <w:bookmarkEnd w:id="209"/>
      <w:r w:rsidR="00D34262">
        <w:t xml:space="preserve"> Regarding High-Risk Deliveries</w:t>
      </w:r>
      <w:bookmarkEnd w:id="210"/>
    </w:p>
    <w:p w14:paraId="3458AFC4" w14:textId="77777777" w:rsidR="00CB2EDB" w:rsidRDefault="00CB2EDB" w:rsidP="00CB2EDB">
      <w:pPr>
        <w:rPr>
          <w:lang w:eastAsia="ja-JP"/>
        </w:rPr>
      </w:pPr>
    </w:p>
    <w:p w14:paraId="495BCBAB" w14:textId="77777777" w:rsidR="00CB2EDB" w:rsidRPr="00BC2D78" w:rsidRDefault="00CB2EDB" w:rsidP="00ED58C1">
      <w:pPr>
        <w:numPr>
          <w:ilvl w:val="0"/>
          <w:numId w:val="45"/>
        </w:numPr>
        <w:rPr>
          <w:b/>
        </w:rPr>
      </w:pPr>
      <w:r w:rsidRPr="00BC2D78">
        <w:rPr>
          <w:b/>
        </w:rPr>
        <w:t xml:space="preserve">How are the procedure codes used to define the high-risk procedures; do they refer to primary procedure codes, or primary </w:t>
      </w:r>
      <w:r>
        <w:rPr>
          <w:b/>
        </w:rPr>
        <w:t>and</w:t>
      </w:r>
      <w:r w:rsidRPr="00BC2D78">
        <w:rPr>
          <w:b/>
        </w:rPr>
        <w:t xml:space="preserve"> secondary codes?</w:t>
      </w:r>
    </w:p>
    <w:p w14:paraId="61A13450" w14:textId="77777777" w:rsidR="00CB2EDB" w:rsidRPr="00DD39F7" w:rsidRDefault="00CB2EDB" w:rsidP="00CB2EDB">
      <w:pPr>
        <w:ind w:left="720"/>
      </w:pPr>
      <w:r w:rsidRPr="00BC2D78">
        <w:t xml:space="preserve">When counting patient </w:t>
      </w:r>
      <w:r w:rsidRPr="00BC2D78">
        <w:rPr>
          <w:u w:val="single"/>
        </w:rPr>
        <w:t>volume</w:t>
      </w:r>
      <w:r w:rsidRPr="00BC2D78">
        <w:t xml:space="preserve"> for the procedure, the procedure code may be in either a primary or </w:t>
      </w:r>
      <w:r w:rsidRPr="00BC2D78">
        <w:rPr>
          <w:color w:val="000000"/>
        </w:rPr>
        <w:t>secondary</w:t>
      </w:r>
      <w:r w:rsidRPr="00BC2D78">
        <w:t xml:space="preserve"> field. The High Risk Delivery volume measure also utilizes diagnosis codes to determine </w:t>
      </w:r>
      <w:r w:rsidRPr="00BC2D78">
        <w:rPr>
          <w:u w:val="single"/>
        </w:rPr>
        <w:t>volume of very low birth weight babies.</w:t>
      </w:r>
      <w:r w:rsidRPr="00BC2D78">
        <w:t xml:space="preserve"> The diagnosis can be either primary </w:t>
      </w:r>
      <w:r w:rsidRPr="00BC2D78">
        <w:rPr>
          <w:u w:val="single"/>
        </w:rPr>
        <w:t>or</w:t>
      </w:r>
      <w:r w:rsidRPr="00BC2D78">
        <w:t xml:space="preserve"> secondary for determining the elective status of the high risk delivery.</w:t>
      </w:r>
      <w:r w:rsidRPr="00BC2D78">
        <w:br/>
      </w:r>
    </w:p>
    <w:p w14:paraId="0060CF10" w14:textId="77777777" w:rsidR="00CB2EDB" w:rsidRPr="00DD39F7" w:rsidRDefault="00CB2EDB" w:rsidP="00ED58C1">
      <w:pPr>
        <w:pStyle w:val="ListParagraph"/>
        <w:numPr>
          <w:ilvl w:val="0"/>
          <w:numId w:val="45"/>
        </w:numPr>
        <w:rPr>
          <w:b/>
        </w:rPr>
      </w:pPr>
      <w:r w:rsidRPr="00DD39F7">
        <w:rPr>
          <w:b/>
        </w:rPr>
        <w:t>Do the codes related to Leapfrog’s High-Risk Deliveries apply only to neonates?</w:t>
      </w:r>
    </w:p>
    <w:p w14:paraId="1CF43ECE" w14:textId="77777777" w:rsidR="00CB2EDB" w:rsidRPr="00BC2D78" w:rsidRDefault="00CB2EDB" w:rsidP="00CB2EDB">
      <w:pPr>
        <w:ind w:left="720"/>
      </w:pPr>
      <w:r w:rsidRPr="00BC2D78">
        <w:t xml:space="preserve">Yes. Older patients should not be included. These codes are used to determine whether your hospital admits or accepts transfers to your NICU of newborns whose weight or gestation period creates higher risk. The codes are </w:t>
      </w:r>
      <w:r w:rsidRPr="00BC2D78">
        <w:rPr>
          <w:u w:val="single"/>
        </w:rPr>
        <w:t>also</w:t>
      </w:r>
      <w:r w:rsidRPr="00BC2D78">
        <w:t xml:space="preserve"> used to count patient volume to compute the number of very low birth weight babies treated in the NICU. This recent change is based on new evidence in the literature.</w:t>
      </w:r>
    </w:p>
    <w:p w14:paraId="611A1BD5" w14:textId="77777777" w:rsidR="00CB2EDB" w:rsidRPr="00BC2D78" w:rsidRDefault="00CB2EDB" w:rsidP="00CB2EDB">
      <w:pPr>
        <w:rPr>
          <w:lang w:eastAsia="ja-JP"/>
        </w:rPr>
      </w:pPr>
    </w:p>
    <w:p w14:paraId="41AAAF0B" w14:textId="77777777" w:rsidR="00CB2EDB" w:rsidRPr="00F93A5A" w:rsidRDefault="00D34262" w:rsidP="007A44CB">
      <w:pPr>
        <w:pStyle w:val="Heading3"/>
      </w:pPr>
      <w:bookmarkStart w:id="211" w:name="_Toc383775036"/>
      <w:bookmarkStart w:id="212" w:name="_Toc447195032"/>
      <w:r>
        <w:t xml:space="preserve">High-Risk Deliveries </w:t>
      </w:r>
      <w:r w:rsidR="00CB2EDB" w:rsidRPr="00BC2D78">
        <w:rPr>
          <w:rFonts w:hint="eastAsia"/>
        </w:rPr>
        <w:t>Process Measure</w:t>
      </w:r>
      <w:bookmarkEnd w:id="211"/>
      <w:r w:rsidR="00CB2EDB">
        <w:t xml:space="preserve"> Questions</w:t>
      </w:r>
      <w:bookmarkEnd w:id="212"/>
      <w:r w:rsidR="00CB2EDB" w:rsidRPr="00BC2D78">
        <w:rPr>
          <w:color w:val="000000"/>
        </w:rPr>
        <w:br/>
      </w:r>
    </w:p>
    <w:p w14:paraId="4C0A0BB7" w14:textId="77777777" w:rsidR="00CB2EDB" w:rsidRPr="00C64709" w:rsidRDefault="00CB2EDB" w:rsidP="00ED58C1">
      <w:pPr>
        <w:numPr>
          <w:ilvl w:val="0"/>
          <w:numId w:val="34"/>
        </w:numPr>
        <w:rPr>
          <w:color w:val="000000"/>
        </w:rPr>
      </w:pPr>
      <w:r w:rsidRPr="00BC2D78">
        <w:rPr>
          <w:b/>
          <w:color w:val="000000"/>
        </w:rPr>
        <w:t>How do we count a patient transferred here from another facility where they received the s</w:t>
      </w:r>
      <w:r>
        <w:rPr>
          <w:b/>
          <w:color w:val="000000"/>
        </w:rPr>
        <w:t xml:space="preserve">teroids at the other facility? </w:t>
      </w:r>
      <w:r w:rsidRPr="00BC2D78">
        <w:rPr>
          <w:b/>
          <w:color w:val="000000"/>
        </w:rPr>
        <w:t>Is this patient excluded from our data since we did not administer the steroids?</w:t>
      </w:r>
      <w:r w:rsidRPr="00BC2D78">
        <w:rPr>
          <w:b/>
          <w:color w:val="000000"/>
        </w:rPr>
        <w:br/>
      </w:r>
      <w:r w:rsidRPr="00A83B4A">
        <w:rPr>
          <w:color w:val="000000"/>
        </w:rPr>
        <w:t>Refer to The Joint Commission’s definition of “antenatal steroid therapy initiated</w:t>
      </w:r>
      <w:r>
        <w:rPr>
          <w:color w:val="000000"/>
        </w:rPr>
        <w:t>”</w:t>
      </w:r>
      <w:r w:rsidRPr="00A83B4A">
        <w:rPr>
          <w:color w:val="000000"/>
        </w:rPr>
        <w:t xml:space="preserve"> at </w:t>
      </w:r>
      <w:hyperlink r:id="rId148" w:history="1">
        <w:r w:rsidR="00C64709" w:rsidRPr="00E85B55">
          <w:rPr>
            <w:rStyle w:val="Hyperlink"/>
          </w:rPr>
          <w:t>https://manual.jointcommission.org/releases/TJC2015A1/DataElem0269.html</w:t>
        </w:r>
      </w:hyperlink>
      <w:r w:rsidRPr="00C64709">
        <w:rPr>
          <w:color w:val="000000"/>
        </w:rPr>
        <w:t xml:space="preserve">. </w:t>
      </w:r>
      <w:r w:rsidRPr="00C64709">
        <w:rPr>
          <w:color w:val="000000"/>
        </w:rPr>
        <w:br/>
      </w:r>
    </w:p>
    <w:p w14:paraId="387059B3" w14:textId="77777777" w:rsidR="00CB2EDB" w:rsidRPr="00BC2D78" w:rsidRDefault="00CB2EDB" w:rsidP="00ED58C1">
      <w:pPr>
        <w:numPr>
          <w:ilvl w:val="0"/>
          <w:numId w:val="34"/>
        </w:numPr>
        <w:rPr>
          <w:rFonts w:cs="Arial"/>
        </w:rPr>
      </w:pPr>
      <w:r w:rsidRPr="00BC2D78">
        <w:rPr>
          <w:rFonts w:cs="Arial"/>
          <w:b/>
          <w:bCs/>
        </w:rPr>
        <w:t>We cannot count moms using the Vermont Oxford Network (VON) data; they only count infants.  How do we report the process measure for use of antenatal steroids?</w:t>
      </w:r>
      <w:r w:rsidRPr="00BC2D78">
        <w:rPr>
          <w:rFonts w:cs="Arial"/>
          <w:bCs/>
        </w:rPr>
        <w:br/>
      </w:r>
      <w:r w:rsidRPr="00BC2D78">
        <w:rPr>
          <w:rFonts w:cs="Arial"/>
        </w:rPr>
        <w:t>If using the VON data, use the number of infants, but ONLY for those who are inborn, i.e., where the status of the mothers is known and the mothers were delivered at your hospital. The denominator is the number of low birth weight infants. The numerator includes those infants in the denominator whose moms received antenatal ste</w:t>
      </w:r>
      <w:r>
        <w:rPr>
          <w:rFonts w:cs="Arial"/>
        </w:rPr>
        <w:t xml:space="preserve">roids for that delivery. </w:t>
      </w:r>
      <w:r w:rsidRPr="00BC2D78">
        <w:rPr>
          <w:rFonts w:cs="Arial"/>
        </w:rPr>
        <w:br/>
      </w:r>
    </w:p>
    <w:p w14:paraId="492E0949" w14:textId="4D5DA73D" w:rsidR="00CB2EDB" w:rsidRDefault="00CB2EDB" w:rsidP="00AA799E">
      <w:pPr>
        <w:numPr>
          <w:ilvl w:val="0"/>
          <w:numId w:val="34"/>
        </w:numPr>
        <w:rPr>
          <w:rFonts w:cs="Arial"/>
        </w:rPr>
      </w:pPr>
      <w:r w:rsidRPr="00BC2D78">
        <w:rPr>
          <w:rFonts w:cs="Arial"/>
          <w:b/>
        </w:rPr>
        <w:t>When using VON reports, what time period should we use?</w:t>
      </w:r>
      <w:r w:rsidRPr="00BC2D78">
        <w:rPr>
          <w:rFonts w:cs="Arial"/>
        </w:rPr>
        <w:br/>
        <w:t xml:space="preserve">If using VON data to report your hospital’s adherence to this process measure, use the most recent 12 months available. If relying on a report from VON, use the most recently available report, so long as it is based on a 12-month period that ends </w:t>
      </w:r>
      <w:r>
        <w:rPr>
          <w:rFonts w:cs="Arial"/>
        </w:rPr>
        <w:t xml:space="preserve">within 12 </w:t>
      </w:r>
      <w:r w:rsidRPr="00BC2D78">
        <w:rPr>
          <w:rFonts w:cs="Arial"/>
        </w:rPr>
        <w:t>months prior to your submitting a survey AND your hospital continues to participate in and submit these data to VON.</w:t>
      </w:r>
      <w:r w:rsidR="00AA799E">
        <w:rPr>
          <w:rFonts w:cs="Arial"/>
        </w:rPr>
        <w:t xml:space="preserve"> Instructions for accessing your reports via the VON Nightingale Tool are available at: </w:t>
      </w:r>
      <w:hyperlink r:id="rId149" w:history="1">
        <w:r w:rsidR="00AA799E" w:rsidRPr="00CF0CF0">
          <w:rPr>
            <w:rStyle w:val="Hyperlink"/>
            <w:rFonts w:cs="Arial"/>
          </w:rPr>
          <w:t>http://leapfroggroup.org/survey-materials/survey-and-cpoe-materials</w:t>
        </w:r>
      </w:hyperlink>
      <w:r w:rsidR="00AA799E">
        <w:rPr>
          <w:rFonts w:cs="Arial"/>
        </w:rPr>
        <w:t xml:space="preserve">. </w:t>
      </w:r>
    </w:p>
    <w:p w14:paraId="06270685" w14:textId="77777777" w:rsidR="00920EF6" w:rsidRPr="007A5FCD" w:rsidRDefault="00CB2EDB" w:rsidP="007A5FCD">
      <w:pPr>
        <w:rPr>
          <w:rFonts w:cs="Arial"/>
        </w:rPr>
        <w:sectPr w:rsidR="00920EF6" w:rsidRPr="007A5FCD" w:rsidSect="008733FC">
          <w:headerReference w:type="default" r:id="rId150"/>
          <w:endnotePr>
            <w:numFmt w:val="decimal"/>
          </w:endnotePr>
          <w:type w:val="continuous"/>
          <w:pgSz w:w="12240" w:h="15840"/>
          <w:pgMar w:top="1080" w:right="1440" w:bottom="1080" w:left="1440" w:header="720" w:footer="720" w:gutter="0"/>
          <w:cols w:space="720"/>
          <w:docGrid w:linePitch="272"/>
        </w:sectPr>
      </w:pPr>
      <w:r>
        <w:rPr>
          <w:rFonts w:cs="Arial"/>
        </w:rPr>
        <w:br w:type="page"/>
      </w:r>
    </w:p>
    <w:p w14:paraId="2231DD5B" w14:textId="77777777" w:rsidR="007A5FCD" w:rsidRDefault="007A5FCD" w:rsidP="007A5FCD">
      <w:pPr>
        <w:pStyle w:val="SectionHeader"/>
        <w:jc w:val="left"/>
        <w:rPr>
          <w:color w:val="A6A6A6" w:themeColor="background1" w:themeShade="A6"/>
        </w:rPr>
      </w:pPr>
      <w:bookmarkStart w:id="213" w:name="_Toc414267279"/>
    </w:p>
    <w:p w14:paraId="6E05B902" w14:textId="77777777" w:rsidR="00224E3E" w:rsidRDefault="00BB1AF9" w:rsidP="007A5FCD">
      <w:pPr>
        <w:pStyle w:val="SectionHeader"/>
        <w:rPr>
          <w:color w:val="A6A6A6" w:themeColor="background1" w:themeShade="A6"/>
        </w:rPr>
      </w:pPr>
      <w:bookmarkStart w:id="214" w:name="_Toc447195033"/>
      <w:r>
        <w:rPr>
          <w:color w:val="A6A6A6" w:themeColor="background1" w:themeShade="A6"/>
        </w:rPr>
        <w:t>Page Intentionally Left Blank</w:t>
      </w:r>
      <w:bookmarkEnd w:id="213"/>
      <w:bookmarkEnd w:id="214"/>
    </w:p>
    <w:p w14:paraId="6C977078" w14:textId="77777777" w:rsidR="00BB1AF9" w:rsidRDefault="00BB1AF9">
      <w:pPr>
        <w:rPr>
          <w:b/>
          <w:snapToGrid w:val="0"/>
          <w:color w:val="A6A6A6" w:themeColor="background1" w:themeShade="A6"/>
          <w:sz w:val="40"/>
          <w:szCs w:val="40"/>
          <w:lang w:eastAsia="ja-JP"/>
        </w:rPr>
      </w:pPr>
      <w:r>
        <w:rPr>
          <w:color w:val="A6A6A6" w:themeColor="background1" w:themeShade="A6"/>
        </w:rPr>
        <w:br w:type="page"/>
      </w:r>
    </w:p>
    <w:p w14:paraId="08C2976B" w14:textId="77777777" w:rsidR="00920EF6" w:rsidRDefault="00920EF6" w:rsidP="00FE54C0">
      <w:pPr>
        <w:pStyle w:val="SectionHeader"/>
        <w:rPr>
          <w:color w:val="A6A6A6" w:themeColor="background1" w:themeShade="A6"/>
        </w:rPr>
        <w:sectPr w:rsidR="00920EF6" w:rsidSect="008733FC">
          <w:headerReference w:type="default" r:id="rId151"/>
          <w:endnotePr>
            <w:numFmt w:val="decimal"/>
          </w:endnotePr>
          <w:type w:val="continuous"/>
          <w:pgSz w:w="12240" w:h="15840"/>
          <w:pgMar w:top="1080" w:right="1440" w:bottom="1080" w:left="1440" w:header="720" w:footer="720" w:gutter="0"/>
          <w:cols w:space="720"/>
          <w:docGrid w:linePitch="272"/>
        </w:sectPr>
      </w:pPr>
    </w:p>
    <w:p w14:paraId="2C37A609" w14:textId="77777777" w:rsidR="00BB1AF9" w:rsidRPr="00BB1AF9" w:rsidRDefault="00BB1AF9" w:rsidP="00FE54C0">
      <w:pPr>
        <w:pStyle w:val="SectionHeader"/>
        <w:rPr>
          <w:color w:val="A6A6A6" w:themeColor="background1" w:themeShade="A6"/>
        </w:rPr>
      </w:pPr>
    </w:p>
    <w:p w14:paraId="6DE969A7" w14:textId="77777777" w:rsidR="00224E3E" w:rsidRDefault="00224E3E" w:rsidP="00FE54C0">
      <w:pPr>
        <w:pStyle w:val="SectionHeader"/>
      </w:pPr>
    </w:p>
    <w:p w14:paraId="2E872953" w14:textId="77777777" w:rsidR="00224E3E" w:rsidRDefault="00224E3E" w:rsidP="00FE54C0">
      <w:pPr>
        <w:pStyle w:val="SectionHeader"/>
      </w:pPr>
    </w:p>
    <w:p w14:paraId="12492029" w14:textId="77777777" w:rsidR="00224E3E" w:rsidRDefault="00224E3E" w:rsidP="00FE54C0">
      <w:pPr>
        <w:pStyle w:val="SectionHeader"/>
      </w:pPr>
    </w:p>
    <w:p w14:paraId="1A63718E" w14:textId="77777777" w:rsidR="00224E3E" w:rsidRDefault="00224E3E" w:rsidP="00FE54C0">
      <w:pPr>
        <w:pStyle w:val="SectionHeader"/>
      </w:pPr>
    </w:p>
    <w:p w14:paraId="740811F3" w14:textId="77777777" w:rsidR="00224E3E" w:rsidRDefault="00224E3E" w:rsidP="00FE54C0">
      <w:pPr>
        <w:pStyle w:val="SectionHeader"/>
      </w:pPr>
    </w:p>
    <w:p w14:paraId="74A58E69" w14:textId="77777777" w:rsidR="00224E3E" w:rsidRDefault="00224E3E" w:rsidP="00FE54C0">
      <w:pPr>
        <w:pStyle w:val="SectionHeader"/>
      </w:pPr>
    </w:p>
    <w:p w14:paraId="0E554B28" w14:textId="77777777" w:rsidR="00224E3E" w:rsidRDefault="00224E3E" w:rsidP="00FE54C0">
      <w:pPr>
        <w:pStyle w:val="SectionHeader"/>
      </w:pPr>
    </w:p>
    <w:p w14:paraId="7930FE7E" w14:textId="77777777" w:rsidR="00224E3E" w:rsidRDefault="00224E3E" w:rsidP="00FE54C0">
      <w:pPr>
        <w:pStyle w:val="SectionHeader"/>
      </w:pPr>
    </w:p>
    <w:p w14:paraId="67A0141E" w14:textId="77777777" w:rsidR="008910AA" w:rsidRDefault="00216194" w:rsidP="00FE54C0">
      <w:pPr>
        <w:pStyle w:val="SectionHeader"/>
      </w:pPr>
      <w:bookmarkStart w:id="215" w:name="_Toc447195034"/>
      <w:bookmarkStart w:id="216" w:name="Sect5"/>
      <w:r>
        <w:t>SECTION 5: ICU PHYSICIAN STAFFING</w:t>
      </w:r>
      <w:r w:rsidR="00A828BA">
        <w:t xml:space="preserve"> (IPS)</w:t>
      </w:r>
      <w:bookmarkEnd w:id="215"/>
    </w:p>
    <w:bookmarkEnd w:id="216"/>
    <w:p w14:paraId="0330B5EB" w14:textId="77777777" w:rsidR="00A828BA" w:rsidRDefault="00A828BA" w:rsidP="00FE54C0">
      <w:pPr>
        <w:pStyle w:val="SectionHeader"/>
      </w:pPr>
    </w:p>
    <w:p w14:paraId="7EBFA4E0" w14:textId="77777777" w:rsidR="00A828BA" w:rsidRDefault="00A828BA" w:rsidP="00A828BA">
      <w:r>
        <w:t xml:space="preserve">This section includes questions and reference information </w:t>
      </w:r>
      <w:r w:rsidRPr="005E59D8">
        <w:t>for Section 5 I</w:t>
      </w:r>
      <w:r w:rsidR="0053067E" w:rsidRPr="005E59D8">
        <w:t xml:space="preserve">CU </w:t>
      </w:r>
      <w:r w:rsidRPr="005E59D8">
        <w:t>P</w:t>
      </w:r>
      <w:r w:rsidR="0053067E" w:rsidRPr="005E59D8">
        <w:t xml:space="preserve">hysician </w:t>
      </w:r>
      <w:r w:rsidRPr="005E59D8">
        <w:t>S</w:t>
      </w:r>
      <w:r w:rsidR="0053067E" w:rsidRPr="005E59D8">
        <w:t>taffing</w:t>
      </w:r>
      <w:r w:rsidRPr="005E59D8">
        <w:t xml:space="preserve">. Please carefully review the questions, </w:t>
      </w:r>
      <w:r w:rsidR="00B94757" w:rsidRPr="005E59D8">
        <w:t>endnotes</w:t>
      </w:r>
      <w:r w:rsidRPr="005E59D8">
        <w:t>, and reference information (e.g.</w:t>
      </w:r>
      <w:r w:rsidR="00746387" w:rsidRPr="005E59D8">
        <w:t>,</w:t>
      </w:r>
      <w:r w:rsidRPr="005E59D8">
        <w:t xml:space="preserve"> measure specifications</w:t>
      </w:r>
      <w:r>
        <w:t>, notes, and frequen</w:t>
      </w:r>
      <w:r w:rsidR="005008BE">
        <w:t>tl</w:t>
      </w:r>
      <w:r>
        <w:t xml:space="preserve">y asked questions) before you begin. Failure to review the reference information could result in inaccurate responses. </w:t>
      </w:r>
    </w:p>
    <w:p w14:paraId="19252189" w14:textId="77777777" w:rsidR="00A828BA" w:rsidRDefault="00A828BA" w:rsidP="00FE54C0">
      <w:pPr>
        <w:pStyle w:val="SectionHeader"/>
      </w:pPr>
    </w:p>
    <w:p w14:paraId="40844E6D" w14:textId="77777777" w:rsidR="00224E3E" w:rsidRDefault="00224E3E" w:rsidP="00224E3E"/>
    <w:p w14:paraId="2EC17448" w14:textId="77777777" w:rsidR="00224E3E" w:rsidRDefault="00224E3E">
      <w:r>
        <w:br w:type="page"/>
      </w:r>
    </w:p>
    <w:p w14:paraId="4E96A8F9" w14:textId="77777777" w:rsidR="008910AA" w:rsidRPr="00E024D8" w:rsidRDefault="008910AA" w:rsidP="002C3E94">
      <w:pPr>
        <w:pStyle w:val="Title"/>
      </w:pPr>
      <w:bookmarkStart w:id="217" w:name="_Toc447195035"/>
      <w:r w:rsidRPr="00E024D8">
        <w:lastRenderedPageBreak/>
        <w:t xml:space="preserve">Section 5:  </w:t>
      </w:r>
      <w:r w:rsidR="004F68CC">
        <w:t>2016</w:t>
      </w:r>
      <w:r w:rsidRPr="00E024D8">
        <w:t xml:space="preserve"> ICU Physician</w:t>
      </w:r>
      <w:r w:rsidR="00CF3B7C" w:rsidRPr="00E024D8">
        <w:t xml:space="preserve"> Staffing (IPS) Standard</w:t>
      </w:r>
      <w:bookmarkEnd w:id="217"/>
    </w:p>
    <w:p w14:paraId="04DD48DA" w14:textId="77777777" w:rsidR="008910AA" w:rsidRDefault="008910AA">
      <w:pPr>
        <w:rPr>
          <w:b/>
          <w:snapToGrid w:val="0"/>
          <w:color w:val="000000"/>
        </w:rPr>
      </w:pPr>
    </w:p>
    <w:p w14:paraId="3840985B" w14:textId="77777777" w:rsidR="000C3BE1" w:rsidRPr="000C3BE1" w:rsidRDefault="000C3BE1">
      <w:pPr>
        <w:pStyle w:val="BodyText3"/>
        <w:rPr>
          <w:b/>
        </w:rPr>
      </w:pPr>
      <w:r w:rsidRPr="000C3BE1">
        <w:rPr>
          <w:b/>
        </w:rPr>
        <w:t>Link to IPS Fact Sheet:</w:t>
      </w:r>
      <w:r w:rsidR="00E03E77">
        <w:rPr>
          <w:b/>
        </w:rPr>
        <w:t xml:space="preserve"> </w:t>
      </w:r>
      <w:hyperlink r:id="rId152" w:history="1">
        <w:r w:rsidR="00E03E77" w:rsidRPr="00EE24D9">
          <w:rPr>
            <w:rStyle w:val="Hyperlink"/>
          </w:rPr>
          <w:t>http://leapfroggroup.org/ratings-reports/survey-content</w:t>
        </w:r>
      </w:hyperlink>
      <w:r w:rsidRPr="000C3BE1">
        <w:rPr>
          <w:b/>
        </w:rPr>
        <w:t xml:space="preserve"> </w:t>
      </w:r>
    </w:p>
    <w:p w14:paraId="2121A7A3" w14:textId="77777777" w:rsidR="00C43880" w:rsidRDefault="00C43880">
      <w:pPr>
        <w:pStyle w:val="BodyText3"/>
      </w:pPr>
    </w:p>
    <w:p w14:paraId="2328E41F" w14:textId="77777777" w:rsidR="00DB2D20" w:rsidRDefault="00DB2D20">
      <w:pPr>
        <w:pStyle w:val="BodyText3"/>
        <w:rPr>
          <w:b/>
        </w:rPr>
      </w:pPr>
    </w:p>
    <w:p w14:paraId="72C42CCF" w14:textId="77777777" w:rsidR="00C43880" w:rsidRDefault="008910AA">
      <w:pPr>
        <w:pStyle w:val="BodyText3"/>
      </w:pPr>
      <w:r w:rsidRPr="00C43880">
        <w:rPr>
          <w:b/>
        </w:rPr>
        <w:t xml:space="preserve">A hospital </w:t>
      </w:r>
      <w:r w:rsidR="00746387">
        <w:rPr>
          <w:b/>
        </w:rPr>
        <w:t>fully meeting</w:t>
      </w:r>
      <w:r w:rsidR="00CF3B7C" w:rsidRPr="00C43880">
        <w:rPr>
          <w:b/>
        </w:rPr>
        <w:t xml:space="preserve"> this standard</w:t>
      </w:r>
      <w:r w:rsidR="00C43880" w:rsidRPr="00C43880">
        <w:rPr>
          <w:b/>
        </w:rPr>
        <w:t xml:space="preserve"> assures that</w:t>
      </w:r>
      <w:r w:rsidR="00C43880">
        <w:t>:</w:t>
      </w:r>
    </w:p>
    <w:p w14:paraId="6AF80033" w14:textId="77777777" w:rsidR="008910AA" w:rsidRDefault="00E9134C">
      <w:pPr>
        <w:pStyle w:val="BodyText3"/>
      </w:pPr>
      <w:hyperlink w:anchor="Endnote26" w:history="1">
        <w:r w:rsidR="00C43880" w:rsidRPr="005C141D">
          <w:rPr>
            <w:rStyle w:val="Hyperlink"/>
          </w:rPr>
          <w:t>A</w:t>
        </w:r>
        <w:r w:rsidR="008910AA" w:rsidRPr="005C141D">
          <w:rPr>
            <w:rStyle w:val="Hyperlink"/>
          </w:rPr>
          <w:t>ll patients</w:t>
        </w:r>
      </w:hyperlink>
      <w:r w:rsidR="00385598">
        <w:rPr>
          <w:rStyle w:val="EndnoteReference"/>
        </w:rPr>
        <w:endnoteReference w:id="27"/>
      </w:r>
      <w:r w:rsidR="008910AA">
        <w:t xml:space="preserve"> in its </w:t>
      </w:r>
      <w:hyperlink w:anchor="Endnote27" w:history="1">
        <w:r w:rsidR="008910AA" w:rsidRPr="005C141D">
          <w:rPr>
            <w:rStyle w:val="Hyperlink"/>
          </w:rPr>
          <w:t>adult or pediatric general medical and/or surgical ICUs and neuro ICUs</w:t>
        </w:r>
      </w:hyperlink>
      <w:r w:rsidR="00DA7084">
        <w:rPr>
          <w:rStyle w:val="EndnoteReference"/>
        </w:rPr>
        <w:endnoteReference w:id="28"/>
      </w:r>
      <w:r w:rsidR="008910AA">
        <w:t xml:space="preserve"> are </w:t>
      </w:r>
      <w:hyperlink w:anchor="Endnote28" w:history="1">
        <w:r w:rsidR="008910AA" w:rsidRPr="005C141D">
          <w:rPr>
            <w:rStyle w:val="Hyperlink"/>
          </w:rPr>
          <w:t>managed or co-managed</w:t>
        </w:r>
      </w:hyperlink>
      <w:r w:rsidR="008910AA" w:rsidRPr="00062F92">
        <w:rPr>
          <w:rStyle w:val="EndnoteReference"/>
          <w:color w:val="auto"/>
        </w:rPr>
        <w:endnoteReference w:id="29"/>
      </w:r>
      <w:r w:rsidR="008910AA" w:rsidRPr="00062F92">
        <w:t xml:space="preserve"> by </w:t>
      </w:r>
      <w:r w:rsidR="008910AA" w:rsidRPr="00062F92">
        <w:rPr>
          <w:color w:val="auto"/>
        </w:rPr>
        <w:t xml:space="preserve">physicians </w:t>
      </w:r>
      <w:hyperlink w:anchor="Endnote29" w:history="1">
        <w:r w:rsidR="008910AA" w:rsidRPr="005C141D">
          <w:rPr>
            <w:rStyle w:val="Hyperlink"/>
          </w:rPr>
          <w:t>certified in critical care medicine</w:t>
        </w:r>
      </w:hyperlink>
      <w:r w:rsidR="008910AA" w:rsidRPr="00062F92">
        <w:rPr>
          <w:rStyle w:val="EndnoteReference"/>
        </w:rPr>
        <w:endnoteReference w:id="30"/>
      </w:r>
      <w:r w:rsidR="008910AA" w:rsidRPr="00062F92">
        <w:t xml:space="preserve"> who:</w:t>
      </w:r>
    </w:p>
    <w:p w14:paraId="472CA03C" w14:textId="77777777" w:rsidR="008910AA" w:rsidRDefault="008910AA" w:rsidP="00FD3C45">
      <w:pPr>
        <w:numPr>
          <w:ilvl w:val="0"/>
          <w:numId w:val="5"/>
        </w:numPr>
        <w:rPr>
          <w:snapToGrid w:val="0"/>
          <w:color w:val="000000"/>
        </w:rPr>
      </w:pPr>
      <w:r>
        <w:rPr>
          <w:snapToGrid w:val="0"/>
          <w:color w:val="000000"/>
        </w:rPr>
        <w:t xml:space="preserve">Are </w:t>
      </w:r>
      <w:hyperlink w:anchor="Endnote30" w:history="1">
        <w:r w:rsidRPr="005C141D">
          <w:rPr>
            <w:rStyle w:val="Hyperlink"/>
            <w:snapToGrid w:val="0"/>
          </w:rPr>
          <w:t>ordinarily present in the ICU</w:t>
        </w:r>
      </w:hyperlink>
      <w:r w:rsidRPr="00062F92">
        <w:rPr>
          <w:rStyle w:val="EndnoteReference"/>
          <w:snapToGrid w:val="0"/>
        </w:rPr>
        <w:endnoteReference w:id="31"/>
      </w:r>
      <w:r>
        <w:rPr>
          <w:snapToGrid w:val="0"/>
          <w:color w:val="000000"/>
        </w:rPr>
        <w:t xml:space="preserve"> (on-site, or via </w:t>
      </w:r>
      <w:hyperlink w:anchor="Endnote33" w:history="1">
        <w:r w:rsidRPr="005C141D">
          <w:rPr>
            <w:rStyle w:val="Hyperlink"/>
            <w:snapToGrid w:val="0"/>
          </w:rPr>
          <w:t>telemedicine</w:t>
        </w:r>
      </w:hyperlink>
      <w:r w:rsidR="005C141D">
        <w:rPr>
          <w:snapToGrid w:val="0"/>
          <w:vertAlign w:val="superscript"/>
        </w:rPr>
        <w:t>33</w:t>
      </w:r>
      <w:r>
        <w:rPr>
          <w:snapToGrid w:val="0"/>
          <w:color w:val="000000"/>
        </w:rPr>
        <w:t xml:space="preserve"> that meets Leapfrog specifications) during daytime hours a minimum of 8 hours per day, 7 days per week, and during this time provide clinical care </w:t>
      </w:r>
      <w:hyperlink w:anchor="Endnote30" w:history="1">
        <w:r w:rsidRPr="005C141D">
          <w:rPr>
            <w:rStyle w:val="Hyperlink"/>
            <w:snapToGrid w:val="0"/>
          </w:rPr>
          <w:t>exclusively</w:t>
        </w:r>
      </w:hyperlink>
      <w:r w:rsidR="00385598">
        <w:rPr>
          <w:snapToGrid w:val="0"/>
          <w:vertAlign w:val="superscript"/>
        </w:rPr>
        <w:t>3</w:t>
      </w:r>
      <w:r w:rsidR="005C141D">
        <w:rPr>
          <w:snapToGrid w:val="0"/>
          <w:vertAlign w:val="superscript"/>
        </w:rPr>
        <w:t>0</w:t>
      </w:r>
      <w:r>
        <w:rPr>
          <w:snapToGrid w:val="0"/>
          <w:color w:val="000000"/>
        </w:rPr>
        <w:t xml:space="preserve"> in the ICU; and</w:t>
      </w:r>
    </w:p>
    <w:p w14:paraId="160BF371" w14:textId="77777777" w:rsidR="00CF0B69" w:rsidRDefault="008910AA" w:rsidP="00CF0B69">
      <w:pPr>
        <w:numPr>
          <w:ilvl w:val="0"/>
          <w:numId w:val="5"/>
        </w:numPr>
        <w:rPr>
          <w:snapToGrid w:val="0"/>
          <w:color w:val="000000"/>
        </w:rPr>
      </w:pPr>
      <w:r>
        <w:rPr>
          <w:snapToGrid w:val="0"/>
          <w:color w:val="000000"/>
        </w:rPr>
        <w:t>At other times</w:t>
      </w:r>
      <w:r w:rsidR="00CF0B69">
        <w:rPr>
          <w:snapToGrid w:val="0"/>
          <w:color w:val="000000"/>
        </w:rPr>
        <w:t>**</w:t>
      </w:r>
      <w:r>
        <w:rPr>
          <w:snapToGrid w:val="0"/>
          <w:color w:val="000000"/>
        </w:rPr>
        <w:t xml:space="preserve"> . . . ;</w:t>
      </w:r>
    </w:p>
    <w:p w14:paraId="63870121" w14:textId="77777777" w:rsidR="00CF0B69" w:rsidRDefault="008910AA" w:rsidP="00CF0B69">
      <w:pPr>
        <w:numPr>
          <w:ilvl w:val="0"/>
          <w:numId w:val="5"/>
        </w:numPr>
        <w:tabs>
          <w:tab w:val="clear" w:pos="360"/>
          <w:tab w:val="num" w:pos="720"/>
        </w:tabs>
        <w:ind w:left="720"/>
        <w:rPr>
          <w:snapToGrid w:val="0"/>
          <w:color w:val="000000"/>
        </w:rPr>
      </w:pPr>
      <w:r w:rsidRPr="00CF0B69">
        <w:rPr>
          <w:snapToGrid w:val="0"/>
          <w:color w:val="000000"/>
        </w:rPr>
        <w:t xml:space="preserve">Return more than 95% of ICU calls/pages within 5 minutes, based on a </w:t>
      </w:r>
      <w:hyperlink w:anchor="Endnote31" w:history="1">
        <w:r w:rsidRPr="005C141D">
          <w:rPr>
            <w:rStyle w:val="Hyperlink"/>
            <w:snapToGrid w:val="0"/>
          </w:rPr>
          <w:t>quantified analysis</w:t>
        </w:r>
      </w:hyperlink>
      <w:r w:rsidRPr="00062F92">
        <w:rPr>
          <w:rStyle w:val="EndnoteReference"/>
          <w:snapToGrid w:val="0"/>
          <w:color w:val="000000"/>
        </w:rPr>
        <w:endnoteReference w:id="32"/>
      </w:r>
      <w:r w:rsidRPr="00CF0B69">
        <w:rPr>
          <w:snapToGrid w:val="0"/>
          <w:color w:val="000000"/>
        </w:rPr>
        <w:t xml:space="preserve"> of notification device response time;* and</w:t>
      </w:r>
    </w:p>
    <w:p w14:paraId="4D4328FA" w14:textId="77777777" w:rsidR="008910AA" w:rsidRPr="00CF0B69" w:rsidRDefault="008910AA" w:rsidP="00CF0B69">
      <w:pPr>
        <w:numPr>
          <w:ilvl w:val="0"/>
          <w:numId w:val="5"/>
        </w:numPr>
        <w:tabs>
          <w:tab w:val="clear" w:pos="360"/>
          <w:tab w:val="num" w:pos="720"/>
        </w:tabs>
        <w:ind w:left="720"/>
        <w:rPr>
          <w:snapToGrid w:val="0"/>
          <w:color w:val="000000"/>
        </w:rPr>
      </w:pPr>
      <w:r w:rsidRPr="00CF0B69">
        <w:rPr>
          <w:snapToGrid w:val="0"/>
          <w:color w:val="000000"/>
        </w:rPr>
        <w:t xml:space="preserve">Can rely on a physician, physician assistant, nurse practitioner, or a </w:t>
      </w:r>
      <w:hyperlink w:anchor="Endnote32" w:history="1">
        <w:r w:rsidRPr="005C141D">
          <w:rPr>
            <w:rStyle w:val="Hyperlink"/>
            <w:snapToGrid w:val="0"/>
          </w:rPr>
          <w:t>FCCS-certified nurse “effector”</w:t>
        </w:r>
      </w:hyperlink>
      <w:r w:rsidRPr="00062F92">
        <w:rPr>
          <w:rStyle w:val="EndnoteReference"/>
          <w:snapToGrid w:val="0"/>
          <w:color w:val="000000"/>
        </w:rPr>
        <w:endnoteReference w:id="33"/>
      </w:r>
      <w:r w:rsidRPr="00CF0B69">
        <w:rPr>
          <w:snapToGrid w:val="0"/>
          <w:color w:val="000000"/>
        </w:rPr>
        <w:t xml:space="preserve"> who is in the hospital and able to reach ICU patients within 5 minutes in more than 95% of cases, based on a quantified hospital analysis of notification device response time.*</w:t>
      </w:r>
      <w:r w:rsidRPr="00CF0B69">
        <w:rPr>
          <w:snapToGrid w:val="0"/>
          <w:color w:val="000000"/>
        </w:rPr>
        <w:br/>
      </w:r>
    </w:p>
    <w:p w14:paraId="2487DE6E" w14:textId="77777777" w:rsidR="008910AA" w:rsidRDefault="008910AA">
      <w:pPr>
        <w:rPr>
          <w:snapToGrid w:val="0"/>
          <w:color w:val="000000"/>
          <w:sz w:val="16"/>
          <w:szCs w:val="16"/>
        </w:rPr>
      </w:pPr>
      <w:r w:rsidRPr="00C43880">
        <w:rPr>
          <w:snapToGrid w:val="0"/>
          <w:color w:val="000000"/>
          <w:sz w:val="16"/>
          <w:szCs w:val="16"/>
        </w:rPr>
        <w:t xml:space="preserve">* This may exclude low-urgency calls/pages, if the notification device system can designate low-urgency calls/pages or if the hospital has an alternative scientific method for documenting high-urgency calls/pages that are not returned within 5 minutes. </w:t>
      </w:r>
    </w:p>
    <w:p w14:paraId="0B6CF31D" w14:textId="77777777" w:rsidR="00CF0B69" w:rsidRDefault="00CF0B69">
      <w:pPr>
        <w:rPr>
          <w:snapToGrid w:val="0"/>
          <w:color w:val="000000"/>
          <w:sz w:val="16"/>
          <w:szCs w:val="16"/>
        </w:rPr>
      </w:pPr>
    </w:p>
    <w:p w14:paraId="6DB74825" w14:textId="77777777" w:rsidR="00CF0B69" w:rsidRDefault="00CF0B69">
      <w:pPr>
        <w:rPr>
          <w:snapToGrid w:val="0"/>
          <w:color w:val="000000"/>
          <w:sz w:val="16"/>
          <w:szCs w:val="16"/>
        </w:rPr>
      </w:pPr>
      <w:r>
        <w:rPr>
          <w:snapToGrid w:val="0"/>
          <w:color w:val="000000"/>
          <w:sz w:val="16"/>
          <w:szCs w:val="16"/>
        </w:rPr>
        <w:t>**Not applicable for hospitals with 24/7 intensivist coverage.</w:t>
      </w:r>
    </w:p>
    <w:p w14:paraId="2B579E84" w14:textId="77777777" w:rsidR="00B90B91" w:rsidRDefault="00B90B91">
      <w:pPr>
        <w:rPr>
          <w:snapToGrid w:val="0"/>
          <w:color w:val="000000"/>
        </w:rPr>
      </w:pPr>
    </w:p>
    <w:p w14:paraId="5B68F728" w14:textId="77777777" w:rsidR="008910AA" w:rsidRDefault="008910AA">
      <w:pPr>
        <w:rPr>
          <w:snapToGrid w:val="0"/>
          <w:color w:val="000000"/>
        </w:rPr>
      </w:pPr>
      <w:r>
        <w:rPr>
          <w:snapToGrid w:val="0"/>
          <w:color w:val="000000"/>
        </w:rPr>
        <w:t xml:space="preserve">If you have no licensed or staffed adult or pediatric general medical and/or surgical ICU beds or neuro ICUs, this section does not </w:t>
      </w:r>
      <w:r w:rsidR="00847820">
        <w:rPr>
          <w:snapToGrid w:val="0"/>
          <w:color w:val="000000"/>
        </w:rPr>
        <w:t>apply to your hospital. A</w:t>
      </w:r>
      <w:r>
        <w:rPr>
          <w:snapToGrid w:val="0"/>
          <w:color w:val="000000"/>
        </w:rPr>
        <w:t xml:space="preserve">nswer “No” to </w:t>
      </w:r>
      <w:r w:rsidRPr="00F82030">
        <w:rPr>
          <w:snapToGrid w:val="0"/>
          <w:color w:val="000000"/>
        </w:rPr>
        <w:t xml:space="preserve">the </w:t>
      </w:r>
      <w:r w:rsidR="00062F92" w:rsidRPr="00F82030">
        <w:rPr>
          <w:snapToGrid w:val="0"/>
          <w:color w:val="000000"/>
        </w:rPr>
        <w:t>second</w:t>
      </w:r>
      <w:r w:rsidRPr="00F82030">
        <w:rPr>
          <w:snapToGrid w:val="0"/>
          <w:color w:val="000000"/>
        </w:rPr>
        <w:t xml:space="preserve"> question</w:t>
      </w:r>
      <w:r>
        <w:rPr>
          <w:snapToGrid w:val="0"/>
          <w:color w:val="000000"/>
        </w:rPr>
        <w:t xml:space="preserve"> </w:t>
      </w:r>
      <w:r w:rsidR="00847820">
        <w:rPr>
          <w:snapToGrid w:val="0"/>
          <w:color w:val="000000"/>
        </w:rPr>
        <w:t xml:space="preserve">and move on to complete the affirmation. </w:t>
      </w:r>
      <w:r>
        <w:rPr>
          <w:snapToGrid w:val="0"/>
          <w:color w:val="000000"/>
        </w:rPr>
        <w:t xml:space="preserve">Your hospital’s results will be displayed as ‘Does Not Apply’ on the public website. </w:t>
      </w:r>
    </w:p>
    <w:p w14:paraId="64DEA520" w14:textId="77777777" w:rsidR="00AD3571" w:rsidRDefault="00AD3571">
      <w:pPr>
        <w:rPr>
          <w:snapToGrid w:val="0"/>
          <w:color w:val="000000"/>
        </w:rPr>
      </w:pPr>
    </w:p>
    <w:p w14:paraId="4C71B688" w14:textId="77777777" w:rsidR="008910AA" w:rsidRPr="002442B8" w:rsidRDefault="00AD3571" w:rsidP="00F40B63">
      <w:pPr>
        <w:rPr>
          <w:b/>
        </w:rPr>
      </w:pPr>
      <w:r w:rsidRPr="00AD3571">
        <w:rPr>
          <w:b/>
        </w:rPr>
        <w:t xml:space="preserve">More information about the 2016 Leapfrog Hospital Survey Scoring Algorithms is available at: </w:t>
      </w:r>
      <w:hyperlink r:id="rId153" w:history="1">
        <w:r w:rsidR="003911C1" w:rsidRPr="00300CF7">
          <w:rPr>
            <w:rStyle w:val="Hyperlink"/>
          </w:rPr>
          <w:t>http://leapfroggroup.org/survey-materials/scoring-and-results</w:t>
        </w:r>
      </w:hyperlink>
      <w:r w:rsidR="003911C1">
        <w:t xml:space="preserve"> </w:t>
      </w:r>
    </w:p>
    <w:p w14:paraId="41746D8D" w14:textId="77777777" w:rsidR="00B90B91" w:rsidRDefault="00B90B91">
      <w:r>
        <w:br w:type="page"/>
      </w:r>
    </w:p>
    <w:p w14:paraId="2A9B9483" w14:textId="77777777" w:rsidR="008110F5" w:rsidRDefault="008110F5" w:rsidP="007A44CB">
      <w:pPr>
        <w:pStyle w:val="Heading3"/>
      </w:pPr>
      <w:bookmarkStart w:id="225" w:name="_Toc447195036"/>
      <w:r>
        <w:lastRenderedPageBreak/>
        <w:t>ICU Physician Staffing (IPS)</w:t>
      </w:r>
      <w:bookmarkEnd w:id="225"/>
    </w:p>
    <w:p w14:paraId="53B8F15C" w14:textId="77777777" w:rsidR="009E7330" w:rsidRDefault="009E7330" w:rsidP="008110F5">
      <w:pPr>
        <w:rPr>
          <w:lang w:eastAsia="ja-JP"/>
        </w:rPr>
      </w:pPr>
    </w:p>
    <w:p w14:paraId="2D9D3AB6" w14:textId="7A7C8C4A" w:rsidR="008110F5" w:rsidRDefault="0027291F" w:rsidP="008110F5">
      <w:pPr>
        <w:rPr>
          <w:lang w:eastAsia="ja-JP"/>
        </w:rPr>
      </w:pPr>
      <w:r>
        <w:rPr>
          <w:lang w:eastAsia="ja-JP"/>
        </w:rPr>
        <w:t>R</w:t>
      </w:r>
      <w:r w:rsidR="008110F5">
        <w:rPr>
          <w:lang w:eastAsia="ja-JP"/>
        </w:rPr>
        <w:t xml:space="preserve">eview each of the </w:t>
      </w:r>
      <w:r w:rsidR="00B94757">
        <w:rPr>
          <w:lang w:eastAsia="ja-JP"/>
        </w:rPr>
        <w:t>endnotes</w:t>
      </w:r>
      <w:r w:rsidR="008110F5">
        <w:rPr>
          <w:lang w:eastAsia="ja-JP"/>
        </w:rPr>
        <w:t xml:space="preserve"> referenced in the questions below before responding to each question.</w:t>
      </w:r>
    </w:p>
    <w:p w14:paraId="03E218C9" w14:textId="77777777" w:rsidR="002442B8" w:rsidRDefault="002442B8" w:rsidP="008110F5">
      <w:pPr>
        <w:rPr>
          <w:lang w:eastAsia="ja-JP"/>
        </w:rPr>
      </w:pPr>
    </w:p>
    <w:p w14:paraId="33AFABFA" w14:textId="49481FEF" w:rsidR="002442B8" w:rsidRDefault="002442B8" w:rsidP="002442B8">
      <w:pPr>
        <w:rPr>
          <w:b/>
          <w:snapToGrid w:val="0"/>
          <w:color w:val="FF0000"/>
        </w:rPr>
      </w:pPr>
      <w:r w:rsidRPr="00AD3571">
        <w:rPr>
          <w:b/>
          <w:snapToGrid w:val="0"/>
          <w:color w:val="FF0000"/>
        </w:rPr>
        <w:t>Important Notes:</w:t>
      </w:r>
    </w:p>
    <w:p w14:paraId="6EFDFA66" w14:textId="77777777" w:rsidR="00B77CDF" w:rsidRPr="00B77CDF" w:rsidRDefault="00B77CDF" w:rsidP="002442B8">
      <w:pPr>
        <w:rPr>
          <w:b/>
          <w:snapToGrid w:val="0"/>
          <w:color w:val="FF0000"/>
        </w:rPr>
      </w:pPr>
    </w:p>
    <w:p w14:paraId="75655941" w14:textId="5242FAC3" w:rsidR="002442B8" w:rsidRDefault="002442B8" w:rsidP="002442B8">
      <w:pPr>
        <w:rPr>
          <w:snapToGrid w:val="0"/>
          <w:color w:val="000000"/>
        </w:rPr>
      </w:pPr>
      <w:r>
        <w:rPr>
          <w:snapToGrid w:val="0"/>
          <w:color w:val="000000"/>
        </w:rPr>
        <w:t>Note 1: Some intensivist “presence” may be accomplished via teleintensivists per Leapfrog’s specifications (</w:t>
      </w:r>
      <w:hyperlink w:anchor="Endnote33" w:history="1">
        <w:r w:rsidRPr="005C141D">
          <w:rPr>
            <w:rStyle w:val="Hyperlink"/>
            <w:snapToGrid w:val="0"/>
          </w:rPr>
          <w:t>More Information</w:t>
        </w:r>
      </w:hyperlink>
      <w:r>
        <w:rPr>
          <w:rStyle w:val="EndnoteReference"/>
          <w:snapToGrid w:val="0"/>
          <w:color w:val="000000"/>
        </w:rPr>
        <w:endnoteReference w:id="34"/>
      </w:r>
      <w:r w:rsidR="00B77CDF">
        <w:rPr>
          <w:snapToGrid w:val="0"/>
          <w:color w:val="000000"/>
        </w:rPr>
        <w:t xml:space="preserve">). </w:t>
      </w:r>
      <w:r>
        <w:rPr>
          <w:snapToGrid w:val="0"/>
          <w:color w:val="000000"/>
        </w:rPr>
        <w:t xml:space="preserve">However, at this time hospitals cannot fully meet the standard through the sole use of teleintensivists.  </w:t>
      </w:r>
      <w:r>
        <w:rPr>
          <w:snapToGrid w:val="0"/>
          <w:color w:val="000000"/>
        </w:rPr>
        <w:br/>
      </w:r>
    </w:p>
    <w:p w14:paraId="4C1DFEBC" w14:textId="77777777" w:rsidR="002442B8" w:rsidRDefault="002442B8" w:rsidP="002442B8">
      <w:pPr>
        <w:rPr>
          <w:snapToGrid w:val="0"/>
          <w:color w:val="000000"/>
        </w:rPr>
      </w:pPr>
      <w:r>
        <w:rPr>
          <w:snapToGrid w:val="0"/>
          <w:color w:val="000000"/>
        </w:rPr>
        <w:t>Note 2: On an interim basis, other categories of physicians may be considered by Leapfrog to be “certified in Critical Care Medicine” (</w:t>
      </w:r>
      <w:hyperlink w:anchor="Endnote29" w:history="1">
        <w:r w:rsidR="003D2251" w:rsidRPr="000F510F">
          <w:rPr>
            <w:rStyle w:val="Hyperlink"/>
            <w:snapToGrid w:val="0"/>
          </w:rPr>
          <w:t>More Information</w:t>
        </w:r>
      </w:hyperlink>
      <w:r w:rsidR="003D2251">
        <w:rPr>
          <w:snapToGrid w:val="0"/>
          <w:vertAlign w:val="superscript"/>
        </w:rPr>
        <w:t>29</w:t>
      </w:r>
      <w:r w:rsidRPr="00F81FCB">
        <w:rPr>
          <w:snapToGrid w:val="0"/>
          <w:color w:val="000000"/>
        </w:rPr>
        <w:t>).</w:t>
      </w:r>
    </w:p>
    <w:p w14:paraId="7A90A524" w14:textId="77777777" w:rsidR="008D2265" w:rsidRDefault="008D2265" w:rsidP="008110F5">
      <w:pPr>
        <w:rPr>
          <w:lang w:eastAsia="ja-JP"/>
        </w:rPr>
      </w:pPr>
    </w:p>
    <w:p w14:paraId="171ED950" w14:textId="77777777" w:rsidR="0027291F" w:rsidRDefault="0027291F" w:rsidP="008110F5">
      <w:pPr>
        <w:rPr>
          <w:lang w:eastAsia="ja-JP"/>
        </w:rPr>
      </w:pPr>
    </w:p>
    <w:tbl>
      <w:tblPr>
        <w:tblStyle w:val="TableGrid"/>
        <w:tblW w:w="9982" w:type="dxa"/>
        <w:jc w:val="center"/>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982"/>
      </w:tblGrid>
      <w:tr w:rsidR="008D2265" w14:paraId="4BFE9BB7" w14:textId="77777777" w:rsidTr="0027291F">
        <w:trPr>
          <w:jc w:val="center"/>
        </w:trPr>
        <w:tc>
          <w:tcPr>
            <w:tcW w:w="9982" w:type="dxa"/>
          </w:tcPr>
          <w:p w14:paraId="1A1C553C" w14:textId="77777777" w:rsidR="008D2265" w:rsidRPr="008D2265" w:rsidRDefault="008D2265" w:rsidP="009E7330">
            <w:pPr>
              <w:pStyle w:val="Header"/>
              <w:tabs>
                <w:tab w:val="clear" w:pos="4320"/>
                <w:tab w:val="clear" w:pos="8640"/>
              </w:tabs>
              <w:spacing w:before="120" w:after="120"/>
              <w:rPr>
                <w:b/>
              </w:rPr>
            </w:pPr>
            <w:r>
              <w:rPr>
                <w:b/>
              </w:rPr>
              <w:t xml:space="preserve">Reporting Time Period: </w:t>
            </w:r>
            <w:r>
              <w:t>Answer questions #1-</w:t>
            </w:r>
            <w:r w:rsidRPr="00D045E4">
              <w:t>14</w:t>
            </w:r>
            <w:r>
              <w:t xml:space="preserve"> based</w:t>
            </w:r>
            <w:r w:rsidRPr="008B5F08">
              <w:t xml:space="preserve"> on </w:t>
            </w:r>
            <w:r>
              <w:t>the</w:t>
            </w:r>
            <w:r w:rsidRPr="008B5F08">
              <w:t xml:space="preserve"> staffing structure </w:t>
            </w:r>
            <w:r>
              <w:t xml:space="preserve">currently in place </w:t>
            </w:r>
            <w:r w:rsidRPr="008B5F08">
              <w:t xml:space="preserve">at the time that you submit </w:t>
            </w:r>
            <w:r>
              <w:t xml:space="preserve">this section of </w:t>
            </w:r>
            <w:r w:rsidRPr="008B5F08">
              <w:t>the survey. The staffing structure should have been in place for at least the past 3 months and reflect the ordinary staffing structure for the ICU</w:t>
            </w:r>
            <w:r>
              <w:t>.</w:t>
            </w:r>
          </w:p>
        </w:tc>
      </w:tr>
    </w:tbl>
    <w:p w14:paraId="3995320F" w14:textId="77777777" w:rsidR="008B5F08" w:rsidRPr="008B5F08" w:rsidRDefault="008B5F08">
      <w:pPr>
        <w:pStyle w:val="Header"/>
        <w:tabs>
          <w:tab w:val="clear" w:pos="4320"/>
          <w:tab w:val="clear" w:pos="8640"/>
        </w:tabs>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2456"/>
        <w:gridCol w:w="2240"/>
        <w:gridCol w:w="19"/>
      </w:tblGrid>
      <w:tr w:rsidR="00940EA2" w:rsidRPr="00744CB8" w14:paraId="31320DD1" w14:textId="77777777" w:rsidTr="00B77CDF">
        <w:trPr>
          <w:gridAfter w:val="1"/>
          <w:wAfter w:w="19" w:type="dxa"/>
          <w:jc w:val="center"/>
        </w:trPr>
        <w:tc>
          <w:tcPr>
            <w:tcW w:w="7735" w:type="dxa"/>
            <w:gridSpan w:val="2"/>
            <w:vAlign w:val="center"/>
          </w:tcPr>
          <w:p w14:paraId="2BAE4085" w14:textId="77777777" w:rsidR="00940EA2" w:rsidRPr="00744CB8" w:rsidRDefault="00940EA2" w:rsidP="00B77CDF">
            <w:pPr>
              <w:numPr>
                <w:ilvl w:val="0"/>
                <w:numId w:val="62"/>
              </w:numPr>
              <w:spacing w:before="120" w:after="120"/>
            </w:pPr>
            <w:r w:rsidRPr="00744CB8">
              <w:t>W</w:t>
            </w:r>
            <w:r w:rsidRPr="00744CB8">
              <w:rPr>
                <w:snapToGrid w:val="0"/>
                <w:color w:val="000000"/>
              </w:rPr>
              <w:t>hat is the latest 3-month reporting period for which your hospital is submitting responses to this section? 3 months ending:</w:t>
            </w:r>
          </w:p>
        </w:tc>
        <w:tc>
          <w:tcPr>
            <w:tcW w:w="2240" w:type="dxa"/>
          </w:tcPr>
          <w:p w14:paraId="56EDEFCD" w14:textId="77777777" w:rsidR="00940EA2" w:rsidRPr="00744CB8" w:rsidRDefault="00940EA2" w:rsidP="00940EA2">
            <w:pPr>
              <w:jc w:val="center"/>
              <w:rPr>
                <w:i/>
                <w:snapToGrid w:val="0"/>
              </w:rPr>
            </w:pPr>
            <w:r w:rsidRPr="00744CB8">
              <w:rPr>
                <w:i/>
                <w:snapToGrid w:val="0"/>
              </w:rPr>
              <w:t>______</w:t>
            </w:r>
          </w:p>
          <w:p w14:paraId="0115823D" w14:textId="77777777" w:rsidR="00940EA2" w:rsidRPr="00744CB8" w:rsidRDefault="008F33BA" w:rsidP="008F33BA">
            <w:pPr>
              <w:jc w:val="center"/>
              <w:rPr>
                <w:i/>
                <w:snapToGrid w:val="0"/>
                <w:sz w:val="16"/>
                <w:szCs w:val="16"/>
              </w:rPr>
            </w:pPr>
            <w:r w:rsidRPr="00744CB8">
              <w:rPr>
                <w:i/>
                <w:snapToGrid w:val="0"/>
                <w:sz w:val="16"/>
                <w:szCs w:val="16"/>
              </w:rPr>
              <w:t xml:space="preserve">Format: </w:t>
            </w:r>
            <w:r w:rsidR="00940EA2" w:rsidRPr="00744CB8">
              <w:rPr>
                <w:i/>
                <w:snapToGrid w:val="0"/>
                <w:sz w:val="16"/>
                <w:szCs w:val="16"/>
              </w:rPr>
              <w:t>MM/YYYY</w:t>
            </w:r>
          </w:p>
        </w:tc>
      </w:tr>
      <w:tr w:rsidR="008910AA" w:rsidRPr="00744CB8" w14:paraId="0A59703D" w14:textId="77777777" w:rsidTr="00B77CDF">
        <w:trPr>
          <w:gridAfter w:val="1"/>
          <w:wAfter w:w="19" w:type="dxa"/>
          <w:trHeight w:val="602"/>
          <w:jc w:val="center"/>
        </w:trPr>
        <w:tc>
          <w:tcPr>
            <w:tcW w:w="7735" w:type="dxa"/>
            <w:gridSpan w:val="2"/>
            <w:vAlign w:val="center"/>
          </w:tcPr>
          <w:p w14:paraId="6848D27B" w14:textId="77777777" w:rsidR="008910AA" w:rsidRPr="00744CB8" w:rsidRDefault="008910AA" w:rsidP="000F510F">
            <w:pPr>
              <w:numPr>
                <w:ilvl w:val="0"/>
                <w:numId w:val="62"/>
              </w:numPr>
            </w:pPr>
            <w:r w:rsidRPr="00744CB8">
              <w:t xml:space="preserve">Does your hospital operate any </w:t>
            </w:r>
            <w:hyperlink w:anchor="Endnote27" w:history="1">
              <w:r w:rsidRPr="000F510F">
                <w:rPr>
                  <w:rStyle w:val="Hyperlink"/>
                </w:rPr>
                <w:t>adult or pediatric general medical and/or surgical ICUs or neuro ICUs</w:t>
              </w:r>
            </w:hyperlink>
            <w:r w:rsidR="00C0593A" w:rsidRPr="002442B8">
              <w:rPr>
                <w:rStyle w:val="Hyperlink"/>
                <w:color w:val="auto"/>
                <w:u w:val="none"/>
                <w:vertAlign w:val="superscript"/>
              </w:rPr>
              <w:t>2</w:t>
            </w:r>
            <w:r w:rsidR="000F510F">
              <w:rPr>
                <w:rStyle w:val="Hyperlink"/>
                <w:color w:val="auto"/>
                <w:u w:val="none"/>
                <w:vertAlign w:val="superscript"/>
              </w:rPr>
              <w:t>7</w:t>
            </w:r>
            <w:r w:rsidRPr="00744CB8">
              <w:t>?</w:t>
            </w:r>
          </w:p>
        </w:tc>
        <w:tc>
          <w:tcPr>
            <w:tcW w:w="2240" w:type="dxa"/>
            <w:vAlign w:val="center"/>
          </w:tcPr>
          <w:p w14:paraId="4CBFAFEE" w14:textId="77777777" w:rsidR="008910AA" w:rsidRPr="00744CB8" w:rsidRDefault="008910AA" w:rsidP="00F64E12">
            <w:pPr>
              <w:jc w:val="center"/>
              <w:rPr>
                <w:i/>
              </w:rPr>
            </w:pPr>
            <w:r w:rsidRPr="00744CB8">
              <w:rPr>
                <w:i/>
              </w:rPr>
              <w:t>Yes</w:t>
            </w:r>
          </w:p>
          <w:p w14:paraId="70CD2D8D" w14:textId="77777777" w:rsidR="008910AA" w:rsidRPr="00744CB8" w:rsidRDefault="008910AA" w:rsidP="00F64E12">
            <w:pPr>
              <w:jc w:val="center"/>
              <w:rPr>
                <w:i/>
              </w:rPr>
            </w:pPr>
            <w:r w:rsidRPr="00744CB8">
              <w:rPr>
                <w:i/>
              </w:rPr>
              <w:t>No</w:t>
            </w:r>
          </w:p>
        </w:tc>
      </w:tr>
      <w:tr w:rsidR="008910AA" w:rsidRPr="00744CB8" w14:paraId="2324960C" w14:textId="77777777" w:rsidTr="00B7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94" w:type="dxa"/>
            <w:gridSpan w:val="4"/>
          </w:tcPr>
          <w:p w14:paraId="24338AEF" w14:textId="77777777" w:rsidR="008910AA" w:rsidRPr="00B77CDF" w:rsidRDefault="008910AA">
            <w:pPr>
              <w:pStyle w:val="Header"/>
              <w:tabs>
                <w:tab w:val="clear" w:pos="4320"/>
                <w:tab w:val="clear" w:pos="8640"/>
              </w:tabs>
              <w:rPr>
                <w:i/>
              </w:rPr>
            </w:pPr>
          </w:p>
          <w:p w14:paraId="42A07366" w14:textId="2F0E5E29" w:rsidR="008910AA" w:rsidRPr="00B77CDF" w:rsidRDefault="00B77CDF">
            <w:pPr>
              <w:pStyle w:val="Header"/>
              <w:tabs>
                <w:tab w:val="clear" w:pos="4320"/>
                <w:tab w:val="clear" w:pos="8640"/>
              </w:tabs>
              <w:rPr>
                <w:i/>
              </w:rPr>
            </w:pPr>
            <w:r>
              <w:rPr>
                <w:i/>
              </w:rPr>
              <w:t xml:space="preserve">If “yes” to question #2 </w:t>
            </w:r>
            <w:r w:rsidR="008910AA" w:rsidRPr="00B77CDF">
              <w:rPr>
                <w:i/>
              </w:rPr>
              <w:t>continue; othe</w:t>
            </w:r>
            <w:r>
              <w:rPr>
                <w:i/>
              </w:rPr>
              <w:t>rwise, skip remaining questi</w:t>
            </w:r>
            <w:r w:rsidR="003C422C">
              <w:rPr>
                <w:i/>
              </w:rPr>
              <w:t xml:space="preserve">ons. </w:t>
            </w:r>
          </w:p>
          <w:p w14:paraId="6865C432" w14:textId="77777777" w:rsidR="00B77CDF" w:rsidRPr="00B77CDF" w:rsidRDefault="00B77CDF">
            <w:pPr>
              <w:pStyle w:val="Header"/>
              <w:tabs>
                <w:tab w:val="clear" w:pos="4320"/>
                <w:tab w:val="clear" w:pos="8640"/>
              </w:tabs>
              <w:rPr>
                <w:i/>
              </w:rPr>
            </w:pPr>
          </w:p>
        </w:tc>
      </w:tr>
      <w:tr w:rsidR="008910AA" w:rsidRPr="00744CB8" w14:paraId="0C375366" w14:textId="77777777" w:rsidTr="00B77CDF">
        <w:trPr>
          <w:gridAfter w:val="1"/>
          <w:wAfter w:w="19" w:type="dxa"/>
          <w:trHeight w:val="998"/>
          <w:jc w:val="center"/>
        </w:trPr>
        <w:tc>
          <w:tcPr>
            <w:tcW w:w="5279" w:type="dxa"/>
            <w:vAlign w:val="center"/>
          </w:tcPr>
          <w:p w14:paraId="4D9D02B4" w14:textId="77777777" w:rsidR="008910AA" w:rsidRPr="00744CB8" w:rsidRDefault="008910AA" w:rsidP="000F510F">
            <w:pPr>
              <w:numPr>
                <w:ilvl w:val="0"/>
                <w:numId w:val="62"/>
              </w:numPr>
            </w:pPr>
            <w:r w:rsidRPr="00744CB8">
              <w:t xml:space="preserve">Are </w:t>
            </w:r>
            <w:hyperlink w:anchor="Endnote26" w:history="1">
              <w:r w:rsidR="003D2251" w:rsidRPr="000F510F">
                <w:rPr>
                  <w:rStyle w:val="Hyperlink"/>
                </w:rPr>
                <w:t>all patients</w:t>
              </w:r>
            </w:hyperlink>
            <w:r w:rsidR="003D2251" w:rsidRPr="000F510F">
              <w:rPr>
                <w:vertAlign w:val="superscript"/>
              </w:rPr>
              <w:t>26</w:t>
            </w:r>
            <w:r w:rsidR="003D2251" w:rsidRPr="00744CB8">
              <w:t xml:space="preserve"> </w:t>
            </w:r>
            <w:r w:rsidRPr="00744CB8">
              <w:t xml:space="preserve">in these ICUs </w:t>
            </w:r>
            <w:hyperlink w:anchor="Endnote28" w:history="1">
              <w:r w:rsidRPr="000F510F">
                <w:rPr>
                  <w:rStyle w:val="Hyperlink"/>
                </w:rPr>
                <w:t>managed or co-managed</w:t>
              </w:r>
            </w:hyperlink>
            <w:r w:rsidR="00C0593A" w:rsidRPr="00744CB8">
              <w:rPr>
                <w:vertAlign w:val="superscript"/>
              </w:rPr>
              <w:t>2</w:t>
            </w:r>
            <w:r w:rsidR="000F510F">
              <w:rPr>
                <w:vertAlign w:val="superscript"/>
              </w:rPr>
              <w:t>8</w:t>
            </w:r>
            <w:r w:rsidRPr="00744CB8">
              <w:t xml:space="preserve"> by one or more physicians who are </w:t>
            </w:r>
            <w:hyperlink w:anchor="Endnote29" w:history="1">
              <w:r w:rsidRPr="000F510F">
                <w:rPr>
                  <w:rStyle w:val="Hyperlink"/>
                </w:rPr>
                <w:t>certified in critical care medicine</w:t>
              </w:r>
            </w:hyperlink>
            <w:r w:rsidR="006129EF">
              <w:rPr>
                <w:vertAlign w:val="superscript"/>
              </w:rPr>
              <w:t>29</w:t>
            </w:r>
            <w:r w:rsidRPr="00744CB8">
              <w:t>?</w:t>
            </w:r>
          </w:p>
        </w:tc>
        <w:tc>
          <w:tcPr>
            <w:tcW w:w="4696" w:type="dxa"/>
            <w:gridSpan w:val="2"/>
            <w:vAlign w:val="center"/>
          </w:tcPr>
          <w:p w14:paraId="1B7DA403" w14:textId="77777777" w:rsidR="008910AA" w:rsidRPr="00744CB8" w:rsidRDefault="008910AA" w:rsidP="005008BE">
            <w:pPr>
              <w:rPr>
                <w:i/>
              </w:rPr>
            </w:pPr>
            <w:r w:rsidRPr="00744CB8">
              <w:rPr>
                <w:i/>
              </w:rPr>
              <w:t>Yes, all are certified in critical care</w:t>
            </w:r>
          </w:p>
          <w:p w14:paraId="3E09BACA" w14:textId="77777777" w:rsidR="008910AA" w:rsidRPr="00744CB8" w:rsidRDefault="008910AA" w:rsidP="005008BE">
            <w:pPr>
              <w:rPr>
                <w:i/>
              </w:rPr>
            </w:pPr>
            <w:r w:rsidRPr="00744CB8">
              <w:rPr>
                <w:i/>
              </w:rPr>
              <w:t>Yes, based on expanded definition of certified</w:t>
            </w:r>
          </w:p>
          <w:p w14:paraId="164FBDF6" w14:textId="77777777" w:rsidR="008910AA" w:rsidRPr="00744CB8" w:rsidRDefault="008910AA" w:rsidP="005008BE">
            <w:pPr>
              <w:rPr>
                <w:i/>
              </w:rPr>
            </w:pPr>
            <w:r w:rsidRPr="00744CB8">
              <w:rPr>
                <w:i/>
              </w:rPr>
              <w:t>No</w:t>
            </w:r>
          </w:p>
        </w:tc>
      </w:tr>
    </w:tbl>
    <w:p w14:paraId="4187190A" w14:textId="77777777" w:rsidR="008910AA" w:rsidRPr="00744CB8" w:rsidRDefault="008910AA"/>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259"/>
      </w:tblGrid>
      <w:tr w:rsidR="008910AA" w:rsidRPr="00744CB8" w14:paraId="540120F0" w14:textId="77777777" w:rsidTr="00B77CDF">
        <w:trPr>
          <w:trHeight w:val="1133"/>
          <w:jc w:val="center"/>
        </w:trPr>
        <w:tc>
          <w:tcPr>
            <w:tcW w:w="7735" w:type="dxa"/>
            <w:vAlign w:val="center"/>
          </w:tcPr>
          <w:p w14:paraId="76D87C2E" w14:textId="77777777" w:rsidR="008910AA" w:rsidRPr="00744CB8" w:rsidRDefault="000065FC" w:rsidP="003D2251">
            <w:pPr>
              <w:pStyle w:val="Header"/>
              <w:tabs>
                <w:tab w:val="clear" w:pos="4320"/>
                <w:tab w:val="clear" w:pos="8640"/>
              </w:tabs>
            </w:pPr>
            <w:r w:rsidRPr="00744CB8">
              <w:t xml:space="preserve">4) </w:t>
            </w:r>
            <w:r w:rsidR="008910AA" w:rsidRPr="00744CB8">
              <w:t xml:space="preserve">Is one or more of these physicians </w:t>
            </w:r>
            <w:hyperlink w:anchor="Endnote30" w:history="1">
              <w:r w:rsidR="003D2251" w:rsidRPr="000F510F">
                <w:rPr>
                  <w:rStyle w:val="Hyperlink"/>
                </w:rPr>
                <w:t>ordinarily present</w:t>
              </w:r>
            </w:hyperlink>
            <w:r w:rsidR="003D2251" w:rsidRPr="00744CB8">
              <w:rPr>
                <w:vertAlign w:val="superscript"/>
              </w:rPr>
              <w:t>3</w:t>
            </w:r>
            <w:r w:rsidR="003D2251">
              <w:rPr>
                <w:vertAlign w:val="superscript"/>
              </w:rPr>
              <w:t>0</w:t>
            </w:r>
            <w:r w:rsidR="003D2251" w:rsidRPr="00744CB8">
              <w:t xml:space="preserve"> </w:t>
            </w:r>
            <w:r w:rsidR="008910AA" w:rsidRPr="00744CB8">
              <w:t xml:space="preserve">in each of these ICUs during daytime hours </w:t>
            </w:r>
            <w:r w:rsidR="008910AA" w:rsidRPr="00744CB8">
              <w:rPr>
                <w:b/>
              </w:rPr>
              <w:t>for at least 8 hours per day, 7 days per week,</w:t>
            </w:r>
            <w:r w:rsidR="008910AA" w:rsidRPr="00744CB8">
              <w:t xml:space="preserve"> and do they provide clinical care </w:t>
            </w:r>
            <w:hyperlink w:anchor="Endnote30" w:history="1">
              <w:r w:rsidR="003D2251" w:rsidRPr="000F510F">
                <w:rPr>
                  <w:rStyle w:val="Hyperlink"/>
                </w:rPr>
                <w:t>exclusively</w:t>
              </w:r>
            </w:hyperlink>
            <w:r w:rsidR="003D2251" w:rsidRPr="000F510F">
              <w:rPr>
                <w:vertAlign w:val="superscript"/>
              </w:rPr>
              <w:t>30</w:t>
            </w:r>
            <w:r w:rsidR="003D2251" w:rsidRPr="00744CB8">
              <w:t xml:space="preserve"> </w:t>
            </w:r>
            <w:r w:rsidR="008910AA" w:rsidRPr="00744CB8">
              <w:t xml:space="preserve">in one ICU during these hours? </w:t>
            </w:r>
            <w:r w:rsidR="00862ECA" w:rsidRPr="00744CB8">
              <w:t>(</w:t>
            </w:r>
            <w:hyperlink w:anchor="Endnote33" w:history="1">
              <w:r w:rsidR="003D2251" w:rsidRPr="000F510F">
                <w:rPr>
                  <w:rStyle w:val="Hyperlink"/>
                </w:rPr>
                <w:t>More information on the use of telemedicine</w:t>
              </w:r>
            </w:hyperlink>
            <w:r w:rsidR="003D2251" w:rsidRPr="00744CB8">
              <w:rPr>
                <w:vertAlign w:val="superscript"/>
              </w:rPr>
              <w:t>3</w:t>
            </w:r>
            <w:r w:rsidR="003D2251">
              <w:rPr>
                <w:vertAlign w:val="superscript"/>
              </w:rPr>
              <w:t>3</w:t>
            </w:r>
            <w:r w:rsidR="00862ECA" w:rsidRPr="00744CB8">
              <w:t>)</w:t>
            </w:r>
          </w:p>
        </w:tc>
        <w:tc>
          <w:tcPr>
            <w:tcW w:w="2259" w:type="dxa"/>
            <w:vAlign w:val="center"/>
          </w:tcPr>
          <w:p w14:paraId="6A20F1F6" w14:textId="77777777" w:rsidR="008910AA" w:rsidRPr="00744CB8" w:rsidRDefault="008910AA" w:rsidP="005008BE">
            <w:pPr>
              <w:jc w:val="center"/>
              <w:rPr>
                <w:i/>
              </w:rPr>
            </w:pPr>
            <w:r w:rsidRPr="00744CB8">
              <w:rPr>
                <w:i/>
              </w:rPr>
              <w:t>Yes</w:t>
            </w:r>
          </w:p>
          <w:p w14:paraId="0CEF50F3" w14:textId="77777777" w:rsidR="008910AA" w:rsidRPr="00744CB8" w:rsidRDefault="008910AA" w:rsidP="005008BE">
            <w:pPr>
              <w:jc w:val="center"/>
              <w:rPr>
                <w:i/>
              </w:rPr>
            </w:pPr>
            <w:r w:rsidRPr="00744CB8">
              <w:rPr>
                <w:i/>
              </w:rPr>
              <w:t>No</w:t>
            </w:r>
          </w:p>
        </w:tc>
      </w:tr>
      <w:tr w:rsidR="008910AA" w:rsidRPr="00744CB8" w14:paraId="3661FED3" w14:textId="77777777" w:rsidTr="00B77CDF">
        <w:trPr>
          <w:trHeight w:val="1727"/>
          <w:jc w:val="center"/>
        </w:trPr>
        <w:tc>
          <w:tcPr>
            <w:tcW w:w="7735" w:type="dxa"/>
            <w:vAlign w:val="center"/>
          </w:tcPr>
          <w:p w14:paraId="4A598CE6" w14:textId="77777777" w:rsidR="000065FC" w:rsidRPr="00744CB8" w:rsidRDefault="005224BA" w:rsidP="00B77CDF">
            <w:pPr>
              <w:spacing w:before="120"/>
            </w:pPr>
            <w:r w:rsidRPr="00744CB8">
              <w:t xml:space="preserve">5) </w:t>
            </w:r>
            <w:r w:rsidR="008910AA" w:rsidRPr="00744CB8">
              <w:t xml:space="preserve">When these physicians are not present in these ICUs on-site or via telemedicine, do they return more than 95% of calls/pages from these units within five minutes, </w:t>
            </w:r>
            <w:r w:rsidR="008910AA" w:rsidRPr="00744CB8">
              <w:rPr>
                <w:snapToGrid w:val="0"/>
                <w:color w:val="000000"/>
              </w:rPr>
              <w:t xml:space="preserve">based on a </w:t>
            </w:r>
            <w:hyperlink w:anchor="Endnote31" w:history="1">
              <w:r w:rsidR="001848C0" w:rsidRPr="000F510F">
                <w:rPr>
                  <w:rStyle w:val="Hyperlink"/>
                  <w:snapToGrid w:val="0"/>
                </w:rPr>
                <w:t>quantified analysis</w:t>
              </w:r>
            </w:hyperlink>
            <w:r w:rsidR="001848C0" w:rsidRPr="00744CB8">
              <w:rPr>
                <w:vertAlign w:val="superscript"/>
              </w:rPr>
              <w:t>3</w:t>
            </w:r>
            <w:r w:rsidR="000F510F">
              <w:rPr>
                <w:vertAlign w:val="superscript"/>
              </w:rPr>
              <w:t>1</w:t>
            </w:r>
            <w:r w:rsidR="001848C0" w:rsidRPr="00744CB8">
              <w:rPr>
                <w:snapToGrid w:val="0"/>
              </w:rPr>
              <w:t xml:space="preserve"> </w:t>
            </w:r>
            <w:r w:rsidR="008910AA" w:rsidRPr="00744CB8">
              <w:rPr>
                <w:snapToGrid w:val="0"/>
              </w:rPr>
              <w:t>of notification device response time</w:t>
            </w:r>
            <w:r w:rsidR="008910AA" w:rsidRPr="00744CB8">
              <w:t>?</w:t>
            </w:r>
          </w:p>
          <w:p w14:paraId="687F3B1A" w14:textId="77777777" w:rsidR="008910AA" w:rsidRDefault="008910AA" w:rsidP="005224BA">
            <w:pPr>
              <w:rPr>
                <w:i/>
                <w:snapToGrid w:val="0"/>
                <w:color w:val="000000"/>
                <w:sz w:val="16"/>
                <w:szCs w:val="16"/>
              </w:rPr>
            </w:pPr>
            <w:r w:rsidRPr="00744CB8">
              <w:br/>
            </w:r>
            <w:r w:rsidRPr="00744CB8">
              <w:rPr>
                <w:i/>
                <w:sz w:val="16"/>
                <w:szCs w:val="16"/>
              </w:rPr>
              <w:t>(This percentage may exclude low-urgency calls/pages, if the notification device system can designate low-urgency calls/pages</w:t>
            </w:r>
            <w:r w:rsidRPr="00744CB8">
              <w:rPr>
                <w:i/>
                <w:snapToGrid w:val="0"/>
                <w:color w:val="000000"/>
                <w:sz w:val="16"/>
                <w:szCs w:val="16"/>
              </w:rPr>
              <w:t xml:space="preserve"> or if the hospital has an alternative scientific method for documenting high-urgency calls/pages that are not returned within 5 minutes.)</w:t>
            </w:r>
          </w:p>
          <w:p w14:paraId="740B55B2" w14:textId="77777777" w:rsidR="009C21A9" w:rsidRPr="00744CB8" w:rsidRDefault="009C21A9" w:rsidP="005224BA"/>
        </w:tc>
        <w:tc>
          <w:tcPr>
            <w:tcW w:w="2259" w:type="dxa"/>
            <w:vAlign w:val="center"/>
          </w:tcPr>
          <w:p w14:paraId="71E3742A" w14:textId="77777777" w:rsidR="008910AA" w:rsidRPr="00744CB8" w:rsidRDefault="008910AA" w:rsidP="005008BE">
            <w:pPr>
              <w:jc w:val="center"/>
              <w:rPr>
                <w:i/>
              </w:rPr>
            </w:pPr>
            <w:r w:rsidRPr="00744CB8">
              <w:rPr>
                <w:i/>
              </w:rPr>
              <w:t>Yes</w:t>
            </w:r>
          </w:p>
          <w:p w14:paraId="3DEC5BAE" w14:textId="77777777" w:rsidR="00EA4193" w:rsidRPr="00744CB8" w:rsidRDefault="00EA4193" w:rsidP="005008BE">
            <w:pPr>
              <w:jc w:val="center"/>
              <w:rPr>
                <w:i/>
              </w:rPr>
            </w:pPr>
          </w:p>
          <w:p w14:paraId="2F85F5C2" w14:textId="77777777" w:rsidR="008910AA" w:rsidRPr="00744CB8" w:rsidRDefault="008910AA" w:rsidP="005008BE">
            <w:pPr>
              <w:jc w:val="center"/>
              <w:rPr>
                <w:i/>
              </w:rPr>
            </w:pPr>
            <w:r w:rsidRPr="00744CB8">
              <w:rPr>
                <w:i/>
              </w:rPr>
              <w:t>No</w:t>
            </w:r>
          </w:p>
          <w:p w14:paraId="4131DB42" w14:textId="77777777" w:rsidR="00EA4193" w:rsidRPr="00744CB8" w:rsidRDefault="00EA4193" w:rsidP="005008BE">
            <w:pPr>
              <w:jc w:val="center"/>
              <w:rPr>
                <w:i/>
              </w:rPr>
            </w:pPr>
          </w:p>
          <w:p w14:paraId="30B54D44" w14:textId="77777777" w:rsidR="006F7343" w:rsidRPr="00744CB8" w:rsidRDefault="006F7343" w:rsidP="006F7343">
            <w:pPr>
              <w:pStyle w:val="Default"/>
              <w:jc w:val="center"/>
              <w:rPr>
                <w:rFonts w:ascii="Arial" w:hAnsi="Arial" w:cs="Arial"/>
              </w:rPr>
            </w:pPr>
            <w:r w:rsidRPr="00744CB8">
              <w:rPr>
                <w:rFonts w:ascii="Arial" w:hAnsi="Arial" w:cs="Arial"/>
                <w:bCs/>
                <w:i/>
                <w:iCs/>
                <w:sz w:val="20"/>
                <w:szCs w:val="20"/>
              </w:rPr>
              <w:t xml:space="preserve">Not applicable, Intensivists are present 24/7 </w:t>
            </w:r>
          </w:p>
        </w:tc>
      </w:tr>
      <w:tr w:rsidR="008910AA" w14:paraId="1EB6CEA8" w14:textId="77777777" w:rsidTr="00B77CDF">
        <w:trPr>
          <w:jc w:val="center"/>
        </w:trPr>
        <w:tc>
          <w:tcPr>
            <w:tcW w:w="7735" w:type="dxa"/>
          </w:tcPr>
          <w:p w14:paraId="6879A550" w14:textId="77777777" w:rsidR="000065FC" w:rsidRPr="00744CB8" w:rsidRDefault="005224BA" w:rsidP="00B77CDF">
            <w:pPr>
              <w:spacing w:before="120"/>
            </w:pPr>
            <w:r w:rsidRPr="00744CB8">
              <w:t xml:space="preserve">6) </w:t>
            </w:r>
            <w:r w:rsidR="008910AA" w:rsidRPr="00744CB8">
              <w:t xml:space="preserve">When these physicians are not present on-site in the ICU or not able to reach an ICU patient within 5 minutes, can they rely on a physician, physician assistant, nurse practitioner, or </w:t>
            </w:r>
            <w:hyperlink w:anchor="Endnote32" w:history="1">
              <w:r w:rsidR="008910AA" w:rsidRPr="000F510F">
                <w:rPr>
                  <w:rStyle w:val="Hyperlink"/>
                </w:rPr>
                <w:t>FCCS-certified nurse “effector</w:t>
              </w:r>
              <w:r w:rsidR="004C3E7B" w:rsidRPr="000F510F">
                <w:rPr>
                  <w:rStyle w:val="Hyperlink"/>
                </w:rPr>
                <w:t>”</w:t>
              </w:r>
            </w:hyperlink>
            <w:r w:rsidR="003D2251" w:rsidRPr="00744CB8">
              <w:rPr>
                <w:vertAlign w:val="superscript"/>
              </w:rPr>
              <w:t>3</w:t>
            </w:r>
            <w:r w:rsidR="003D2251">
              <w:rPr>
                <w:vertAlign w:val="superscript"/>
              </w:rPr>
              <w:t>2</w:t>
            </w:r>
            <w:r w:rsidR="003D2251" w:rsidRPr="00744CB8">
              <w:t xml:space="preserve"> </w:t>
            </w:r>
            <w:r w:rsidR="008910AA" w:rsidRPr="00744CB8">
              <w:t xml:space="preserve">who is in the hospital and able to reach these ICU patients within five minutes in more than 95% of the cases, </w:t>
            </w:r>
            <w:r w:rsidR="008910AA" w:rsidRPr="00744CB8">
              <w:rPr>
                <w:snapToGrid w:val="0"/>
                <w:color w:val="000000"/>
              </w:rPr>
              <w:t xml:space="preserve">based on a </w:t>
            </w:r>
            <w:hyperlink w:anchor="Endnote31" w:history="1">
              <w:r w:rsidR="003D2251" w:rsidRPr="000F510F">
                <w:rPr>
                  <w:rStyle w:val="Hyperlink"/>
                  <w:snapToGrid w:val="0"/>
                </w:rPr>
                <w:t>quantified analysis</w:t>
              </w:r>
            </w:hyperlink>
            <w:r w:rsidR="003D2251" w:rsidRPr="00744CB8">
              <w:rPr>
                <w:vertAlign w:val="superscript"/>
              </w:rPr>
              <w:t>3</w:t>
            </w:r>
            <w:r w:rsidR="003D2251">
              <w:rPr>
                <w:vertAlign w:val="superscript"/>
              </w:rPr>
              <w:t>1</w:t>
            </w:r>
            <w:r w:rsidR="003D2251" w:rsidRPr="00744CB8">
              <w:rPr>
                <w:snapToGrid w:val="0"/>
                <w:color w:val="000000"/>
              </w:rPr>
              <w:t xml:space="preserve"> </w:t>
            </w:r>
            <w:r w:rsidR="008910AA" w:rsidRPr="00744CB8">
              <w:rPr>
                <w:snapToGrid w:val="0"/>
                <w:color w:val="000000"/>
              </w:rPr>
              <w:t>of notification device response time</w:t>
            </w:r>
            <w:r w:rsidR="008910AA" w:rsidRPr="00744CB8">
              <w:t>?</w:t>
            </w:r>
          </w:p>
          <w:p w14:paraId="1DC7E4E7" w14:textId="77777777" w:rsidR="008910AA" w:rsidRPr="00744CB8" w:rsidRDefault="008910AA" w:rsidP="005224BA">
            <w:r w:rsidRPr="00744CB8">
              <w:br/>
            </w:r>
            <w:r w:rsidRPr="00744CB8">
              <w:rPr>
                <w:i/>
                <w:sz w:val="16"/>
                <w:szCs w:val="16"/>
              </w:rPr>
              <w:t>(This percentage may exclude low-urgency calls/pages, if the notification device system can designate low-urgency calls/pages</w:t>
            </w:r>
            <w:r w:rsidRPr="00744CB8">
              <w:rPr>
                <w:i/>
                <w:snapToGrid w:val="0"/>
                <w:sz w:val="16"/>
                <w:szCs w:val="16"/>
              </w:rPr>
              <w:t xml:space="preserve"> or if the hospital has an alternative scientific method for documenting high-urgency calls/pages that are not returned within 5 minutes.)</w:t>
            </w:r>
            <w:r w:rsidRPr="00744CB8">
              <w:rPr>
                <w:i/>
                <w:snapToGrid w:val="0"/>
                <w:color w:val="000000"/>
                <w:sz w:val="16"/>
                <w:szCs w:val="16"/>
              </w:rPr>
              <w:br/>
            </w:r>
          </w:p>
        </w:tc>
        <w:tc>
          <w:tcPr>
            <w:tcW w:w="2259" w:type="dxa"/>
            <w:vAlign w:val="center"/>
          </w:tcPr>
          <w:p w14:paraId="18A5288B" w14:textId="77777777" w:rsidR="008910AA" w:rsidRPr="00744CB8" w:rsidRDefault="008910AA" w:rsidP="005008BE">
            <w:pPr>
              <w:jc w:val="center"/>
              <w:rPr>
                <w:i/>
              </w:rPr>
            </w:pPr>
            <w:r w:rsidRPr="00744CB8">
              <w:rPr>
                <w:i/>
              </w:rPr>
              <w:t>Yes</w:t>
            </w:r>
          </w:p>
          <w:p w14:paraId="13111FEF" w14:textId="77777777" w:rsidR="00EA4193" w:rsidRPr="00744CB8" w:rsidRDefault="00EA4193" w:rsidP="005008BE">
            <w:pPr>
              <w:jc w:val="center"/>
              <w:rPr>
                <w:i/>
              </w:rPr>
            </w:pPr>
          </w:p>
          <w:p w14:paraId="1302D996" w14:textId="77777777" w:rsidR="00EA4193" w:rsidRPr="00744CB8" w:rsidRDefault="008910AA" w:rsidP="005008BE">
            <w:pPr>
              <w:jc w:val="center"/>
              <w:rPr>
                <w:i/>
              </w:rPr>
            </w:pPr>
            <w:r w:rsidRPr="00744CB8">
              <w:rPr>
                <w:i/>
              </w:rPr>
              <w:t>No</w:t>
            </w:r>
          </w:p>
          <w:p w14:paraId="6F620716" w14:textId="77777777" w:rsidR="008910AA" w:rsidRPr="00744CB8" w:rsidRDefault="006F7343" w:rsidP="005008BE">
            <w:pPr>
              <w:jc w:val="center"/>
              <w:rPr>
                <w:i/>
              </w:rPr>
            </w:pPr>
            <w:r w:rsidRPr="00744CB8">
              <w:rPr>
                <w:i/>
              </w:rPr>
              <w:br/>
            </w:r>
            <w:r w:rsidRPr="00744CB8">
              <w:rPr>
                <w:rFonts w:cs="Arial"/>
                <w:bCs/>
                <w:i/>
                <w:iCs/>
              </w:rPr>
              <w:t>Not applicable, Intensivists are present 24/7</w:t>
            </w:r>
          </w:p>
        </w:tc>
      </w:tr>
    </w:tbl>
    <w:p w14:paraId="6622B9A7" w14:textId="6E9AF263" w:rsidR="00CC2E61" w:rsidRDefault="00CC2E61">
      <w:pPr>
        <w:rPr>
          <w:i/>
        </w:rPr>
      </w:pPr>
    </w:p>
    <w:p w14:paraId="5D392577" w14:textId="77777777" w:rsidR="008910AA" w:rsidRDefault="008910AA">
      <w:pPr>
        <w:rPr>
          <w:i/>
        </w:rPr>
      </w:pPr>
      <w:r>
        <w:rPr>
          <w:i/>
        </w:rPr>
        <w:lastRenderedPageBreak/>
        <w:t>If you answered "No" to any of questions #</w:t>
      </w:r>
      <w:r w:rsidR="00940EA2">
        <w:rPr>
          <w:i/>
        </w:rPr>
        <w:t>3</w:t>
      </w:r>
      <w:r>
        <w:rPr>
          <w:i/>
        </w:rPr>
        <w:t>-</w:t>
      </w:r>
      <w:r w:rsidR="00940EA2">
        <w:rPr>
          <w:i/>
        </w:rPr>
        <w:t>6</w:t>
      </w:r>
      <w:r>
        <w:rPr>
          <w:i/>
        </w:rPr>
        <w:t xml:space="preserve"> in this section, please answer the following questions for adult and pediatric, general medical and/or surgical ICUs and neuro ICUs.</w:t>
      </w:r>
    </w:p>
    <w:p w14:paraId="745F3259" w14:textId="77777777" w:rsidR="008910AA" w:rsidRDefault="008910AA">
      <w:pPr>
        <w:rPr>
          <w:i/>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259"/>
      </w:tblGrid>
      <w:tr w:rsidR="008910AA" w14:paraId="3BE4E22F" w14:textId="77777777" w:rsidTr="00B77CDF">
        <w:trPr>
          <w:jc w:val="center"/>
        </w:trPr>
        <w:tc>
          <w:tcPr>
            <w:tcW w:w="7735" w:type="dxa"/>
          </w:tcPr>
          <w:p w14:paraId="031B84A9" w14:textId="77777777" w:rsidR="008910AA" w:rsidRPr="00744CB8" w:rsidRDefault="005224BA" w:rsidP="00A12FDF">
            <w:pPr>
              <w:pStyle w:val="Header"/>
              <w:tabs>
                <w:tab w:val="clear" w:pos="4320"/>
                <w:tab w:val="clear" w:pos="8640"/>
              </w:tabs>
              <w:spacing w:before="120"/>
            </w:pPr>
            <w:r w:rsidRPr="00744CB8">
              <w:t xml:space="preserve">7) </w:t>
            </w:r>
            <w:r w:rsidR="008910AA" w:rsidRPr="00744CB8">
              <w:t xml:space="preserve">Are </w:t>
            </w:r>
            <w:hyperlink w:anchor="Endnote26" w:history="1">
              <w:r w:rsidR="003D2251" w:rsidRPr="000F510F">
                <w:rPr>
                  <w:rStyle w:val="Hyperlink"/>
                </w:rPr>
                <w:t>all patients</w:t>
              </w:r>
            </w:hyperlink>
            <w:r w:rsidR="003D2251" w:rsidRPr="00744CB8">
              <w:rPr>
                <w:vertAlign w:val="superscript"/>
              </w:rPr>
              <w:t>2</w:t>
            </w:r>
            <w:r w:rsidR="003D2251">
              <w:rPr>
                <w:vertAlign w:val="superscript"/>
              </w:rPr>
              <w:t>6</w:t>
            </w:r>
            <w:r w:rsidR="003D2251" w:rsidRPr="00744CB8">
              <w:t xml:space="preserve"> </w:t>
            </w:r>
            <w:r w:rsidR="008910AA" w:rsidRPr="00744CB8">
              <w:t xml:space="preserve">in these ICUs </w:t>
            </w:r>
            <w:hyperlink w:anchor="Endnote28" w:history="1">
              <w:r w:rsidR="008910AA" w:rsidRPr="000F510F">
                <w:rPr>
                  <w:rStyle w:val="Hyperlink"/>
                </w:rPr>
                <w:t>managed or co-managed</w:t>
              </w:r>
            </w:hyperlink>
            <w:r w:rsidR="00E82C51" w:rsidRPr="00744CB8">
              <w:rPr>
                <w:vertAlign w:val="superscript"/>
              </w:rPr>
              <w:t>2</w:t>
            </w:r>
            <w:r w:rsidR="000F510F">
              <w:rPr>
                <w:vertAlign w:val="superscript"/>
              </w:rPr>
              <w:t>8</w:t>
            </w:r>
            <w:r w:rsidR="008910AA" w:rsidRPr="00744CB8">
              <w:t xml:space="preserve"> by one or more physicians </w:t>
            </w:r>
            <w:hyperlink w:anchor="Endnote29" w:history="1">
              <w:r w:rsidR="003D2251" w:rsidRPr="000F510F">
                <w:rPr>
                  <w:rStyle w:val="Hyperlink"/>
                </w:rPr>
                <w:t>certified in critical care medicine</w:t>
              </w:r>
            </w:hyperlink>
            <w:r w:rsidR="003D2251">
              <w:rPr>
                <w:vertAlign w:val="superscript"/>
              </w:rPr>
              <w:t>29</w:t>
            </w:r>
            <w:r w:rsidR="003D2251" w:rsidRPr="00744CB8">
              <w:t xml:space="preserve"> </w:t>
            </w:r>
            <w:r w:rsidR="008910AA" w:rsidRPr="00744CB8">
              <w:t xml:space="preserve">who </w:t>
            </w:r>
            <w:r w:rsidR="006161E4" w:rsidRPr="00744CB8">
              <w:t xml:space="preserve">meet </w:t>
            </w:r>
            <w:r w:rsidR="006161E4" w:rsidRPr="00744CB8">
              <w:rPr>
                <w:b/>
              </w:rPr>
              <w:t>all</w:t>
            </w:r>
            <w:r w:rsidR="006161E4" w:rsidRPr="00744CB8">
              <w:t xml:space="preserve"> of the following criteria</w:t>
            </w:r>
            <w:r w:rsidR="008910AA" w:rsidRPr="00744CB8">
              <w:t>:</w:t>
            </w:r>
          </w:p>
          <w:p w14:paraId="51BCF27A" w14:textId="77777777" w:rsidR="008910AA" w:rsidRPr="00744CB8" w:rsidRDefault="00E9134C" w:rsidP="00ED58C1">
            <w:pPr>
              <w:pStyle w:val="Header"/>
              <w:numPr>
                <w:ilvl w:val="0"/>
                <w:numId w:val="11"/>
              </w:numPr>
              <w:tabs>
                <w:tab w:val="clear" w:pos="4320"/>
                <w:tab w:val="clear" w:pos="8640"/>
              </w:tabs>
            </w:pPr>
            <w:hyperlink w:anchor="Endnote30" w:history="1">
              <w:r w:rsidR="003D2251" w:rsidRPr="000F510F">
                <w:rPr>
                  <w:rStyle w:val="Hyperlink"/>
                </w:rPr>
                <w:t>ordinarily present</w:t>
              </w:r>
            </w:hyperlink>
            <w:r w:rsidR="003D2251" w:rsidRPr="00744CB8">
              <w:rPr>
                <w:vertAlign w:val="superscript"/>
              </w:rPr>
              <w:t>3</w:t>
            </w:r>
            <w:r w:rsidR="003D2251">
              <w:rPr>
                <w:vertAlign w:val="superscript"/>
              </w:rPr>
              <w:t>0</w:t>
            </w:r>
            <w:r w:rsidR="003D2251" w:rsidRPr="00744CB8">
              <w:t xml:space="preserve"> </w:t>
            </w:r>
            <w:r w:rsidR="008910AA" w:rsidRPr="00744CB8">
              <w:t>on-site in these units;</w:t>
            </w:r>
          </w:p>
          <w:p w14:paraId="58AF1D2B" w14:textId="77777777" w:rsidR="008910AA" w:rsidRPr="00744CB8" w:rsidRDefault="008910AA" w:rsidP="00ED58C1">
            <w:pPr>
              <w:pStyle w:val="Header"/>
              <w:numPr>
                <w:ilvl w:val="0"/>
                <w:numId w:val="11"/>
              </w:numPr>
              <w:tabs>
                <w:tab w:val="clear" w:pos="4320"/>
                <w:tab w:val="clear" w:pos="8640"/>
              </w:tabs>
              <w:rPr>
                <w:b/>
                <w:u w:val="single"/>
              </w:rPr>
            </w:pPr>
            <w:r w:rsidRPr="00744CB8">
              <w:t xml:space="preserve">for at least </w:t>
            </w:r>
            <w:r w:rsidRPr="00744CB8">
              <w:rPr>
                <w:b/>
              </w:rPr>
              <w:t>8 hours per day, 4 days per week</w:t>
            </w:r>
            <w:r w:rsidR="006613AC" w:rsidRPr="00744CB8">
              <w:rPr>
                <w:b/>
              </w:rPr>
              <w:t xml:space="preserve"> or 4 hour</w:t>
            </w:r>
            <w:r w:rsidR="00B23683" w:rsidRPr="00744CB8">
              <w:rPr>
                <w:b/>
              </w:rPr>
              <w:t>s</w:t>
            </w:r>
            <w:r w:rsidR="006613AC" w:rsidRPr="00744CB8">
              <w:rPr>
                <w:b/>
              </w:rPr>
              <w:t xml:space="preserve"> per day, 7 days per week</w:t>
            </w:r>
            <w:r w:rsidRPr="00744CB8">
              <w:t>, and</w:t>
            </w:r>
          </w:p>
          <w:p w14:paraId="50FEEC36" w14:textId="77777777" w:rsidR="008910AA" w:rsidRPr="00744CB8" w:rsidRDefault="008910AA" w:rsidP="003D2251">
            <w:pPr>
              <w:pStyle w:val="Header"/>
              <w:numPr>
                <w:ilvl w:val="0"/>
                <w:numId w:val="10"/>
              </w:numPr>
              <w:tabs>
                <w:tab w:val="clear" w:pos="4320"/>
                <w:tab w:val="clear" w:pos="8640"/>
              </w:tabs>
              <w:spacing w:after="120"/>
              <w:ind w:left="720"/>
            </w:pPr>
            <w:r w:rsidRPr="00744CB8">
              <w:t xml:space="preserve">providing clinical care </w:t>
            </w:r>
            <w:hyperlink w:anchor="Endnote30" w:history="1">
              <w:r w:rsidR="003D2251" w:rsidRPr="000F510F">
                <w:rPr>
                  <w:rStyle w:val="Hyperlink"/>
                </w:rPr>
                <w:t>exclusively</w:t>
              </w:r>
            </w:hyperlink>
            <w:r w:rsidR="003D2251" w:rsidRPr="00744CB8">
              <w:rPr>
                <w:vertAlign w:val="superscript"/>
              </w:rPr>
              <w:t>3</w:t>
            </w:r>
            <w:r w:rsidR="003D2251">
              <w:rPr>
                <w:vertAlign w:val="superscript"/>
              </w:rPr>
              <w:t>0</w:t>
            </w:r>
            <w:r w:rsidR="003D2251" w:rsidRPr="00744CB8">
              <w:t xml:space="preserve"> </w:t>
            </w:r>
            <w:r w:rsidRPr="00744CB8">
              <w:t>in one ICU during these hours?</w:t>
            </w:r>
          </w:p>
        </w:tc>
        <w:tc>
          <w:tcPr>
            <w:tcW w:w="2259" w:type="dxa"/>
            <w:vAlign w:val="center"/>
          </w:tcPr>
          <w:p w14:paraId="5EB8BB8B" w14:textId="77777777" w:rsidR="008910AA" w:rsidRDefault="008910AA" w:rsidP="005008BE">
            <w:pPr>
              <w:jc w:val="center"/>
              <w:rPr>
                <w:i/>
              </w:rPr>
            </w:pPr>
            <w:r>
              <w:rPr>
                <w:i/>
              </w:rPr>
              <w:t>Yes</w:t>
            </w:r>
          </w:p>
          <w:p w14:paraId="6FFF9ADC" w14:textId="77777777" w:rsidR="008910AA" w:rsidRDefault="008910AA" w:rsidP="005008BE">
            <w:pPr>
              <w:jc w:val="center"/>
              <w:rPr>
                <w:i/>
              </w:rPr>
            </w:pPr>
            <w:r>
              <w:rPr>
                <w:i/>
              </w:rPr>
              <w:t>No</w:t>
            </w:r>
          </w:p>
        </w:tc>
      </w:tr>
      <w:tr w:rsidR="008910AA" w14:paraId="3CFF64C5" w14:textId="77777777" w:rsidTr="00B77CDF">
        <w:trPr>
          <w:trHeight w:val="2330"/>
          <w:jc w:val="center"/>
        </w:trPr>
        <w:tc>
          <w:tcPr>
            <w:tcW w:w="7735" w:type="dxa"/>
            <w:vAlign w:val="center"/>
          </w:tcPr>
          <w:p w14:paraId="56C5ED14" w14:textId="77777777" w:rsidR="008910AA" w:rsidRPr="00744CB8" w:rsidRDefault="008910AA" w:rsidP="00FD3C45">
            <w:pPr>
              <w:numPr>
                <w:ilvl w:val="0"/>
                <w:numId w:val="4"/>
              </w:numPr>
            </w:pPr>
            <w:r w:rsidRPr="00744CB8">
              <w:t xml:space="preserve">Are all patients in these ICUs managed or co-managed by one or more physicians certified in critical care medicine who </w:t>
            </w:r>
            <w:r w:rsidR="006161E4" w:rsidRPr="00744CB8">
              <w:t xml:space="preserve">meet </w:t>
            </w:r>
            <w:r w:rsidR="006161E4" w:rsidRPr="00744CB8">
              <w:rPr>
                <w:b/>
              </w:rPr>
              <w:t xml:space="preserve">all </w:t>
            </w:r>
            <w:r w:rsidR="006161E4" w:rsidRPr="00744CB8">
              <w:t xml:space="preserve">three of the following </w:t>
            </w:r>
            <w:r w:rsidR="00B11D4D" w:rsidRPr="00744CB8">
              <w:t>criteria</w:t>
            </w:r>
            <w:r w:rsidRPr="00744CB8">
              <w:t>:</w:t>
            </w:r>
          </w:p>
          <w:p w14:paraId="02250777" w14:textId="77777777" w:rsidR="008910AA" w:rsidRPr="00744CB8" w:rsidRDefault="008910AA" w:rsidP="00ED58C1">
            <w:pPr>
              <w:pStyle w:val="Header"/>
              <w:numPr>
                <w:ilvl w:val="0"/>
                <w:numId w:val="11"/>
              </w:numPr>
              <w:tabs>
                <w:tab w:val="clear" w:pos="4320"/>
                <w:tab w:val="clear" w:pos="8640"/>
              </w:tabs>
            </w:pPr>
            <w:r w:rsidRPr="00744CB8">
              <w:t xml:space="preserve">present via telemedicine for </w:t>
            </w:r>
            <w:r w:rsidRPr="00744CB8">
              <w:rPr>
                <w:b/>
              </w:rPr>
              <w:t>24 hours per day, 7 days per week</w:t>
            </w:r>
            <w:r w:rsidRPr="00744CB8">
              <w:t xml:space="preserve"> </w:t>
            </w:r>
          </w:p>
          <w:p w14:paraId="619C029F" w14:textId="77777777" w:rsidR="008910AA" w:rsidRPr="00744CB8" w:rsidRDefault="008910AA" w:rsidP="00ED58C1">
            <w:pPr>
              <w:pStyle w:val="Header"/>
              <w:numPr>
                <w:ilvl w:val="0"/>
                <w:numId w:val="11"/>
              </w:numPr>
              <w:tabs>
                <w:tab w:val="clear" w:pos="4320"/>
                <w:tab w:val="clear" w:pos="8640"/>
              </w:tabs>
            </w:pPr>
            <w:r w:rsidRPr="00744CB8">
              <w:t>meet modified Leapfrog ICU requirements for intensivist presence in the ICU via telemedicine (</w:t>
            </w:r>
            <w:hyperlink w:anchor="Endnote34" w:history="1">
              <w:r w:rsidRPr="000F510F">
                <w:rPr>
                  <w:rStyle w:val="Hyperlink"/>
                  <w:snapToGrid w:val="0"/>
                </w:rPr>
                <w:t>More Information</w:t>
              </w:r>
            </w:hyperlink>
            <w:r w:rsidRPr="00744CB8">
              <w:rPr>
                <w:rStyle w:val="EndnoteReference"/>
                <w:snapToGrid w:val="0"/>
                <w:color w:val="000000"/>
              </w:rPr>
              <w:endnoteReference w:id="35"/>
            </w:r>
            <w:r w:rsidRPr="00744CB8">
              <w:t>)</w:t>
            </w:r>
          </w:p>
          <w:p w14:paraId="391D75EA" w14:textId="77777777" w:rsidR="00C43880" w:rsidRPr="00744CB8" w:rsidRDefault="008910AA" w:rsidP="00ED58C1">
            <w:pPr>
              <w:pStyle w:val="Header"/>
              <w:numPr>
                <w:ilvl w:val="0"/>
                <w:numId w:val="11"/>
              </w:numPr>
              <w:tabs>
                <w:tab w:val="clear" w:pos="4320"/>
                <w:tab w:val="clear" w:pos="8640"/>
              </w:tabs>
            </w:pPr>
            <w:r w:rsidRPr="00744CB8">
              <w:t>supported in the establishment and revision of daily care planning for each ICU patient by an on-site intensivist, hospitalist, anesthesiologist, or physician trained in emergency medicine</w:t>
            </w:r>
          </w:p>
        </w:tc>
        <w:tc>
          <w:tcPr>
            <w:tcW w:w="2259" w:type="dxa"/>
            <w:vAlign w:val="center"/>
          </w:tcPr>
          <w:p w14:paraId="3A416EEB" w14:textId="77777777" w:rsidR="008910AA" w:rsidRDefault="008910AA" w:rsidP="00484DA9">
            <w:pPr>
              <w:jc w:val="center"/>
              <w:rPr>
                <w:i/>
              </w:rPr>
            </w:pPr>
            <w:r>
              <w:rPr>
                <w:i/>
              </w:rPr>
              <w:t>Yes</w:t>
            </w:r>
          </w:p>
          <w:p w14:paraId="7B491033" w14:textId="77777777" w:rsidR="008910AA" w:rsidRDefault="008910AA" w:rsidP="00484DA9">
            <w:pPr>
              <w:jc w:val="center"/>
              <w:rPr>
                <w:i/>
              </w:rPr>
            </w:pPr>
            <w:r>
              <w:rPr>
                <w:i/>
              </w:rPr>
              <w:t>No</w:t>
            </w:r>
          </w:p>
        </w:tc>
      </w:tr>
      <w:tr w:rsidR="008910AA" w14:paraId="014D036D" w14:textId="77777777" w:rsidTr="00B77CDF">
        <w:trPr>
          <w:trHeight w:val="1592"/>
          <w:jc w:val="center"/>
        </w:trPr>
        <w:tc>
          <w:tcPr>
            <w:tcW w:w="7735" w:type="dxa"/>
            <w:vAlign w:val="center"/>
          </w:tcPr>
          <w:p w14:paraId="2CC9B74E" w14:textId="77777777" w:rsidR="008910AA" w:rsidRDefault="008910AA" w:rsidP="00FD3C45">
            <w:pPr>
              <w:numPr>
                <w:ilvl w:val="0"/>
                <w:numId w:val="4"/>
              </w:numPr>
            </w:pPr>
            <w:r>
              <w:t>Are all patients in these ICUs managed or co-managed by one or more physicians certified in critical care medicine who are:</w:t>
            </w:r>
          </w:p>
          <w:p w14:paraId="5189E7BA" w14:textId="77777777" w:rsidR="008910AA" w:rsidRDefault="00A03078" w:rsidP="00ED58C1">
            <w:pPr>
              <w:pStyle w:val="Header"/>
              <w:numPr>
                <w:ilvl w:val="0"/>
                <w:numId w:val="10"/>
              </w:numPr>
              <w:tabs>
                <w:tab w:val="clear" w:pos="4320"/>
                <w:tab w:val="clear" w:pos="8640"/>
              </w:tabs>
              <w:ind w:left="720"/>
            </w:pPr>
            <w:r>
              <w:t>on-</w:t>
            </w:r>
            <w:r w:rsidR="008910AA">
              <w:t xml:space="preserve">site at least </w:t>
            </w:r>
            <w:r w:rsidR="008910AA">
              <w:rPr>
                <w:b/>
              </w:rPr>
              <w:t>4 days per week</w:t>
            </w:r>
            <w:r w:rsidR="008910AA">
              <w:t xml:space="preserve"> to establish or revise daily care plans for each ICU patient?</w:t>
            </w:r>
            <w:r w:rsidR="008910AA">
              <w:br/>
            </w:r>
          </w:p>
          <w:p w14:paraId="328BB3D9" w14:textId="77777777" w:rsidR="008B5F08" w:rsidRPr="008B5F08" w:rsidRDefault="008B5F08" w:rsidP="00484DA9">
            <w:pPr>
              <w:ind w:left="360"/>
              <w:rPr>
                <w:i/>
              </w:rPr>
            </w:pPr>
            <w:r>
              <w:rPr>
                <w:i/>
              </w:rPr>
              <w:t xml:space="preserve">If yes, skip </w:t>
            </w:r>
            <w:r w:rsidRPr="00893071">
              <w:rPr>
                <w:i/>
              </w:rPr>
              <w:t>question</w:t>
            </w:r>
            <w:r w:rsidR="00940EA2">
              <w:rPr>
                <w:i/>
              </w:rPr>
              <w:t xml:space="preserve"> #10</w:t>
            </w:r>
            <w:r>
              <w:rPr>
                <w:i/>
              </w:rPr>
              <w:t>.</w:t>
            </w:r>
          </w:p>
        </w:tc>
        <w:tc>
          <w:tcPr>
            <w:tcW w:w="2259" w:type="dxa"/>
            <w:vAlign w:val="center"/>
          </w:tcPr>
          <w:p w14:paraId="347F472D" w14:textId="77777777" w:rsidR="008910AA" w:rsidRDefault="008910AA" w:rsidP="00484DA9">
            <w:pPr>
              <w:jc w:val="center"/>
              <w:rPr>
                <w:i/>
              </w:rPr>
            </w:pPr>
            <w:r>
              <w:rPr>
                <w:i/>
              </w:rPr>
              <w:t>Yes</w:t>
            </w:r>
          </w:p>
          <w:p w14:paraId="11DA5DCC" w14:textId="77777777" w:rsidR="008910AA" w:rsidRDefault="008910AA" w:rsidP="00484DA9">
            <w:pPr>
              <w:jc w:val="center"/>
              <w:rPr>
                <w:i/>
              </w:rPr>
            </w:pPr>
            <w:r>
              <w:rPr>
                <w:i/>
              </w:rPr>
              <w:t>No</w:t>
            </w:r>
          </w:p>
        </w:tc>
      </w:tr>
      <w:tr w:rsidR="008910AA" w14:paraId="04F75C5E" w14:textId="77777777" w:rsidTr="00B77CDF">
        <w:trPr>
          <w:trHeight w:val="890"/>
          <w:jc w:val="center"/>
        </w:trPr>
        <w:tc>
          <w:tcPr>
            <w:tcW w:w="7735" w:type="dxa"/>
            <w:vAlign w:val="center"/>
          </w:tcPr>
          <w:p w14:paraId="02891570" w14:textId="77777777" w:rsidR="008910AA" w:rsidRDefault="008910AA" w:rsidP="00FD3C45">
            <w:pPr>
              <w:numPr>
                <w:ilvl w:val="0"/>
                <w:numId w:val="4"/>
              </w:numPr>
            </w:pPr>
            <w:r>
              <w:t>If not all patients are managed or co-managed by physicians certified in critical care medicine</w:t>
            </w:r>
            <w:r w:rsidR="00A87A9D">
              <w:t>, either on-site or via telemedicine,</w:t>
            </w:r>
            <w:r w:rsidR="00484DA9">
              <w:t xml:space="preserve"> </w:t>
            </w:r>
            <w:r>
              <w:t>are some patients managed by these physicians?</w:t>
            </w:r>
          </w:p>
        </w:tc>
        <w:tc>
          <w:tcPr>
            <w:tcW w:w="2259" w:type="dxa"/>
            <w:vAlign w:val="center"/>
          </w:tcPr>
          <w:p w14:paraId="60081CF0" w14:textId="77777777" w:rsidR="008910AA" w:rsidRDefault="008910AA" w:rsidP="00484DA9">
            <w:pPr>
              <w:jc w:val="center"/>
              <w:rPr>
                <w:i/>
              </w:rPr>
            </w:pPr>
            <w:r>
              <w:rPr>
                <w:i/>
              </w:rPr>
              <w:t>Yes</w:t>
            </w:r>
          </w:p>
          <w:p w14:paraId="324B11D1" w14:textId="77777777" w:rsidR="008910AA" w:rsidRDefault="008910AA" w:rsidP="00484DA9">
            <w:pPr>
              <w:jc w:val="center"/>
            </w:pPr>
            <w:r>
              <w:rPr>
                <w:i/>
              </w:rPr>
              <w:t>No</w:t>
            </w:r>
          </w:p>
        </w:tc>
      </w:tr>
      <w:tr w:rsidR="002037CD" w14:paraId="4BA3046D" w14:textId="77777777" w:rsidTr="00B77CDF">
        <w:trPr>
          <w:trHeight w:val="890"/>
          <w:jc w:val="center"/>
        </w:trPr>
        <w:tc>
          <w:tcPr>
            <w:tcW w:w="7735" w:type="dxa"/>
            <w:vAlign w:val="center"/>
          </w:tcPr>
          <w:p w14:paraId="209F22AB" w14:textId="77777777" w:rsidR="002037CD" w:rsidRDefault="002037CD" w:rsidP="00FD3C45">
            <w:pPr>
              <w:pStyle w:val="Header"/>
              <w:numPr>
                <w:ilvl w:val="0"/>
                <w:numId w:val="4"/>
              </w:numPr>
              <w:tabs>
                <w:tab w:val="clear" w:pos="4320"/>
                <w:tab w:val="clear" w:pos="8640"/>
              </w:tabs>
            </w:pPr>
            <w:r>
              <w:t>Does your hospital have a board-approved budget that is adequate to fully meet Leapfrog’s ICU Physician Staffing standard?</w:t>
            </w:r>
          </w:p>
        </w:tc>
        <w:tc>
          <w:tcPr>
            <w:tcW w:w="2259" w:type="dxa"/>
            <w:vAlign w:val="center"/>
          </w:tcPr>
          <w:p w14:paraId="1401CD85" w14:textId="77777777" w:rsidR="002037CD" w:rsidRDefault="002037CD" w:rsidP="00ED3AFF">
            <w:pPr>
              <w:jc w:val="center"/>
              <w:rPr>
                <w:i/>
              </w:rPr>
            </w:pPr>
            <w:r>
              <w:rPr>
                <w:i/>
              </w:rPr>
              <w:t>Yes</w:t>
            </w:r>
          </w:p>
          <w:p w14:paraId="2436212A" w14:textId="77777777" w:rsidR="002037CD" w:rsidRDefault="002037CD" w:rsidP="00ED3AFF">
            <w:pPr>
              <w:jc w:val="center"/>
            </w:pPr>
            <w:r>
              <w:rPr>
                <w:i/>
              </w:rPr>
              <w:t>No</w:t>
            </w:r>
          </w:p>
        </w:tc>
      </w:tr>
      <w:tr w:rsidR="002037CD" w14:paraId="6A0E0DFC" w14:textId="77777777" w:rsidTr="00B77CDF">
        <w:trPr>
          <w:trHeight w:val="890"/>
          <w:jc w:val="center"/>
        </w:trPr>
        <w:tc>
          <w:tcPr>
            <w:tcW w:w="7735" w:type="dxa"/>
            <w:vAlign w:val="center"/>
          </w:tcPr>
          <w:p w14:paraId="47ED9DF7" w14:textId="77777777" w:rsidR="002037CD" w:rsidRDefault="002037CD" w:rsidP="00FD3C45">
            <w:pPr>
              <w:numPr>
                <w:ilvl w:val="0"/>
                <w:numId w:val="4"/>
              </w:numPr>
            </w:pPr>
            <w:r>
              <w:t xml:space="preserve">Does an on-site clinical pharmacist make daily rounds on patients in these ICUs 7 days per week? </w:t>
            </w:r>
          </w:p>
        </w:tc>
        <w:tc>
          <w:tcPr>
            <w:tcW w:w="2259" w:type="dxa"/>
            <w:vAlign w:val="center"/>
          </w:tcPr>
          <w:p w14:paraId="01D1FACE" w14:textId="77777777" w:rsidR="002037CD" w:rsidRDefault="002037CD" w:rsidP="00ED3AFF">
            <w:pPr>
              <w:jc w:val="center"/>
              <w:rPr>
                <w:i/>
              </w:rPr>
            </w:pPr>
            <w:r>
              <w:rPr>
                <w:i/>
              </w:rPr>
              <w:t>Yes</w:t>
            </w:r>
          </w:p>
          <w:p w14:paraId="6F8F5DCA" w14:textId="77777777" w:rsidR="002037CD" w:rsidRDefault="002037CD" w:rsidP="00ED3AFF">
            <w:pPr>
              <w:jc w:val="center"/>
              <w:rPr>
                <w:i/>
              </w:rPr>
            </w:pPr>
            <w:r>
              <w:rPr>
                <w:i/>
              </w:rPr>
              <w:t>No</w:t>
            </w:r>
          </w:p>
        </w:tc>
      </w:tr>
      <w:tr w:rsidR="002037CD" w14:paraId="4AEA0475" w14:textId="77777777" w:rsidTr="00B77CDF">
        <w:trPr>
          <w:trHeight w:val="890"/>
          <w:jc w:val="center"/>
        </w:trPr>
        <w:tc>
          <w:tcPr>
            <w:tcW w:w="7735" w:type="dxa"/>
            <w:vAlign w:val="center"/>
          </w:tcPr>
          <w:p w14:paraId="383B7A34" w14:textId="77777777" w:rsidR="002037CD" w:rsidRDefault="002037CD" w:rsidP="00FD3C45">
            <w:pPr>
              <w:numPr>
                <w:ilvl w:val="0"/>
                <w:numId w:val="4"/>
              </w:numPr>
            </w:pPr>
            <w:r>
              <w:t xml:space="preserve">Does a physician certified in critical care medicine lead daily multi-disciplinary rounds </w:t>
            </w:r>
            <w:r w:rsidRPr="002442B8">
              <w:t>on</w:t>
            </w:r>
            <w:r w:rsidR="005574F6" w:rsidRPr="002442B8">
              <w:t>-</w:t>
            </w:r>
            <w:r w:rsidRPr="002442B8">
              <w:t>site</w:t>
            </w:r>
            <w:r>
              <w:t xml:space="preserve"> on all patients in these ICUs 7 days per week?</w:t>
            </w:r>
          </w:p>
        </w:tc>
        <w:tc>
          <w:tcPr>
            <w:tcW w:w="2259" w:type="dxa"/>
            <w:vAlign w:val="center"/>
          </w:tcPr>
          <w:p w14:paraId="5CCBE7D1" w14:textId="77777777" w:rsidR="002037CD" w:rsidRDefault="002037CD" w:rsidP="00ED3AFF">
            <w:pPr>
              <w:jc w:val="center"/>
              <w:rPr>
                <w:i/>
              </w:rPr>
            </w:pPr>
            <w:r>
              <w:rPr>
                <w:i/>
              </w:rPr>
              <w:t>Yes</w:t>
            </w:r>
          </w:p>
          <w:p w14:paraId="15892F58" w14:textId="77777777" w:rsidR="002037CD" w:rsidRDefault="002037CD" w:rsidP="00ED3AFF">
            <w:pPr>
              <w:jc w:val="center"/>
              <w:rPr>
                <w:i/>
              </w:rPr>
            </w:pPr>
            <w:r>
              <w:rPr>
                <w:i/>
              </w:rPr>
              <w:t>No</w:t>
            </w:r>
          </w:p>
        </w:tc>
      </w:tr>
      <w:tr w:rsidR="002037CD" w14:paraId="7A3BB1C4" w14:textId="77777777" w:rsidTr="00B77CDF">
        <w:trPr>
          <w:trHeight w:val="890"/>
          <w:jc w:val="center"/>
        </w:trPr>
        <w:tc>
          <w:tcPr>
            <w:tcW w:w="7735" w:type="dxa"/>
            <w:vAlign w:val="center"/>
          </w:tcPr>
          <w:p w14:paraId="0EB9CCE8" w14:textId="77777777" w:rsidR="002037CD" w:rsidRDefault="002037CD" w:rsidP="00FD3C45">
            <w:pPr>
              <w:numPr>
                <w:ilvl w:val="0"/>
                <w:numId w:val="4"/>
              </w:numPr>
            </w:pPr>
            <w:r>
              <w:t>When certified physicians are on-site in these ICUs, do they have responsibility for all ICU admission and discharge decisions?</w:t>
            </w:r>
          </w:p>
        </w:tc>
        <w:tc>
          <w:tcPr>
            <w:tcW w:w="2259" w:type="dxa"/>
            <w:vAlign w:val="center"/>
          </w:tcPr>
          <w:p w14:paraId="08F68FF0" w14:textId="77777777" w:rsidR="002037CD" w:rsidRDefault="002037CD" w:rsidP="00ED3AFF">
            <w:pPr>
              <w:jc w:val="center"/>
              <w:rPr>
                <w:i/>
              </w:rPr>
            </w:pPr>
            <w:r>
              <w:rPr>
                <w:i/>
              </w:rPr>
              <w:t>Yes</w:t>
            </w:r>
          </w:p>
          <w:p w14:paraId="75FCB1BE" w14:textId="77777777" w:rsidR="002037CD" w:rsidRDefault="002037CD" w:rsidP="00555CF0">
            <w:pPr>
              <w:jc w:val="center"/>
              <w:rPr>
                <w:i/>
              </w:rPr>
            </w:pPr>
            <w:r>
              <w:rPr>
                <w:i/>
              </w:rPr>
              <w:t>No</w:t>
            </w:r>
          </w:p>
        </w:tc>
      </w:tr>
    </w:tbl>
    <w:p w14:paraId="5F1FB432" w14:textId="77777777" w:rsidR="003E5C29" w:rsidRDefault="003E5C29">
      <w:pPr>
        <w:rPr>
          <w:b/>
          <w:snapToGrid w:val="0"/>
          <w:color w:val="000000"/>
        </w:rPr>
      </w:pPr>
      <w:r>
        <w:rPr>
          <w:b/>
          <w:snapToGrid w:val="0"/>
          <w:color w:val="000000"/>
        </w:rPr>
        <w:br w:type="page"/>
      </w:r>
    </w:p>
    <w:p w14:paraId="5E50D614" w14:textId="77777777" w:rsidR="008910AA" w:rsidRDefault="008910AA">
      <w:pPr>
        <w:rPr>
          <w:b/>
          <w:snapToGrid w:val="0"/>
          <w:color w:val="000000"/>
        </w:rPr>
      </w:pPr>
      <w:r>
        <w:rPr>
          <w:b/>
          <w:snapToGrid w:val="0"/>
          <w:color w:val="000000"/>
        </w:rPr>
        <w:lastRenderedPageBreak/>
        <w:t>Affirmation of Accuracy:</w:t>
      </w:r>
    </w:p>
    <w:p w14:paraId="5E319707" w14:textId="77777777" w:rsidR="008910AA" w:rsidRDefault="008910AA">
      <w:pPr>
        <w:rPr>
          <w:snapToGrid w:val="0"/>
          <w:color w:val="000000"/>
        </w:rPr>
      </w:pPr>
    </w:p>
    <w:p w14:paraId="2F7BD89C" w14:textId="77777777" w:rsidR="001871E9" w:rsidRPr="00362B11" w:rsidRDefault="001871E9" w:rsidP="001871E9">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ICU Physician Staffing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D31B62F" w14:textId="77777777" w:rsidR="001871E9" w:rsidRPr="00362B11" w:rsidRDefault="001871E9" w:rsidP="001871E9">
      <w:pPr>
        <w:rPr>
          <w:rFonts w:cs="Arial"/>
          <w:color w:val="000000"/>
        </w:rPr>
      </w:pPr>
    </w:p>
    <w:p w14:paraId="3726F6ED" w14:textId="77777777" w:rsidR="001871E9" w:rsidRDefault="001871E9" w:rsidP="001871E9">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6CDBB15F" w14:textId="77777777" w:rsidR="008910AA" w:rsidRDefault="008910AA">
      <w:pPr>
        <w:rPr>
          <w:snapToGrid w:val="0"/>
          <w:color w:val="000000"/>
        </w:rPr>
      </w:pPr>
    </w:p>
    <w:p w14:paraId="43306A18" w14:textId="77777777" w:rsidR="008910AA" w:rsidRDefault="008910AA">
      <w:pPr>
        <w:rPr>
          <w:snapToGrid w:val="0"/>
          <w:color w:val="000000"/>
        </w:rPr>
      </w:pPr>
    </w:p>
    <w:p w14:paraId="3362F9CE" w14:textId="77777777" w:rsidR="008910AA" w:rsidRDefault="008910AA">
      <w:pPr>
        <w:rPr>
          <w:snapToGrid w:val="0"/>
          <w:color w:val="000000"/>
        </w:rPr>
      </w:pPr>
      <w:r>
        <w:rPr>
          <w:snapToGrid w:val="0"/>
          <w:color w:val="000000"/>
        </w:rPr>
        <w:t>Affirmed by _____________________, the hospital’s ___________________________,</w:t>
      </w:r>
    </w:p>
    <w:p w14:paraId="77161A91" w14:textId="77777777" w:rsidR="008910AA" w:rsidRDefault="008910AA">
      <w:pPr>
        <w:pStyle w:val="BodyText2"/>
      </w:pPr>
      <w:r>
        <w:tab/>
      </w:r>
      <w:r>
        <w:tab/>
        <w:t xml:space="preserve">   (name)</w:t>
      </w:r>
      <w:r>
        <w:tab/>
      </w:r>
      <w:r>
        <w:tab/>
      </w:r>
      <w:r>
        <w:tab/>
      </w:r>
      <w:r>
        <w:tab/>
      </w:r>
      <w:r>
        <w:tab/>
      </w:r>
      <w:r>
        <w:tab/>
        <w:t>(title)</w:t>
      </w:r>
    </w:p>
    <w:p w14:paraId="26061880" w14:textId="77777777" w:rsidR="008910AA" w:rsidRDefault="008910AA">
      <w:pPr>
        <w:rPr>
          <w:snapToGrid w:val="0"/>
          <w:color w:val="000000"/>
        </w:rPr>
      </w:pPr>
      <w:r>
        <w:rPr>
          <w:snapToGrid w:val="0"/>
          <w:color w:val="000000"/>
        </w:rPr>
        <w:t>on _______________________.</w:t>
      </w:r>
    </w:p>
    <w:p w14:paraId="52E6A8A9" w14:textId="77777777" w:rsidR="008910AA" w:rsidRDefault="008910AA">
      <w:pPr>
        <w:pStyle w:val="BodyText2"/>
      </w:pPr>
      <w:r>
        <w:t xml:space="preserve">                    (date)</w:t>
      </w:r>
    </w:p>
    <w:p w14:paraId="75E14424" w14:textId="77777777" w:rsidR="0003003B" w:rsidRDefault="0003003B">
      <w:pPr>
        <w:pStyle w:val="BodyText2"/>
      </w:pPr>
    </w:p>
    <w:p w14:paraId="5E0016BB" w14:textId="77777777" w:rsidR="008910AA" w:rsidRDefault="00453994">
      <w:r>
        <w:br w:type="page"/>
      </w:r>
    </w:p>
    <w:p w14:paraId="4474F54D" w14:textId="77777777" w:rsidR="0003003B" w:rsidRPr="00BC2D78" w:rsidRDefault="0003003B" w:rsidP="002C3E94">
      <w:pPr>
        <w:pStyle w:val="Title"/>
        <w:rPr>
          <w:lang w:eastAsia="ja-JP"/>
        </w:rPr>
      </w:pPr>
      <w:bookmarkStart w:id="228" w:name="_Toc383775054"/>
      <w:bookmarkStart w:id="229" w:name="_Toc447195037"/>
      <w:r w:rsidRPr="00BC2D78">
        <w:lastRenderedPageBreak/>
        <w:t xml:space="preserve">Section 5:  </w:t>
      </w:r>
      <w:r w:rsidR="004F68CC">
        <w:t>2016</w:t>
      </w:r>
      <w:r w:rsidRPr="00BC2D78">
        <w:t xml:space="preserve"> ICU Physician Staffing (IPS)</w:t>
      </w:r>
      <w:bookmarkEnd w:id="228"/>
      <w:r>
        <w:t xml:space="preserve"> Reference Information</w:t>
      </w:r>
      <w:bookmarkEnd w:id="229"/>
    </w:p>
    <w:p w14:paraId="55F35DFE" w14:textId="77777777" w:rsidR="0003003B" w:rsidRPr="00FE54C0" w:rsidRDefault="0003003B" w:rsidP="0003003B">
      <w:pPr>
        <w:rPr>
          <w:bCs/>
          <w:lang w:eastAsia="ja-JP"/>
        </w:rPr>
      </w:pPr>
    </w:p>
    <w:p w14:paraId="7469BD00" w14:textId="77777777" w:rsidR="0003003B" w:rsidRDefault="0003003B" w:rsidP="007A44CB">
      <w:pPr>
        <w:pStyle w:val="Heading3"/>
      </w:pPr>
      <w:bookmarkStart w:id="230" w:name="_Toc236212808"/>
      <w:bookmarkStart w:id="231" w:name="_Toc383775055"/>
      <w:bookmarkStart w:id="232" w:name="_Toc447195038"/>
      <w:r w:rsidRPr="00BC2D78">
        <w:rPr>
          <w:rFonts w:hint="eastAsia"/>
        </w:rPr>
        <w:t>What</w:t>
      </w:r>
      <w:r w:rsidRPr="00BC2D78">
        <w:t>’</w:t>
      </w:r>
      <w:r w:rsidRPr="00BC2D78">
        <w:rPr>
          <w:rFonts w:hint="eastAsia"/>
        </w:rPr>
        <w:t xml:space="preserve">s New </w:t>
      </w:r>
      <w:bookmarkEnd w:id="230"/>
      <w:r w:rsidRPr="00BC2D78">
        <w:rPr>
          <w:rFonts w:hint="eastAsia"/>
        </w:rPr>
        <w:t xml:space="preserve">in the </w:t>
      </w:r>
      <w:bookmarkEnd w:id="231"/>
      <w:r w:rsidR="004F68CC">
        <w:t>2016 Survey</w:t>
      </w:r>
      <w:bookmarkEnd w:id="232"/>
    </w:p>
    <w:p w14:paraId="1784A024" w14:textId="77777777" w:rsidR="00025BD9" w:rsidRDefault="00025BD9" w:rsidP="00025BD9">
      <w:pPr>
        <w:rPr>
          <w:lang w:eastAsia="ja-JP"/>
        </w:rPr>
      </w:pPr>
    </w:p>
    <w:p w14:paraId="5600315C" w14:textId="77777777" w:rsidR="00025BD9" w:rsidRPr="00025BD9" w:rsidRDefault="0010355C" w:rsidP="00025BD9">
      <w:pPr>
        <w:rPr>
          <w:lang w:eastAsia="ja-JP"/>
        </w:rPr>
      </w:pPr>
      <w:r>
        <w:rPr>
          <w:rFonts w:cs="Arial"/>
        </w:rPr>
        <w:t xml:space="preserve">Leapfrog has added an </w:t>
      </w:r>
      <w:r w:rsidRPr="00EF0F80">
        <w:rPr>
          <w:rFonts w:cs="Arial"/>
        </w:rPr>
        <w:t>additional response type for question</w:t>
      </w:r>
      <w:r>
        <w:rPr>
          <w:rFonts w:cs="Arial"/>
        </w:rPr>
        <w:t>s</w:t>
      </w:r>
      <w:r w:rsidRPr="00EF0F80">
        <w:rPr>
          <w:rFonts w:cs="Arial"/>
        </w:rPr>
        <w:t xml:space="preserve"> #5 and #6</w:t>
      </w:r>
      <w:r>
        <w:rPr>
          <w:rFonts w:cs="Arial"/>
        </w:rPr>
        <w:t xml:space="preserve"> in Section 5: ICU Physician Staffing (IPS)</w:t>
      </w:r>
      <w:r w:rsidRPr="00EF0F80">
        <w:rPr>
          <w:rFonts w:cs="Arial"/>
        </w:rPr>
        <w:t>. The new response type will give hospitals the opportunity to report 24/7 intensivist c</w:t>
      </w:r>
      <w:r>
        <w:rPr>
          <w:rFonts w:cs="Arial"/>
        </w:rPr>
        <w:t>overage in an applicable ICU.</w:t>
      </w:r>
    </w:p>
    <w:p w14:paraId="60727DAC" w14:textId="77777777" w:rsidR="0003003B" w:rsidRDefault="0003003B" w:rsidP="0003003B">
      <w:pPr>
        <w:widowControl w:val="0"/>
        <w:autoSpaceDE w:val="0"/>
        <w:autoSpaceDN w:val="0"/>
        <w:adjustRightInd w:val="0"/>
        <w:rPr>
          <w:lang w:eastAsia="ja-JP"/>
        </w:rPr>
      </w:pPr>
    </w:p>
    <w:p w14:paraId="234C14DD" w14:textId="77777777" w:rsidR="00AF7112" w:rsidRPr="00AF7112" w:rsidRDefault="00AF7112" w:rsidP="00AF7112">
      <w:pPr>
        <w:rPr>
          <w:lang w:eastAsia="ja-JP"/>
        </w:rPr>
      </w:pPr>
      <w:bookmarkStart w:id="233" w:name="_Toc236212809"/>
    </w:p>
    <w:p w14:paraId="38C932E9" w14:textId="77777777" w:rsidR="0003003B" w:rsidRPr="00BC2D78" w:rsidRDefault="0003003B" w:rsidP="007A44CB">
      <w:pPr>
        <w:pStyle w:val="Heading3"/>
      </w:pPr>
      <w:bookmarkStart w:id="234" w:name="_Toc383775056"/>
      <w:bookmarkStart w:id="235" w:name="_Toc447195039"/>
      <w:r w:rsidRPr="00BC2D78">
        <w:rPr>
          <w:rFonts w:hint="eastAsia"/>
        </w:rPr>
        <w:t>Change Summary</w:t>
      </w:r>
      <w:bookmarkEnd w:id="233"/>
      <w:r w:rsidRPr="00BC2D78">
        <w:rPr>
          <w:rFonts w:hint="eastAsia"/>
        </w:rPr>
        <w:t xml:space="preserve"> since Release</w:t>
      </w:r>
      <w:bookmarkEnd w:id="234"/>
      <w:bookmarkEnd w:id="235"/>
    </w:p>
    <w:p w14:paraId="19B2D935" w14:textId="77777777" w:rsidR="0003003B" w:rsidRPr="00BC2D78" w:rsidRDefault="0003003B" w:rsidP="0003003B">
      <w:pPr>
        <w:rPr>
          <w:lang w:eastAsia="ja-JP"/>
        </w:rPr>
      </w:pPr>
    </w:p>
    <w:p w14:paraId="7D438172" w14:textId="77777777" w:rsidR="00A44B48" w:rsidRDefault="0003003B" w:rsidP="0003003B">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1C9DF49" w14:textId="77777777" w:rsidR="00AF7112" w:rsidRPr="005472D6" w:rsidRDefault="00A44B48" w:rsidP="005472D6">
      <w:pPr>
        <w:rPr>
          <w:color w:val="000000"/>
          <w:lang w:eastAsia="ja-JP"/>
        </w:rPr>
      </w:pPr>
      <w:r>
        <w:rPr>
          <w:lang w:eastAsia="ja-JP"/>
        </w:rPr>
        <w:br w:type="page"/>
      </w:r>
      <w:bookmarkStart w:id="236" w:name="_Toc236212810"/>
    </w:p>
    <w:p w14:paraId="5887CA83" w14:textId="77777777" w:rsidR="0003003B" w:rsidRDefault="0003003B" w:rsidP="00954B73">
      <w:pPr>
        <w:pStyle w:val="Heading2"/>
      </w:pPr>
      <w:bookmarkStart w:id="237" w:name="_Toc383775057"/>
      <w:bookmarkStart w:id="238" w:name="_Toc447195040"/>
      <w:r w:rsidRPr="00B1335E">
        <w:rPr>
          <w:rFonts w:hint="eastAsia"/>
        </w:rPr>
        <w:lastRenderedPageBreak/>
        <w:t xml:space="preserve">IPS </w:t>
      </w:r>
      <w:bookmarkEnd w:id="236"/>
      <w:r w:rsidRPr="00B1335E">
        <w:rPr>
          <w:rFonts w:hint="eastAsia"/>
        </w:rPr>
        <w:t>Frequently Asked Questions (FAQs</w:t>
      </w:r>
      <w:r w:rsidRPr="00BC2D78">
        <w:rPr>
          <w:rFonts w:hint="eastAsia"/>
        </w:rPr>
        <w:t>)</w:t>
      </w:r>
      <w:bookmarkEnd w:id="237"/>
      <w:bookmarkEnd w:id="238"/>
    </w:p>
    <w:p w14:paraId="6C70D901" w14:textId="77777777" w:rsidR="00B125A3" w:rsidRDefault="00B125A3" w:rsidP="00B125A3">
      <w:pPr>
        <w:rPr>
          <w:lang w:eastAsia="ja-JP"/>
        </w:rPr>
      </w:pPr>
    </w:p>
    <w:p w14:paraId="4041FE43" w14:textId="77777777" w:rsidR="00B125A3" w:rsidRPr="00B125A3" w:rsidRDefault="00B125A3" w:rsidP="007A44CB">
      <w:pPr>
        <w:pStyle w:val="Heading3"/>
      </w:pPr>
      <w:bookmarkStart w:id="239" w:name="_Toc447195041"/>
      <w:r>
        <w:t>General Questions</w:t>
      </w:r>
      <w:bookmarkEnd w:id="239"/>
    </w:p>
    <w:p w14:paraId="3EC436C4" w14:textId="77777777" w:rsidR="0003003B" w:rsidRPr="00BC2D78" w:rsidRDefault="0003003B" w:rsidP="00954B73">
      <w:pPr>
        <w:pStyle w:val="Heading2"/>
      </w:pPr>
    </w:p>
    <w:p w14:paraId="0875E2A9" w14:textId="77777777" w:rsidR="00E4689D" w:rsidRDefault="00E4689D" w:rsidP="00ED58C1">
      <w:pPr>
        <w:numPr>
          <w:ilvl w:val="0"/>
          <w:numId w:val="42"/>
        </w:numPr>
        <w:rPr>
          <w:b/>
        </w:rPr>
      </w:pPr>
      <w:r>
        <w:rPr>
          <w:b/>
        </w:rPr>
        <w:t>What is the reporting period for this measure?</w:t>
      </w:r>
    </w:p>
    <w:p w14:paraId="2D851EA0" w14:textId="77777777" w:rsidR="00E4689D" w:rsidRDefault="00E4689D" w:rsidP="00E4689D">
      <w:pPr>
        <w:ind w:left="720"/>
      </w:pPr>
      <w:r>
        <w:t xml:space="preserve">Hospitals should report on Section 5 based on their staffing structure </w:t>
      </w:r>
      <w:r>
        <w:rPr>
          <w:u w:val="single"/>
        </w:rPr>
        <w:t>at the time they submit the survey</w:t>
      </w:r>
      <w:r>
        <w:t>. The staffing structure should have been in place for at least the past 3 months and should reflect the ordinary staffing structure for the ICU.</w:t>
      </w:r>
    </w:p>
    <w:p w14:paraId="66F4A090" w14:textId="77777777" w:rsidR="00E4689D" w:rsidRPr="004A4015" w:rsidRDefault="00E4689D" w:rsidP="00E4689D">
      <w:pPr>
        <w:ind w:left="720"/>
      </w:pPr>
    </w:p>
    <w:p w14:paraId="51C0963E" w14:textId="77777777" w:rsidR="00E4689D" w:rsidRDefault="00E4689D" w:rsidP="00ED58C1">
      <w:pPr>
        <w:numPr>
          <w:ilvl w:val="0"/>
          <w:numId w:val="42"/>
        </w:numPr>
        <w:rPr>
          <w:b/>
        </w:rPr>
      </w:pPr>
      <w:r>
        <w:rPr>
          <w:b/>
        </w:rPr>
        <w:t>How should hospitals report if they have more than one type of qualifying ICU?</w:t>
      </w:r>
    </w:p>
    <w:p w14:paraId="6450B1DF" w14:textId="77777777" w:rsidR="00E4689D" w:rsidRDefault="00E4689D" w:rsidP="000F510F">
      <w:pPr>
        <w:ind w:left="720"/>
      </w:pPr>
      <w:r w:rsidRPr="008538F0">
        <w:t xml:space="preserve">Hospitals with more than one ICU type are instructed to report on questions in </w:t>
      </w:r>
      <w:r>
        <w:t>S</w:t>
      </w:r>
      <w:r w:rsidRPr="008538F0">
        <w:t>ection 5 based on the minimum staffing levels, not the maximum staffing levels.</w:t>
      </w:r>
    </w:p>
    <w:p w14:paraId="06C4A0B1" w14:textId="77777777" w:rsidR="00770A88" w:rsidRDefault="00770A88" w:rsidP="000F510F">
      <w:pPr>
        <w:ind w:left="720"/>
      </w:pPr>
    </w:p>
    <w:p w14:paraId="40555043" w14:textId="77777777" w:rsidR="00E4689D" w:rsidRPr="00143C75" w:rsidRDefault="00770A88" w:rsidP="000F510F">
      <w:pPr>
        <w:pStyle w:val="ListParagraph"/>
        <w:numPr>
          <w:ilvl w:val="0"/>
          <w:numId w:val="42"/>
        </w:numPr>
        <w:spacing w:after="200"/>
        <w:rPr>
          <w:b/>
        </w:rPr>
      </w:pPr>
      <w:r w:rsidRPr="00B641AF">
        <w:rPr>
          <w:b/>
        </w:rPr>
        <w:t>Does Leapfrog’s IPS standard apply to mixed acuity units? A multi-organizational service unit (MOSU) unit?</w:t>
      </w:r>
      <w:r>
        <w:rPr>
          <w:b/>
        </w:rPr>
        <w:br/>
      </w:r>
      <w:r>
        <w:t>Coverage is dictated by the patient’s status, not the physical bed. The s</w:t>
      </w:r>
      <w:r w:rsidRPr="004B3341">
        <w:t xml:space="preserve">tandard applies to </w:t>
      </w:r>
      <w:r>
        <w:t xml:space="preserve">those </w:t>
      </w:r>
      <w:r w:rsidRPr="004B3341">
        <w:t>patients consider</w:t>
      </w:r>
      <w:r>
        <w:t>ed</w:t>
      </w:r>
      <w:r w:rsidRPr="004B3341">
        <w:t xml:space="preserve"> </w:t>
      </w:r>
      <w:r>
        <w:t xml:space="preserve">to be </w:t>
      </w:r>
      <w:r w:rsidRPr="004B3341">
        <w:t>ICU</w:t>
      </w:r>
      <w:r>
        <w:t xml:space="preserve"> patients</w:t>
      </w:r>
      <w:r w:rsidRPr="004B3341">
        <w:t>.</w:t>
      </w:r>
    </w:p>
    <w:p w14:paraId="23F4E964" w14:textId="77777777" w:rsidR="00BC63DE" w:rsidRPr="00143C75" w:rsidRDefault="00BC63DE" w:rsidP="000F510F">
      <w:pPr>
        <w:pStyle w:val="ListParagraph"/>
        <w:spacing w:after="200"/>
        <w:rPr>
          <w:b/>
        </w:rPr>
      </w:pPr>
    </w:p>
    <w:p w14:paraId="05AA6D02" w14:textId="77777777" w:rsidR="00BC63DE" w:rsidRPr="00143C75" w:rsidRDefault="00BC63DE" w:rsidP="000F510F">
      <w:pPr>
        <w:pStyle w:val="ListParagraph"/>
        <w:numPr>
          <w:ilvl w:val="0"/>
          <w:numId w:val="42"/>
        </w:numPr>
        <w:spacing w:after="200"/>
        <w:rPr>
          <w:b/>
        </w:rPr>
      </w:pPr>
      <w:r>
        <w:rPr>
          <w:b/>
        </w:rPr>
        <w:t>Our ICU contains beds for general medical-surgical patients and beds for cardiac care patients. The cardiac care patients are cared for by a cardiologist. Do the cardiac care patients also need to be managed or co-managed by an intensivist?</w:t>
      </w:r>
      <w:r>
        <w:rPr>
          <w:b/>
        </w:rPr>
        <w:br/>
      </w:r>
      <w:r w:rsidRPr="00143C75">
        <w:t>Leapfrog’s</w:t>
      </w:r>
      <w:r>
        <w:t xml:space="preserve"> standard of intensivist staffing applies to all general medical-surgical ICU patients and neuro ICU patients in the ICU. Patients that are being cared for a single organ system (e.g., cardiac) are not included in the standard. If a general medical-surgical ICU or neuro ICU patient occupies a cardiac care bed, then the patient does need to be managed or co-managed by an intensivist. The focus of Leapfrog’s standard is on the type of patient, not the type of bed they occup</w:t>
      </w:r>
      <w:r w:rsidRPr="00BC63DE">
        <w:t>y.</w:t>
      </w:r>
    </w:p>
    <w:p w14:paraId="7624AABC" w14:textId="77777777" w:rsidR="00E4689D" w:rsidRPr="00BC2D78" w:rsidRDefault="00E4689D" w:rsidP="00ED58C1">
      <w:pPr>
        <w:numPr>
          <w:ilvl w:val="0"/>
          <w:numId w:val="42"/>
        </w:numPr>
        <w:rPr>
          <w:b/>
        </w:rPr>
      </w:pPr>
      <w:r w:rsidRPr="00BC2D78">
        <w:rPr>
          <w:b/>
        </w:rPr>
        <w:t>Are the standards applicable only to tertiary-care hospitals?</w:t>
      </w:r>
    </w:p>
    <w:p w14:paraId="77B6D34C" w14:textId="77777777" w:rsidR="00E4689D" w:rsidRPr="00BC2D78" w:rsidRDefault="00E4689D" w:rsidP="00E4689D">
      <w:pPr>
        <w:ind w:left="720"/>
        <w:rPr>
          <w:b/>
        </w:rPr>
      </w:pPr>
      <w:r w:rsidRPr="00BC2D78">
        <w:t>No. The stan</w:t>
      </w:r>
      <w:r>
        <w:t xml:space="preserve">dards apply to all </w:t>
      </w:r>
      <w:r w:rsidRPr="00BC2D78">
        <w:t>hospitals operating adult or pediatric general medical and/or surgical ICUs and neuro ICUs.</w:t>
      </w:r>
    </w:p>
    <w:p w14:paraId="3BD5051E" w14:textId="77777777" w:rsidR="00E4689D" w:rsidRDefault="00E4689D" w:rsidP="00E4689D">
      <w:pPr>
        <w:ind w:left="720"/>
        <w:rPr>
          <w:b/>
        </w:rPr>
      </w:pPr>
    </w:p>
    <w:p w14:paraId="76322923" w14:textId="77777777" w:rsidR="00770A88" w:rsidRDefault="00770A88" w:rsidP="00ED58C1">
      <w:pPr>
        <w:numPr>
          <w:ilvl w:val="0"/>
          <w:numId w:val="42"/>
        </w:numPr>
        <w:rPr>
          <w:b/>
        </w:rPr>
      </w:pPr>
      <w:r>
        <w:rPr>
          <w:b/>
        </w:rPr>
        <w:t>For questions #7-9, do all bullets need to be met in order to select “yes”?</w:t>
      </w:r>
    </w:p>
    <w:p w14:paraId="7D610A5D" w14:textId="77777777" w:rsidR="00770A88" w:rsidRDefault="00770A88" w:rsidP="00770A88">
      <w:pPr>
        <w:ind w:left="720"/>
      </w:pPr>
      <w:r>
        <w:t xml:space="preserve">Yes, all bulleted criteria must be met within each question in Section 5 in order to be eligible to select </w:t>
      </w:r>
      <w:r w:rsidR="00B125A3">
        <w:t>“yes” for a particular question.</w:t>
      </w:r>
    </w:p>
    <w:p w14:paraId="0ED78C4C" w14:textId="77777777" w:rsidR="00B125A3" w:rsidRDefault="00B125A3" w:rsidP="00770A88">
      <w:pPr>
        <w:ind w:left="720"/>
      </w:pPr>
    </w:p>
    <w:p w14:paraId="7E2DF27B" w14:textId="77777777" w:rsidR="00B125A3" w:rsidRPr="00BC2D78" w:rsidRDefault="00B125A3" w:rsidP="00ED58C1">
      <w:pPr>
        <w:numPr>
          <w:ilvl w:val="0"/>
          <w:numId w:val="42"/>
        </w:numPr>
        <w:rPr>
          <w:b/>
        </w:rPr>
      </w:pPr>
      <w:r w:rsidRPr="00BC2D78">
        <w:rPr>
          <w:b/>
        </w:rPr>
        <w:t>Can you clarify how to handle situations where the ICU standard is met some but not all of the time?</w:t>
      </w:r>
    </w:p>
    <w:p w14:paraId="43BC65B3" w14:textId="77777777" w:rsidR="00B125A3" w:rsidRDefault="00B125A3" w:rsidP="00B125A3">
      <w:pPr>
        <w:ind w:left="720"/>
      </w:pPr>
      <w:r w:rsidRPr="00BC2D78">
        <w:t xml:space="preserve">If the ICU standard is not met at least 8 hours a day, </w:t>
      </w:r>
      <w:r>
        <w:t>7 days a week</w:t>
      </w:r>
      <w:r w:rsidRPr="00BC2D78">
        <w:t>, hospitals have the opportunity to get partial credit for having intensivists on-site at least some time during the week, or having telemedicine in place that meets the specified criteria for telemedicine. If the number of hours varies from week to week, hospitals should respond with the number of hours per week that the ICU standard is usually met.</w:t>
      </w:r>
    </w:p>
    <w:p w14:paraId="2D96582C" w14:textId="77777777" w:rsidR="00B125A3" w:rsidRDefault="00B125A3" w:rsidP="00B125A3">
      <w:pPr>
        <w:pStyle w:val="ListParagraph"/>
        <w:spacing w:after="200" w:line="276" w:lineRule="auto"/>
      </w:pPr>
    </w:p>
    <w:p w14:paraId="7BC16925" w14:textId="77777777" w:rsidR="00B125A3" w:rsidRPr="00B641AF" w:rsidRDefault="00B125A3" w:rsidP="00ED58C1">
      <w:pPr>
        <w:pStyle w:val="ListParagraph"/>
        <w:numPr>
          <w:ilvl w:val="0"/>
          <w:numId w:val="42"/>
        </w:numPr>
        <w:rPr>
          <w:b/>
        </w:rPr>
      </w:pPr>
      <w:r w:rsidRPr="00B641AF">
        <w:rPr>
          <w:b/>
        </w:rPr>
        <w:t>On weekends</w:t>
      </w:r>
      <w:r>
        <w:rPr>
          <w:b/>
        </w:rPr>
        <w:t xml:space="preserve"> and slower days in the ICU</w:t>
      </w:r>
      <w:r w:rsidRPr="00B641AF">
        <w:rPr>
          <w:b/>
        </w:rPr>
        <w:t xml:space="preserve">, do intensivists need to be present in the ICU for </w:t>
      </w:r>
      <w:r>
        <w:rPr>
          <w:b/>
        </w:rPr>
        <w:t xml:space="preserve">the full eight </w:t>
      </w:r>
      <w:r w:rsidRPr="00B641AF">
        <w:rPr>
          <w:b/>
        </w:rPr>
        <w:t xml:space="preserve">hours, or just scheduled for </w:t>
      </w:r>
      <w:r>
        <w:rPr>
          <w:b/>
        </w:rPr>
        <w:t xml:space="preserve">the eight </w:t>
      </w:r>
      <w:r w:rsidRPr="00B641AF">
        <w:rPr>
          <w:b/>
        </w:rPr>
        <w:t>hours?</w:t>
      </w:r>
    </w:p>
    <w:p w14:paraId="45EBB67D" w14:textId="77777777" w:rsidR="00B125A3" w:rsidRDefault="00B125A3" w:rsidP="00B125A3">
      <w:pPr>
        <w:spacing w:after="200" w:line="276" w:lineRule="auto"/>
        <w:ind w:left="720"/>
      </w:pPr>
      <w:r w:rsidRPr="00B641AF">
        <w:t>On weekends and slower days</w:t>
      </w:r>
      <w:r>
        <w:t xml:space="preserve"> in the ICU</w:t>
      </w:r>
      <w:r w:rsidRPr="00B641AF">
        <w:t xml:space="preserve">, </w:t>
      </w:r>
      <w:r>
        <w:t>as long as the intensivist does not have concurrent responsibilities, they just need to be scheduled for the 8 hours. They can leave the hospital early if it’s slow, but need to be available to respond to pages/calls.</w:t>
      </w:r>
    </w:p>
    <w:p w14:paraId="7EC4B199" w14:textId="77777777" w:rsidR="00B125A3" w:rsidRDefault="00B125A3" w:rsidP="00ED58C1">
      <w:pPr>
        <w:numPr>
          <w:ilvl w:val="0"/>
          <w:numId w:val="42"/>
        </w:numPr>
      </w:pPr>
      <w:r w:rsidRPr="00576DBE">
        <w:rPr>
          <w:b/>
        </w:rPr>
        <w:t xml:space="preserve">What </w:t>
      </w:r>
      <w:r>
        <w:rPr>
          <w:b/>
        </w:rPr>
        <w:t>roles</w:t>
      </w:r>
      <w:r w:rsidRPr="00576DBE">
        <w:rPr>
          <w:b/>
        </w:rPr>
        <w:t xml:space="preserve"> </w:t>
      </w:r>
      <w:r>
        <w:rPr>
          <w:b/>
        </w:rPr>
        <w:t xml:space="preserve">should </w:t>
      </w:r>
      <w:r w:rsidRPr="00576DBE">
        <w:rPr>
          <w:b/>
        </w:rPr>
        <w:t xml:space="preserve">be included in multidisciplinary rounds?  </w:t>
      </w:r>
      <w:r w:rsidRPr="00BC2D78">
        <w:rPr>
          <w:b/>
        </w:rPr>
        <w:br/>
      </w:r>
      <w:r>
        <w:t xml:space="preserve">For rounds </w:t>
      </w:r>
      <w:r w:rsidRPr="004A4015">
        <w:t xml:space="preserve">to be considered multidisciplinary, the team should include 3 or more persons.  Typical </w:t>
      </w:r>
      <w:r>
        <w:t>personnel</w:t>
      </w:r>
      <w:r w:rsidRPr="004A4015">
        <w:t xml:space="preserve"> </w:t>
      </w:r>
      <w:r>
        <w:t xml:space="preserve">that would be part of the rounding </w:t>
      </w:r>
      <w:r w:rsidRPr="004A4015">
        <w:t>team include: physician, nurse, pharmacist, physical and/or occupational therapist, and nutritionist.</w:t>
      </w:r>
    </w:p>
    <w:p w14:paraId="5ADE32C4" w14:textId="77777777" w:rsidR="00744CB8" w:rsidRDefault="00744CB8" w:rsidP="00744CB8">
      <w:pPr>
        <w:ind w:left="720"/>
      </w:pPr>
    </w:p>
    <w:p w14:paraId="194E7088" w14:textId="77777777" w:rsidR="00744CB8" w:rsidRPr="005472D6" w:rsidRDefault="00744CB8" w:rsidP="00ED58C1">
      <w:pPr>
        <w:pStyle w:val="CommentText"/>
        <w:numPr>
          <w:ilvl w:val="0"/>
          <w:numId w:val="42"/>
        </w:numPr>
        <w:rPr>
          <w:b/>
        </w:rPr>
      </w:pPr>
      <w:r w:rsidRPr="005472D6">
        <w:rPr>
          <w:b/>
        </w:rPr>
        <w:lastRenderedPageBreak/>
        <w:t>How would a hospital document that it has a board-approved budget to fully meet Leapfrog’s IPS standard?</w:t>
      </w:r>
    </w:p>
    <w:p w14:paraId="713FD763" w14:textId="77777777" w:rsidR="00744CB8" w:rsidRDefault="00744CB8" w:rsidP="00744CB8">
      <w:pPr>
        <w:pStyle w:val="CommentText"/>
        <w:ind w:left="720"/>
      </w:pPr>
      <w:r w:rsidRPr="005472D6">
        <w:t>Hospitals must have a board approved budget adequate to provide coverage in applicable ICUs 8 hours/da</w:t>
      </w:r>
      <w:r w:rsidR="005472D6" w:rsidRPr="005472D6">
        <w:t>y, 7 days/week exclusively in that</w:t>
      </w:r>
      <w:r w:rsidRPr="005472D6">
        <w:t xml:space="preserve"> ICU. At a minimum the board approved budget should include1.5 FTE per ICU.</w:t>
      </w:r>
      <w:r>
        <w:t xml:space="preserve"> </w:t>
      </w:r>
    </w:p>
    <w:p w14:paraId="6B26E5F7" w14:textId="77777777" w:rsidR="005472D6" w:rsidRDefault="005472D6" w:rsidP="007A44CB">
      <w:pPr>
        <w:pStyle w:val="Heading3"/>
      </w:pPr>
    </w:p>
    <w:p w14:paraId="4E512F3D" w14:textId="77777777" w:rsidR="00B125A3" w:rsidRPr="00770A88" w:rsidRDefault="00B125A3" w:rsidP="007A44CB">
      <w:pPr>
        <w:pStyle w:val="Heading3"/>
      </w:pPr>
      <w:bookmarkStart w:id="240" w:name="_Toc447195042"/>
      <w:r>
        <w:t>Certification Questions</w:t>
      </w:r>
      <w:bookmarkEnd w:id="240"/>
      <w:r>
        <w:t xml:space="preserve"> </w:t>
      </w:r>
    </w:p>
    <w:p w14:paraId="1B8E1067" w14:textId="77777777" w:rsidR="00770A88" w:rsidRPr="00BC2D78" w:rsidRDefault="00770A88" w:rsidP="00E4689D">
      <w:pPr>
        <w:ind w:left="720"/>
        <w:rPr>
          <w:b/>
        </w:rPr>
      </w:pPr>
    </w:p>
    <w:p w14:paraId="3417FFB5" w14:textId="77777777" w:rsidR="00E4689D" w:rsidRPr="00BC2D78" w:rsidRDefault="00E4689D" w:rsidP="00ED58C1">
      <w:pPr>
        <w:numPr>
          <w:ilvl w:val="0"/>
          <w:numId w:val="42"/>
        </w:numPr>
        <w:rPr>
          <w:b/>
        </w:rPr>
      </w:pPr>
      <w:r w:rsidRPr="00BC2D78">
        <w:rPr>
          <w:b/>
        </w:rPr>
        <w:t>Is there any empirical basis for specifying a minimum annual number of days of ICU experience for each Board-eligible physician providing ICU care?</w:t>
      </w:r>
    </w:p>
    <w:p w14:paraId="17B996C0" w14:textId="77777777" w:rsidR="00E4689D" w:rsidRDefault="00E4689D" w:rsidP="00E4689D">
      <w:pPr>
        <w:ind w:left="720"/>
      </w:pPr>
      <w:r w:rsidRPr="00BC2D78">
        <w:t>No. Accordingly, if it is added to the Leapfrog standard in the future, it will be based on newly published research and expert advice.</w:t>
      </w:r>
    </w:p>
    <w:p w14:paraId="45D90EFA" w14:textId="77777777" w:rsidR="00E4689D" w:rsidRPr="00BC2D78" w:rsidRDefault="00E4689D" w:rsidP="00E4689D">
      <w:pPr>
        <w:ind w:left="720"/>
        <w:rPr>
          <w:lang w:eastAsia="ja-JP"/>
        </w:rPr>
      </w:pPr>
    </w:p>
    <w:p w14:paraId="332074BF" w14:textId="77777777" w:rsidR="00E4689D" w:rsidRPr="00BC2D78" w:rsidRDefault="00E4689D" w:rsidP="00ED58C1">
      <w:pPr>
        <w:numPr>
          <w:ilvl w:val="0"/>
          <w:numId w:val="42"/>
        </w:numPr>
        <w:rPr>
          <w:b/>
        </w:rPr>
      </w:pPr>
      <w:r w:rsidRPr="00BC2D78">
        <w:rPr>
          <w:b/>
        </w:rPr>
        <w:t>Can hospitalists be counted as intensivists?</w:t>
      </w:r>
    </w:p>
    <w:p w14:paraId="7F2B9AC0" w14:textId="77777777" w:rsidR="00E4689D" w:rsidRDefault="00E4689D" w:rsidP="00E4689D">
      <w:pPr>
        <w:ind w:left="720"/>
      </w:pPr>
      <w:r w:rsidRPr="00BC2D78">
        <w:t>No.</w:t>
      </w:r>
    </w:p>
    <w:p w14:paraId="46DCB003" w14:textId="77777777" w:rsidR="00B125A3" w:rsidRDefault="00B125A3" w:rsidP="00E4689D">
      <w:pPr>
        <w:ind w:left="720"/>
      </w:pPr>
    </w:p>
    <w:p w14:paraId="1B592B19" w14:textId="77777777" w:rsidR="00B125A3" w:rsidRDefault="00B125A3" w:rsidP="00ED58C1">
      <w:pPr>
        <w:pStyle w:val="ListParagraph"/>
        <w:numPr>
          <w:ilvl w:val="0"/>
          <w:numId w:val="42"/>
        </w:numPr>
        <w:rPr>
          <w:b/>
        </w:rPr>
      </w:pPr>
      <w:r w:rsidRPr="00B641AF">
        <w:rPr>
          <w:b/>
        </w:rPr>
        <w:t xml:space="preserve">Do </w:t>
      </w:r>
      <w:r>
        <w:rPr>
          <w:b/>
        </w:rPr>
        <w:t xml:space="preserve">all intensivists serving as </w:t>
      </w:r>
      <w:r w:rsidRPr="00B641AF">
        <w:rPr>
          <w:b/>
        </w:rPr>
        <w:t>tele-intensivists need to meet Leapfrog’s definition of “certified in critical care medicine”?</w:t>
      </w:r>
    </w:p>
    <w:p w14:paraId="46D726EA" w14:textId="77777777" w:rsidR="00B125A3" w:rsidRDefault="00B125A3" w:rsidP="00B125A3">
      <w:pPr>
        <w:pStyle w:val="ListParagraph"/>
      </w:pPr>
      <w:r w:rsidRPr="00B641AF">
        <w:t>Yes.  All intensivists who serve as tele-intensivists do need to meet Leapfrog’s definition of “certified in critical care medicine”</w:t>
      </w:r>
      <w:r>
        <w:t xml:space="preserve">. </w:t>
      </w:r>
      <w:r w:rsidRPr="00B641AF">
        <w:t xml:space="preserve">Leapfrog will provide a </w:t>
      </w:r>
      <w:r>
        <w:t xml:space="preserve">three </w:t>
      </w:r>
      <w:r w:rsidRPr="00B641AF">
        <w:t>year grace period (until the 2019 survey) for tele-intensivist providers to be compliant with this requirement.</w:t>
      </w:r>
    </w:p>
    <w:p w14:paraId="46FCA7C3" w14:textId="77777777" w:rsidR="00B125A3" w:rsidRDefault="00B125A3" w:rsidP="00E4689D">
      <w:pPr>
        <w:ind w:left="720"/>
      </w:pPr>
    </w:p>
    <w:p w14:paraId="65BCCBFD" w14:textId="77777777" w:rsidR="00B125A3" w:rsidRDefault="00B125A3" w:rsidP="00ED58C1">
      <w:pPr>
        <w:numPr>
          <w:ilvl w:val="0"/>
          <w:numId w:val="42"/>
        </w:numPr>
        <w:rPr>
          <w:b/>
        </w:rPr>
      </w:pPr>
      <w:r>
        <w:rPr>
          <w:b/>
        </w:rPr>
        <w:t>How should intensivist</w:t>
      </w:r>
      <w:r w:rsidRPr="00BC2D78">
        <w:rPr>
          <w:b/>
        </w:rPr>
        <w:t>s trained in critical medicine in a foreign country be treated for purposes of meeting the ICU Physician Staffing (IPS) Leap? While they offer excellent training, many foreign countries do not offer specific critical care board certifications.</w:t>
      </w:r>
    </w:p>
    <w:p w14:paraId="16EA952F" w14:textId="77777777" w:rsidR="00B125A3" w:rsidRPr="00B125A3" w:rsidRDefault="00B125A3" w:rsidP="00B125A3">
      <w:pPr>
        <w:ind w:left="720"/>
        <w:rPr>
          <w:b/>
        </w:rPr>
      </w:pPr>
      <w:r w:rsidRPr="00BC2D78">
        <w:t>Foreign trained physicians who were certified as intensivists in the country in which they trained, also count as intensivists for the purposes of the ICU Physician staffing (IPS) Leap.</w:t>
      </w:r>
    </w:p>
    <w:p w14:paraId="4069F19C" w14:textId="77777777" w:rsidR="00B125A3" w:rsidRDefault="00B125A3" w:rsidP="00B125A3"/>
    <w:p w14:paraId="3B66B6BA" w14:textId="77777777" w:rsidR="00B125A3" w:rsidRPr="00BC2D78" w:rsidRDefault="00B125A3" w:rsidP="007A44CB">
      <w:pPr>
        <w:pStyle w:val="Heading3"/>
      </w:pPr>
      <w:bookmarkStart w:id="241" w:name="_Toc447195043"/>
      <w:r>
        <w:t>Response Time Questions</w:t>
      </w:r>
      <w:bookmarkEnd w:id="241"/>
      <w:r>
        <w:t xml:space="preserve"> </w:t>
      </w:r>
    </w:p>
    <w:p w14:paraId="6E7CDB3A" w14:textId="77777777" w:rsidR="00E4689D" w:rsidRPr="00BC2D78" w:rsidRDefault="00E4689D" w:rsidP="00E4689D">
      <w:pPr>
        <w:ind w:left="720"/>
        <w:rPr>
          <w:lang w:eastAsia="ja-JP"/>
        </w:rPr>
      </w:pPr>
    </w:p>
    <w:p w14:paraId="46F34238" w14:textId="77777777" w:rsidR="00E4689D" w:rsidRPr="00BC2D78" w:rsidRDefault="00E4689D" w:rsidP="00ED58C1">
      <w:pPr>
        <w:numPr>
          <w:ilvl w:val="0"/>
          <w:numId w:val="42"/>
        </w:numPr>
        <w:rPr>
          <w:b/>
        </w:rPr>
      </w:pPr>
      <w:r w:rsidRPr="00BC2D78">
        <w:rPr>
          <w:b/>
        </w:rPr>
        <w:t xml:space="preserve">If our hospital </w:t>
      </w:r>
      <w:r w:rsidRPr="00BC2D78">
        <w:rPr>
          <w:b/>
          <w:u w:val="single"/>
        </w:rPr>
        <w:t>requires</w:t>
      </w:r>
      <w:r w:rsidRPr="00BC2D78">
        <w:rPr>
          <w:b/>
        </w:rPr>
        <w:t xml:space="preserve"> that ICU </w:t>
      </w:r>
      <w:r>
        <w:rPr>
          <w:b/>
        </w:rPr>
        <w:t>calls/</w:t>
      </w:r>
      <w:r w:rsidRPr="00BC2D78">
        <w:rPr>
          <w:b/>
        </w:rPr>
        <w:t xml:space="preserve">pages are answered within five minutes and therefore does not track responses to </w:t>
      </w:r>
      <w:r>
        <w:rPr>
          <w:b/>
        </w:rPr>
        <w:t>calls/</w:t>
      </w:r>
      <w:r w:rsidRPr="00BC2D78">
        <w:rPr>
          <w:b/>
        </w:rPr>
        <w:t>pages, how should we report our compliance on this part of the standard?</w:t>
      </w:r>
    </w:p>
    <w:p w14:paraId="7D404BD0" w14:textId="77777777" w:rsidR="00E4689D" w:rsidRPr="00BC2D78" w:rsidRDefault="00E4689D" w:rsidP="00E4689D">
      <w:pPr>
        <w:ind w:left="720"/>
        <w:rPr>
          <w:lang w:eastAsia="ja-JP"/>
        </w:rPr>
      </w:pPr>
      <w:r w:rsidRPr="00BC2D78">
        <w:t xml:space="preserve">To meet the Leapfrog standard, hospitals must affirm to the public that they meet it. If your hospital requires that </w:t>
      </w:r>
      <w:r>
        <w:t>calls/</w:t>
      </w:r>
      <w:r w:rsidRPr="00BC2D78">
        <w:t xml:space="preserve">pages be answered within five minutes and has documentation that they are, then you should indicate that your hospital meets the standard. If your hospital requires that </w:t>
      </w:r>
      <w:r>
        <w:t>calls/</w:t>
      </w:r>
      <w:r w:rsidRPr="00BC2D78">
        <w:t>pages are answered within five minutes and you don’t know whether they are or are not, then you should not indicate that your hospital meets the standard.</w:t>
      </w:r>
    </w:p>
    <w:p w14:paraId="26A952DD" w14:textId="77777777" w:rsidR="00E4689D" w:rsidRPr="00BC2D78" w:rsidRDefault="00E4689D" w:rsidP="00E4689D">
      <w:pPr>
        <w:ind w:left="720"/>
        <w:rPr>
          <w:lang w:eastAsia="ja-JP"/>
        </w:rPr>
      </w:pPr>
    </w:p>
    <w:p w14:paraId="48DCBC21" w14:textId="77777777" w:rsidR="00E4689D" w:rsidRPr="00BC2D78" w:rsidRDefault="007C2746" w:rsidP="00ED58C1">
      <w:pPr>
        <w:numPr>
          <w:ilvl w:val="0"/>
          <w:numId w:val="42"/>
        </w:numPr>
      </w:pPr>
      <w:r>
        <w:rPr>
          <w:b/>
        </w:rPr>
        <w:t xml:space="preserve">Does Leapfrog </w:t>
      </w:r>
      <w:r w:rsidR="00E4689D" w:rsidRPr="00BC2D78">
        <w:rPr>
          <w:b/>
        </w:rPr>
        <w:t>specify standards for second tier calls (e.g., the initial call to a physician is not answered within 5 minutes. What is the next step)?</w:t>
      </w:r>
      <w:r w:rsidR="00E4689D" w:rsidRPr="00BC2D78">
        <w:rPr>
          <w:b/>
        </w:rPr>
        <w:br/>
      </w:r>
      <w:r w:rsidR="00E4689D" w:rsidRPr="00BC2D78">
        <w:t>No. We do not intend to reach this level of detail in our specifications, absent a compelling case that the gain would offset its added complexity.</w:t>
      </w:r>
    </w:p>
    <w:p w14:paraId="572A21A4" w14:textId="77777777" w:rsidR="00E4689D" w:rsidRPr="00E017CB" w:rsidRDefault="00E4689D" w:rsidP="00E4689D">
      <w:pPr>
        <w:rPr>
          <w:b/>
        </w:rPr>
      </w:pPr>
    </w:p>
    <w:p w14:paraId="065980C0" w14:textId="77777777" w:rsidR="00E4689D" w:rsidRPr="00BC2D78" w:rsidRDefault="00E4689D" w:rsidP="00ED58C1">
      <w:pPr>
        <w:numPr>
          <w:ilvl w:val="0"/>
          <w:numId w:val="42"/>
        </w:numPr>
        <w:rPr>
          <w:b/>
        </w:rPr>
      </w:pPr>
      <w:r w:rsidRPr="00BC2D78">
        <w:rPr>
          <w:b/>
        </w:rPr>
        <w:t xml:space="preserve">Are we expected to conduct an audit to verify that high-urgency </w:t>
      </w:r>
      <w:r>
        <w:rPr>
          <w:b/>
        </w:rPr>
        <w:t>calls/</w:t>
      </w:r>
      <w:r w:rsidRPr="00BC2D78">
        <w:rPr>
          <w:b/>
        </w:rPr>
        <w:t xml:space="preserve">pages are returned within 5 minutes, and are there definitions for what constitutes high and low urgency </w:t>
      </w:r>
      <w:r>
        <w:rPr>
          <w:b/>
        </w:rPr>
        <w:t>calls/</w:t>
      </w:r>
      <w:r w:rsidRPr="00BC2D78">
        <w:rPr>
          <w:b/>
        </w:rPr>
        <w:t>pages?</w:t>
      </w:r>
      <w:r w:rsidRPr="00BC2D78">
        <w:rPr>
          <w:b/>
        </w:rPr>
        <w:br/>
      </w:r>
      <w:r w:rsidRPr="00BC2D78">
        <w:t xml:space="preserve">You should have some quantitative basis for saying that </w:t>
      </w:r>
      <w:r>
        <w:t>calls/</w:t>
      </w:r>
      <w:r w:rsidRPr="00BC2D78">
        <w:t>pages are returned within 5 minutes at least 9</w:t>
      </w:r>
      <w:r>
        <w:t>5</w:t>
      </w:r>
      <w:r w:rsidRPr="00BC2D78">
        <w:t xml:space="preserve">% of the time. You could study a sample, or could use the tracking mechanism built in to the </w:t>
      </w:r>
      <w:r>
        <w:t xml:space="preserve">notification device </w:t>
      </w:r>
      <w:r w:rsidRPr="00BC2D78">
        <w:t>system, if one exists. The basis for responding affirmatively should be more than just peoples’ perceptions of response time.</w:t>
      </w:r>
      <w:r w:rsidRPr="00BC2D78">
        <w:br/>
      </w:r>
      <w:r w:rsidRPr="00BC2D78">
        <w:br/>
        <w:t xml:space="preserve">You don’t have to focus only on high urgency </w:t>
      </w:r>
      <w:r>
        <w:t>calls/</w:t>
      </w:r>
      <w:r w:rsidRPr="00BC2D78">
        <w:t xml:space="preserve">pages – but some </w:t>
      </w:r>
      <w:r>
        <w:t xml:space="preserve">notification device </w:t>
      </w:r>
      <w:r w:rsidRPr="00BC2D78">
        <w:t xml:space="preserve">systems can make this differentiation and, in these instances, low urgency </w:t>
      </w:r>
      <w:r>
        <w:t>calls/</w:t>
      </w:r>
      <w:r w:rsidRPr="00BC2D78">
        <w:t>pages can be carved out of the analysis of response times.</w:t>
      </w:r>
      <w:r w:rsidRPr="00BC2D78">
        <w:br/>
      </w:r>
      <w:r w:rsidRPr="00BC2D78">
        <w:br/>
        <w:t xml:space="preserve">Providers can monitor </w:t>
      </w:r>
      <w:r>
        <w:t xml:space="preserve">notification device </w:t>
      </w:r>
      <w:r w:rsidRPr="00BC2D78">
        <w:t xml:space="preserve">response times in multiple ways, as long as the data </w:t>
      </w:r>
      <w:r w:rsidRPr="00BC2D78">
        <w:lastRenderedPageBreak/>
        <w:t>collection process is non-biased and scientific.</w:t>
      </w:r>
      <w:r w:rsidRPr="00BC2D78">
        <w:br/>
      </w:r>
      <w:r w:rsidRPr="00BC2D78">
        <w:br/>
        <w:t>As an example:</w:t>
      </w:r>
      <w:r w:rsidRPr="00BC2D78">
        <w:br/>
        <w:t>Providers could maintain an exception log in the ICU(s) on six randomly sampled days per year. On those days, ICU nurses could record:</w:t>
      </w:r>
    </w:p>
    <w:p w14:paraId="32ACF601" w14:textId="77777777" w:rsidR="00E4689D" w:rsidRPr="00BC2D78" w:rsidRDefault="00E4689D" w:rsidP="00ED58C1">
      <w:pPr>
        <w:numPr>
          <w:ilvl w:val="0"/>
          <w:numId w:val="41"/>
        </w:numPr>
        <w:tabs>
          <w:tab w:val="clear" w:pos="360"/>
          <w:tab w:val="num" w:pos="1120"/>
        </w:tabs>
        <w:ind w:left="1120" w:firstLine="0"/>
        <w:rPr>
          <w:b/>
        </w:rPr>
      </w:pPr>
      <w:r w:rsidRPr="00BC2D78">
        <w:t xml:space="preserve">the number of urgent </w:t>
      </w:r>
      <w:r>
        <w:t>calls/</w:t>
      </w:r>
      <w:r w:rsidRPr="00BC2D78">
        <w:t>pages made to intensivists when they are not present in the unit (whether on-site or via telemedicine);</w:t>
      </w:r>
    </w:p>
    <w:p w14:paraId="30665D4E" w14:textId="77777777" w:rsidR="00E4689D" w:rsidRPr="00BC2D78" w:rsidRDefault="00E4689D" w:rsidP="00ED58C1">
      <w:pPr>
        <w:numPr>
          <w:ilvl w:val="0"/>
          <w:numId w:val="41"/>
        </w:numPr>
        <w:tabs>
          <w:tab w:val="clear" w:pos="360"/>
          <w:tab w:val="num" w:pos="1120"/>
        </w:tabs>
        <w:ind w:left="1120" w:firstLine="0"/>
        <w:rPr>
          <w:b/>
        </w:rPr>
      </w:pPr>
      <w:r w:rsidRPr="00BC2D78">
        <w:t xml:space="preserve">the number of urgent </w:t>
      </w:r>
      <w:r>
        <w:t>calls/</w:t>
      </w:r>
      <w:r w:rsidRPr="00BC2D78">
        <w:t>pages made to other physicians or FCCS-certified effectors when no physician or FCCS-certified effector is physically present in the unit; and</w:t>
      </w:r>
    </w:p>
    <w:p w14:paraId="6216441D" w14:textId="77777777" w:rsidR="00E4689D" w:rsidRPr="00BC2D78" w:rsidRDefault="00E4689D" w:rsidP="00ED58C1">
      <w:pPr>
        <w:numPr>
          <w:ilvl w:val="0"/>
          <w:numId w:val="41"/>
        </w:numPr>
        <w:ind w:left="1120" w:firstLine="0"/>
      </w:pPr>
      <w:r w:rsidRPr="00BC2D78">
        <w:t xml:space="preserve">the number of times that responses exceed 5 minutes for those respective </w:t>
      </w:r>
      <w:r>
        <w:t>calls/</w:t>
      </w:r>
      <w:r w:rsidRPr="00BC2D78">
        <w:t>pages.</w:t>
      </w:r>
    </w:p>
    <w:p w14:paraId="0B3FF104" w14:textId="77777777" w:rsidR="00E4689D" w:rsidRPr="00BC2D78" w:rsidRDefault="00E4689D" w:rsidP="00E4689D">
      <w:pPr>
        <w:ind w:left="720"/>
        <w:rPr>
          <w:lang w:eastAsia="ja-JP"/>
        </w:rPr>
      </w:pPr>
      <w:r w:rsidRPr="00BC2D78">
        <w:br/>
        <w:t xml:space="preserve">Hospitals can then cost-effectively estimate whether they meet the 95% timely response standards by dividing the average number of log exceptions per day by the average number of </w:t>
      </w:r>
      <w:r>
        <w:t>calls/</w:t>
      </w:r>
      <w:r w:rsidRPr="00BC2D78">
        <w:t>pages per day.</w:t>
      </w:r>
    </w:p>
    <w:p w14:paraId="2F0DF02F" w14:textId="77777777" w:rsidR="00E4689D" w:rsidRPr="00BC2D78" w:rsidRDefault="00E4689D" w:rsidP="00E4689D">
      <w:pPr>
        <w:ind w:left="720"/>
        <w:rPr>
          <w:lang w:eastAsia="ja-JP"/>
        </w:rPr>
      </w:pPr>
    </w:p>
    <w:p w14:paraId="44C40AB9" w14:textId="77777777" w:rsidR="00E4689D" w:rsidRDefault="00E4689D" w:rsidP="00ED58C1">
      <w:pPr>
        <w:numPr>
          <w:ilvl w:val="0"/>
          <w:numId w:val="42"/>
        </w:numPr>
        <w:rPr>
          <w:b/>
        </w:rPr>
      </w:pPr>
      <w:r w:rsidRPr="00640988">
        <w:rPr>
          <w:b/>
        </w:rPr>
        <w:t>If I have a closed ICU</w:t>
      </w:r>
      <w:r w:rsidR="00143C75">
        <w:rPr>
          <w:b/>
        </w:rPr>
        <w:t xml:space="preserve"> or 24/7 intensivist coverage</w:t>
      </w:r>
      <w:r w:rsidRPr="00640988">
        <w:rPr>
          <w:b/>
        </w:rPr>
        <w:t>, do I still have to perform a quantita</w:t>
      </w:r>
      <w:r w:rsidR="00474120">
        <w:rPr>
          <w:b/>
        </w:rPr>
        <w:t>tiv</w:t>
      </w:r>
      <w:r w:rsidRPr="00640988">
        <w:rPr>
          <w:b/>
        </w:rPr>
        <w:t>e analysis of pager response times?</w:t>
      </w:r>
    </w:p>
    <w:p w14:paraId="2FDC3845" w14:textId="77777777" w:rsidR="00C10B93" w:rsidRDefault="00E4689D" w:rsidP="00143C75">
      <w:pPr>
        <w:ind w:left="720"/>
      </w:pPr>
      <w:r>
        <w:t>If the unit has 24/7 intensivist coverage, than an analysis of r</w:t>
      </w:r>
      <w:r w:rsidR="007C2746">
        <w:t xml:space="preserve">esponse times is not required. </w:t>
      </w:r>
      <w:r>
        <w:t>If the unit does not have 24/7 intensivist coverage, than y</w:t>
      </w:r>
      <w:r w:rsidRPr="00640988">
        <w:t xml:space="preserve">es, closed ICUs must still perform a quantitative analysis of pager response times. </w:t>
      </w:r>
      <w:r w:rsidR="00C10B93">
        <w:rPr>
          <w:lang w:eastAsia="ja-JP"/>
        </w:rPr>
        <w:br w:type="page"/>
      </w:r>
    </w:p>
    <w:p w14:paraId="2E677979" w14:textId="77777777" w:rsidR="00920EF6" w:rsidRDefault="00920EF6" w:rsidP="00C10B93">
      <w:pPr>
        <w:pStyle w:val="SectionHeader"/>
        <w:rPr>
          <w:color w:val="A6A6A6" w:themeColor="background1" w:themeShade="A6"/>
        </w:rPr>
        <w:sectPr w:rsidR="00920EF6" w:rsidSect="008733FC">
          <w:headerReference w:type="default" r:id="rId154"/>
          <w:endnotePr>
            <w:numFmt w:val="decimal"/>
          </w:endnotePr>
          <w:type w:val="continuous"/>
          <w:pgSz w:w="12240" w:h="15840"/>
          <w:pgMar w:top="1080" w:right="1440" w:bottom="1080" w:left="1440" w:header="720" w:footer="720" w:gutter="0"/>
          <w:cols w:space="720"/>
          <w:docGrid w:linePitch="272"/>
        </w:sectPr>
      </w:pPr>
      <w:bookmarkStart w:id="242" w:name="_Toc414267287"/>
    </w:p>
    <w:p w14:paraId="52ABD898" w14:textId="77777777" w:rsidR="00046B33" w:rsidRDefault="00046B33" w:rsidP="00C10B93">
      <w:pPr>
        <w:pStyle w:val="SectionHeader"/>
        <w:rPr>
          <w:color w:val="A6A6A6" w:themeColor="background1" w:themeShade="A6"/>
        </w:rPr>
      </w:pPr>
    </w:p>
    <w:p w14:paraId="25A11D8E" w14:textId="77777777" w:rsidR="00C10B93" w:rsidRDefault="00CC2E61" w:rsidP="00C10B93">
      <w:pPr>
        <w:pStyle w:val="SectionHeader"/>
        <w:rPr>
          <w:color w:val="A6A6A6" w:themeColor="background1" w:themeShade="A6"/>
        </w:rPr>
      </w:pPr>
      <w:bookmarkStart w:id="243" w:name="_Toc447195044"/>
      <w:r>
        <w:rPr>
          <w:color w:val="A6A6A6" w:themeColor="background1" w:themeShade="A6"/>
        </w:rPr>
        <w:t>Page Intentionally Left Blank</w:t>
      </w:r>
      <w:bookmarkEnd w:id="242"/>
      <w:bookmarkEnd w:id="243"/>
    </w:p>
    <w:p w14:paraId="30F79E5D" w14:textId="77777777" w:rsidR="00CC2E61" w:rsidRDefault="00CC2E61">
      <w:pPr>
        <w:rPr>
          <w:b/>
          <w:snapToGrid w:val="0"/>
          <w:color w:val="A6A6A6" w:themeColor="background1" w:themeShade="A6"/>
          <w:sz w:val="40"/>
          <w:szCs w:val="40"/>
          <w:lang w:eastAsia="ja-JP"/>
        </w:rPr>
      </w:pPr>
      <w:r>
        <w:rPr>
          <w:color w:val="A6A6A6" w:themeColor="background1" w:themeShade="A6"/>
        </w:rPr>
        <w:br w:type="page"/>
      </w:r>
    </w:p>
    <w:p w14:paraId="26831E18" w14:textId="77777777" w:rsidR="00920EF6" w:rsidRDefault="00920EF6" w:rsidP="00C10B93">
      <w:pPr>
        <w:pStyle w:val="SectionHeader"/>
        <w:rPr>
          <w:color w:val="A6A6A6" w:themeColor="background1" w:themeShade="A6"/>
        </w:rPr>
        <w:sectPr w:rsidR="00920EF6" w:rsidSect="008733FC">
          <w:headerReference w:type="default" r:id="rId155"/>
          <w:endnotePr>
            <w:numFmt w:val="decimal"/>
          </w:endnotePr>
          <w:type w:val="continuous"/>
          <w:pgSz w:w="12240" w:h="15840"/>
          <w:pgMar w:top="1080" w:right="1440" w:bottom="1080" w:left="1440" w:header="720" w:footer="720" w:gutter="0"/>
          <w:cols w:space="720"/>
          <w:docGrid w:linePitch="272"/>
        </w:sectPr>
      </w:pPr>
    </w:p>
    <w:p w14:paraId="0F263D10" w14:textId="77777777" w:rsidR="00CC2E61" w:rsidRPr="00CC2E61" w:rsidRDefault="00CC2E61" w:rsidP="00C10B93">
      <w:pPr>
        <w:pStyle w:val="SectionHeader"/>
        <w:rPr>
          <w:color w:val="A6A6A6" w:themeColor="background1" w:themeShade="A6"/>
        </w:rPr>
      </w:pPr>
    </w:p>
    <w:p w14:paraId="49014715" w14:textId="77777777" w:rsidR="00C10B93" w:rsidRDefault="00C10B93" w:rsidP="00C10B93">
      <w:pPr>
        <w:pStyle w:val="SectionHeader"/>
      </w:pPr>
    </w:p>
    <w:p w14:paraId="5110DA47" w14:textId="77777777" w:rsidR="00C10B93" w:rsidRDefault="00C10B93" w:rsidP="00C10B93">
      <w:pPr>
        <w:pStyle w:val="SectionHeader"/>
      </w:pPr>
    </w:p>
    <w:p w14:paraId="0E92B3FB" w14:textId="77777777" w:rsidR="00C10B93" w:rsidRDefault="00C10B93" w:rsidP="00C10B93">
      <w:pPr>
        <w:pStyle w:val="SectionHeader"/>
      </w:pPr>
    </w:p>
    <w:p w14:paraId="2D0F6406" w14:textId="77777777" w:rsidR="00C10B93" w:rsidRDefault="00C10B93" w:rsidP="00C10B93">
      <w:pPr>
        <w:pStyle w:val="SectionHeader"/>
      </w:pPr>
    </w:p>
    <w:p w14:paraId="427D0ABA" w14:textId="77777777" w:rsidR="00C10B93" w:rsidRDefault="00C10B93" w:rsidP="00C10B93">
      <w:pPr>
        <w:pStyle w:val="SectionHeader"/>
      </w:pPr>
    </w:p>
    <w:p w14:paraId="52116586" w14:textId="77777777" w:rsidR="00C10B93" w:rsidRDefault="00C10B93" w:rsidP="00C10B93">
      <w:pPr>
        <w:pStyle w:val="SectionHeader"/>
      </w:pPr>
    </w:p>
    <w:p w14:paraId="0070AB5D" w14:textId="77777777" w:rsidR="00C10B93" w:rsidRDefault="00C10B93" w:rsidP="00C10B93">
      <w:pPr>
        <w:pStyle w:val="SectionHeader"/>
      </w:pPr>
    </w:p>
    <w:p w14:paraId="7D6AAE8D" w14:textId="77777777" w:rsidR="00C10B93" w:rsidRDefault="00C10B93" w:rsidP="00C10B93">
      <w:pPr>
        <w:pStyle w:val="SectionHeader"/>
      </w:pPr>
    </w:p>
    <w:p w14:paraId="00B75808" w14:textId="77777777" w:rsidR="00C10B93" w:rsidRDefault="004B7F4F" w:rsidP="00C10B93">
      <w:pPr>
        <w:pStyle w:val="SectionHeader"/>
      </w:pPr>
      <w:bookmarkStart w:id="244" w:name="_Toc447195045"/>
      <w:bookmarkStart w:id="245" w:name="Sect6"/>
      <w:r>
        <w:t xml:space="preserve">SECTION 6: </w:t>
      </w:r>
      <w:r w:rsidR="00C10B93">
        <w:t>SAFE PRACTICES SCORE (SPS)</w:t>
      </w:r>
      <w:bookmarkEnd w:id="244"/>
    </w:p>
    <w:bookmarkEnd w:id="245"/>
    <w:p w14:paraId="14B8CCDA" w14:textId="77777777" w:rsidR="00C10B93" w:rsidRDefault="00C10B93" w:rsidP="00C10B93">
      <w:pPr>
        <w:pStyle w:val="SectionHeader"/>
      </w:pPr>
    </w:p>
    <w:p w14:paraId="1097858A" w14:textId="77777777" w:rsidR="00C10B93" w:rsidRDefault="00C10B93" w:rsidP="00C10B93">
      <w:r>
        <w:t xml:space="preserve">This section includes questions and reference information for Section 6 Safe Practices Score. Please carefully review the questions, </w:t>
      </w:r>
      <w:r w:rsidR="00B94757">
        <w:t>endnotes</w:t>
      </w:r>
      <w:r>
        <w:t>, and reference information (e.g.</w:t>
      </w:r>
      <w:r w:rsidR="00BD221E">
        <w:t>,</w:t>
      </w:r>
      <w:r>
        <w:t xml:space="preserve"> measure specifications, notes, and frequen</w:t>
      </w:r>
      <w:r w:rsidR="007179BA">
        <w:t>tl</w:t>
      </w:r>
      <w:r>
        <w:t xml:space="preserve">y asked questions) before you begin. Failure to review the reference information could result in inaccurate responses. </w:t>
      </w:r>
    </w:p>
    <w:p w14:paraId="1FEAC2E8" w14:textId="77777777" w:rsidR="00C10B93" w:rsidRPr="00C10B93" w:rsidRDefault="00C10B93" w:rsidP="00C10B93">
      <w:pPr>
        <w:rPr>
          <w:b/>
          <w:snapToGrid w:val="0"/>
          <w:sz w:val="40"/>
          <w:szCs w:val="40"/>
          <w:lang w:eastAsia="ja-JP"/>
        </w:rPr>
      </w:pPr>
      <w:r>
        <w:br w:type="page"/>
      </w:r>
    </w:p>
    <w:p w14:paraId="0C441038" w14:textId="77777777" w:rsidR="000C3BE1" w:rsidRPr="007E1482" w:rsidRDefault="00C10B93" w:rsidP="002C3E94">
      <w:pPr>
        <w:pStyle w:val="Title"/>
      </w:pPr>
      <w:bookmarkStart w:id="246" w:name="_Toc447195046"/>
      <w:r>
        <w:lastRenderedPageBreak/>
        <w:t xml:space="preserve">Section 6: </w:t>
      </w:r>
      <w:r w:rsidR="004F68CC">
        <w:t>2016</w:t>
      </w:r>
      <w:r w:rsidR="00091719">
        <w:t xml:space="preserve"> </w:t>
      </w:r>
      <w:r w:rsidR="00F42AE4">
        <w:t xml:space="preserve">NQF </w:t>
      </w:r>
      <w:r w:rsidR="003E5C29" w:rsidRPr="007E1482">
        <w:t>Safe Practices</w:t>
      </w:r>
      <w:bookmarkEnd w:id="246"/>
    </w:p>
    <w:p w14:paraId="2A2EEC94" w14:textId="77777777" w:rsidR="003E5C29" w:rsidRDefault="003E5C29"/>
    <w:p w14:paraId="6536BCBF" w14:textId="77777777" w:rsidR="008910AA" w:rsidRDefault="008910AA">
      <w:r>
        <w:t xml:space="preserve">In May 2003, the National Quality Forum (NQF) published </w:t>
      </w:r>
      <w:r>
        <w:rPr>
          <w:i/>
          <w:iCs/>
        </w:rPr>
        <w:t>Safe Practices for Better Healthcare: A Consensus Report</w:t>
      </w:r>
      <w:r>
        <w:t xml:space="preserve">, which </w:t>
      </w:r>
      <w:r w:rsidR="00A67836">
        <w:t xml:space="preserve">listed </w:t>
      </w:r>
      <w:r>
        <w:t xml:space="preserve">30 practices that, if adopted, would have major positive impact on the safety of patients in healthcare settings. In 2009, NQF modified these Safe Practices and added six new practices. This section focuses on eight of the 34 practices in the </w:t>
      </w:r>
      <w:r>
        <w:rPr>
          <w:i/>
          <w:iCs/>
        </w:rPr>
        <w:t xml:space="preserve">Safe Practices for Better Healthcare: A Consensus Report 2010 update. </w:t>
      </w:r>
    </w:p>
    <w:p w14:paraId="7FF3DECF" w14:textId="77777777" w:rsidR="008910AA" w:rsidRDefault="008910AA"/>
    <w:p w14:paraId="49B7B79D" w14:textId="77777777" w:rsidR="008910AA" w:rsidRDefault="008910AA">
      <w:pPr>
        <w:rPr>
          <w:b/>
        </w:rPr>
      </w:pPr>
      <w:r w:rsidRPr="0003003B">
        <w:t xml:space="preserve">Before completing this section of the survey, please </w:t>
      </w:r>
      <w:r w:rsidR="00404B0F">
        <w:t xml:space="preserve">review the supporting documents, including the National Quality Forum’s </w:t>
      </w:r>
      <w:r w:rsidR="00404B0F" w:rsidRPr="00404B0F">
        <w:rPr>
          <w:b/>
        </w:rPr>
        <w:t>Safe Practices for Better Healthcare</w:t>
      </w:r>
      <w:r w:rsidR="00404B0F">
        <w:rPr>
          <w:b/>
        </w:rPr>
        <w:t xml:space="preserve"> -</w:t>
      </w:r>
      <w:r w:rsidR="00404B0F" w:rsidRPr="00404B0F">
        <w:rPr>
          <w:b/>
        </w:rPr>
        <w:t xml:space="preserve"> 2010 Update</w:t>
      </w:r>
      <w:r w:rsidR="00404B0F">
        <w:t xml:space="preserve">, at </w:t>
      </w:r>
      <w:hyperlink r:id="rId156" w:history="1">
        <w:r w:rsidR="00404B0F" w:rsidRPr="00981B4A">
          <w:rPr>
            <w:rStyle w:val="Hyperlink"/>
          </w:rPr>
          <w:t>http://leapfroggroup.org/survey-materials/survey-and-cpoe-materials</w:t>
        </w:r>
      </w:hyperlink>
      <w:r w:rsidR="00404B0F">
        <w:t xml:space="preserve">. </w:t>
      </w:r>
    </w:p>
    <w:p w14:paraId="280BEB29" w14:textId="77777777" w:rsidR="00BA5413" w:rsidRPr="00881663" w:rsidRDefault="00BA5413" w:rsidP="00404B0F"/>
    <w:p w14:paraId="6C4957A9" w14:textId="77777777" w:rsidR="009D4EAF" w:rsidRDefault="008910AA">
      <w:r w:rsidRPr="00881663">
        <w:t xml:space="preserve">For each of the eight NQF-endorsed Safe Practices listed on the next page, please review and check items, as appropriate. Safe Practice #23 may not apply to your hospital and you can indicate so at the beginning of that practice. </w:t>
      </w:r>
    </w:p>
    <w:p w14:paraId="54B4F171" w14:textId="77777777" w:rsidR="009D4EAF" w:rsidRDefault="009D4EAF"/>
    <w:p w14:paraId="3C9F706A" w14:textId="77777777" w:rsidR="009D4EAF" w:rsidRPr="00AD3571" w:rsidRDefault="009D4EAF" w:rsidP="009D4EAF">
      <w:pPr>
        <w:rPr>
          <w:b/>
        </w:rPr>
      </w:pPr>
      <w:r w:rsidRPr="00AD3571">
        <w:rPr>
          <w:b/>
        </w:rPr>
        <w:t xml:space="preserve">More information about the 2016 Leapfrog Hospital Survey Scoring Algorithms is available at: </w:t>
      </w:r>
      <w:hyperlink r:id="rId157" w:history="1">
        <w:r w:rsidR="00A108CE" w:rsidRPr="00404B0F">
          <w:rPr>
            <w:rStyle w:val="Hyperlink"/>
          </w:rPr>
          <w:t>http://leapfroggroup.org/survey-materials/scoring-and-results</w:t>
        </w:r>
      </w:hyperlink>
      <w:r w:rsidR="00A108CE">
        <w:t xml:space="preserve"> </w:t>
      </w:r>
      <w:r w:rsidR="00A108CE">
        <w:rPr>
          <w:b/>
        </w:rPr>
        <w:t xml:space="preserve"> </w:t>
      </w:r>
    </w:p>
    <w:p w14:paraId="4BA86FB8" w14:textId="77777777" w:rsidR="008910AA" w:rsidRDefault="008910AA">
      <w:r>
        <w:br w:type="page"/>
      </w:r>
    </w:p>
    <w:tbl>
      <w:tblPr>
        <w:tblW w:w="9994" w:type="dxa"/>
        <w:jc w:val="center"/>
        <w:tblLayout w:type="fixed"/>
        <w:tblLook w:val="01E0" w:firstRow="1" w:lastRow="1" w:firstColumn="1" w:lastColumn="1" w:noHBand="0" w:noVBand="0"/>
      </w:tblPr>
      <w:tblGrid>
        <w:gridCol w:w="1087"/>
        <w:gridCol w:w="4113"/>
        <w:gridCol w:w="3462"/>
        <w:gridCol w:w="1332"/>
      </w:tblGrid>
      <w:tr w:rsidR="00792957" w14:paraId="58A7654C" w14:textId="77777777" w:rsidTr="00EB0610">
        <w:trPr>
          <w:jc w:val="center"/>
        </w:trPr>
        <w:tc>
          <w:tcPr>
            <w:tcW w:w="1170" w:type="dxa"/>
          </w:tcPr>
          <w:p w14:paraId="17D2BE30" w14:textId="77777777" w:rsidR="002A0E0B" w:rsidRDefault="002A0E0B" w:rsidP="006A733E">
            <w:pPr>
              <w:rPr>
                <w:b/>
                <w:i/>
              </w:rPr>
            </w:pPr>
          </w:p>
          <w:p w14:paraId="0AD6F0D6" w14:textId="77777777" w:rsidR="00792957" w:rsidRPr="000F18DD" w:rsidRDefault="006A733E" w:rsidP="007E0083">
            <w:pPr>
              <w:jc w:val="center"/>
              <w:rPr>
                <w:b/>
                <w:i/>
              </w:rPr>
            </w:pPr>
            <w:r>
              <w:rPr>
                <w:b/>
                <w:i/>
              </w:rPr>
              <w:t>Sect</w:t>
            </w:r>
            <w:r w:rsidR="002A0E0B">
              <w:rPr>
                <w:b/>
                <w:i/>
              </w:rPr>
              <w:t>ion</w:t>
            </w:r>
          </w:p>
        </w:tc>
        <w:tc>
          <w:tcPr>
            <w:tcW w:w="4495" w:type="dxa"/>
          </w:tcPr>
          <w:p w14:paraId="72E1FA76" w14:textId="77777777" w:rsidR="00792957" w:rsidRPr="000F18DD" w:rsidRDefault="00792957" w:rsidP="00EB0610">
            <w:pPr>
              <w:jc w:val="center"/>
              <w:rPr>
                <w:b/>
                <w:i/>
              </w:rPr>
            </w:pPr>
          </w:p>
          <w:p w14:paraId="62526DF6" w14:textId="77777777" w:rsidR="00792957" w:rsidRDefault="00792957" w:rsidP="00EB0610">
            <w:pPr>
              <w:jc w:val="center"/>
              <w:rPr>
                <w:b/>
                <w:i/>
              </w:rPr>
            </w:pPr>
            <w:r w:rsidRPr="000F18DD">
              <w:rPr>
                <w:b/>
                <w:i/>
              </w:rPr>
              <w:t>NQF Safe Practice</w:t>
            </w:r>
          </w:p>
          <w:p w14:paraId="0F516231" w14:textId="77777777" w:rsidR="00EB0610" w:rsidRPr="000F18DD" w:rsidRDefault="00EB0610" w:rsidP="00EB0610">
            <w:pPr>
              <w:jc w:val="center"/>
              <w:rPr>
                <w:b/>
                <w:i/>
              </w:rPr>
            </w:pPr>
          </w:p>
        </w:tc>
        <w:tc>
          <w:tcPr>
            <w:tcW w:w="3780" w:type="dxa"/>
          </w:tcPr>
          <w:p w14:paraId="4030B3E3" w14:textId="77777777" w:rsidR="00792957" w:rsidRPr="000F18DD" w:rsidRDefault="00792957" w:rsidP="00EB0610">
            <w:pPr>
              <w:jc w:val="center"/>
              <w:rPr>
                <w:b/>
                <w:i/>
              </w:rPr>
            </w:pPr>
            <w:r w:rsidRPr="000F18DD">
              <w:rPr>
                <w:b/>
                <w:i/>
              </w:rPr>
              <w:t>Results Shown On Leapfrog’s Consumer Site As:</w:t>
            </w:r>
          </w:p>
        </w:tc>
        <w:tc>
          <w:tcPr>
            <w:tcW w:w="1440" w:type="dxa"/>
          </w:tcPr>
          <w:p w14:paraId="2771ED40" w14:textId="77777777" w:rsidR="00792957" w:rsidRDefault="00792957" w:rsidP="00EB0610">
            <w:pPr>
              <w:jc w:val="center"/>
              <w:rPr>
                <w:b/>
                <w:i/>
              </w:rPr>
            </w:pPr>
            <w:r>
              <w:rPr>
                <w:b/>
                <w:i/>
              </w:rPr>
              <w:t>Weighting (pts)</w:t>
            </w:r>
          </w:p>
        </w:tc>
      </w:tr>
      <w:tr w:rsidR="00EB0610" w14:paraId="16BAF10D" w14:textId="77777777" w:rsidTr="00EB0610">
        <w:trPr>
          <w:jc w:val="center"/>
        </w:trPr>
        <w:tc>
          <w:tcPr>
            <w:tcW w:w="1170" w:type="dxa"/>
          </w:tcPr>
          <w:p w14:paraId="28E60587" w14:textId="77777777" w:rsidR="00EB0610" w:rsidRPr="00EB0610" w:rsidRDefault="00EB0610" w:rsidP="007E0083">
            <w:pPr>
              <w:jc w:val="center"/>
              <w:rPr>
                <w:b/>
              </w:rPr>
            </w:pPr>
            <w:r w:rsidRPr="00EB0610">
              <w:rPr>
                <w:b/>
              </w:rPr>
              <w:t>6A</w:t>
            </w:r>
          </w:p>
        </w:tc>
        <w:tc>
          <w:tcPr>
            <w:tcW w:w="4495" w:type="dxa"/>
          </w:tcPr>
          <w:p w14:paraId="1B6EDB9F" w14:textId="77777777" w:rsidR="00EB0610" w:rsidRPr="000F18DD" w:rsidRDefault="00E9134C">
            <w:hyperlink w:anchor="SP1" w:history="1">
              <w:r w:rsidR="00EB0610" w:rsidRPr="0079504C">
                <w:rPr>
                  <w:rStyle w:val="Hyperlink"/>
                  <w:bCs/>
                </w:rPr>
                <w:t>Culture of Safety Leadership Structures and Systems</w:t>
              </w:r>
            </w:hyperlink>
          </w:p>
        </w:tc>
        <w:tc>
          <w:tcPr>
            <w:tcW w:w="3780" w:type="dxa"/>
          </w:tcPr>
          <w:p w14:paraId="06EC127F" w14:textId="77777777" w:rsidR="00EB0610" w:rsidRPr="007D6F07" w:rsidRDefault="00EB0610" w:rsidP="00314BD9">
            <w:pPr>
              <w:rPr>
                <w:i/>
              </w:rPr>
            </w:pPr>
            <w:r w:rsidRPr="007D6F07">
              <w:rPr>
                <w:i/>
              </w:rPr>
              <w:t>Effective leadership to prevent errors</w:t>
            </w:r>
          </w:p>
          <w:p w14:paraId="298E3A4D" w14:textId="77777777" w:rsidR="00EB0610" w:rsidRPr="007D6F07" w:rsidRDefault="00EB0610" w:rsidP="00314BD9">
            <w:pPr>
              <w:rPr>
                <w:i/>
              </w:rPr>
            </w:pPr>
          </w:p>
          <w:p w14:paraId="505F5D3C" w14:textId="77777777" w:rsidR="00EB0610" w:rsidRPr="007D6F07" w:rsidRDefault="00EB0610" w:rsidP="00314BD9">
            <w:pPr>
              <w:rPr>
                <w:i/>
              </w:rPr>
            </w:pPr>
          </w:p>
        </w:tc>
        <w:tc>
          <w:tcPr>
            <w:tcW w:w="1440" w:type="dxa"/>
          </w:tcPr>
          <w:p w14:paraId="7588A8A6" w14:textId="77777777" w:rsidR="00EB0610" w:rsidRDefault="00EB0610">
            <w:pPr>
              <w:jc w:val="center"/>
            </w:pPr>
            <w:r>
              <w:t>120</w:t>
            </w:r>
          </w:p>
        </w:tc>
      </w:tr>
      <w:tr w:rsidR="00EB0610" w14:paraId="3CA1F364" w14:textId="77777777" w:rsidTr="00EB0610">
        <w:trPr>
          <w:jc w:val="center"/>
        </w:trPr>
        <w:tc>
          <w:tcPr>
            <w:tcW w:w="1170" w:type="dxa"/>
          </w:tcPr>
          <w:p w14:paraId="1CBE463C" w14:textId="77777777" w:rsidR="00EB0610" w:rsidRPr="00EB0610" w:rsidRDefault="00EB0610" w:rsidP="007E0083">
            <w:pPr>
              <w:jc w:val="center"/>
              <w:rPr>
                <w:b/>
              </w:rPr>
            </w:pPr>
            <w:r w:rsidRPr="00EB0610">
              <w:rPr>
                <w:b/>
              </w:rPr>
              <w:t>6B</w:t>
            </w:r>
          </w:p>
        </w:tc>
        <w:tc>
          <w:tcPr>
            <w:tcW w:w="4495" w:type="dxa"/>
          </w:tcPr>
          <w:p w14:paraId="4A991C5A" w14:textId="77777777" w:rsidR="00EB0610" w:rsidRPr="000F18DD" w:rsidRDefault="00E9134C" w:rsidP="000E7E7F">
            <w:hyperlink w:anchor="SP2" w:history="1">
              <w:r w:rsidR="00EB0610" w:rsidRPr="0079504C">
                <w:rPr>
                  <w:rStyle w:val="Hyperlink"/>
                  <w:bCs/>
                </w:rPr>
                <w:t>Culture Measurement, Feedback, and Intervention</w:t>
              </w:r>
            </w:hyperlink>
          </w:p>
        </w:tc>
        <w:tc>
          <w:tcPr>
            <w:tcW w:w="3780" w:type="dxa"/>
          </w:tcPr>
          <w:p w14:paraId="6EE17725" w14:textId="77777777" w:rsidR="00EB0610" w:rsidRPr="007D6F07" w:rsidRDefault="00EB0610">
            <w:pPr>
              <w:rPr>
                <w:i/>
              </w:rPr>
            </w:pPr>
            <w:r w:rsidRPr="007D6F07">
              <w:rPr>
                <w:i/>
              </w:rPr>
              <w:t>Staff work together to prevent errors</w:t>
            </w:r>
          </w:p>
          <w:p w14:paraId="5AA4A719" w14:textId="77777777" w:rsidR="00EB0610" w:rsidRPr="007D6F07" w:rsidRDefault="00EB0610">
            <w:pPr>
              <w:rPr>
                <w:i/>
              </w:rPr>
            </w:pPr>
          </w:p>
          <w:p w14:paraId="79AB5035" w14:textId="77777777" w:rsidR="00EB0610" w:rsidRPr="007D6F07" w:rsidRDefault="00EB0610">
            <w:pPr>
              <w:rPr>
                <w:i/>
              </w:rPr>
            </w:pPr>
          </w:p>
        </w:tc>
        <w:tc>
          <w:tcPr>
            <w:tcW w:w="1440" w:type="dxa"/>
          </w:tcPr>
          <w:p w14:paraId="3C30F133" w14:textId="77777777" w:rsidR="00EB0610" w:rsidRDefault="00EB0610">
            <w:pPr>
              <w:jc w:val="center"/>
            </w:pPr>
            <w:r>
              <w:t>20</w:t>
            </w:r>
          </w:p>
        </w:tc>
      </w:tr>
      <w:tr w:rsidR="00EB0610" w14:paraId="3E2AB677" w14:textId="77777777" w:rsidTr="00EB0610">
        <w:trPr>
          <w:jc w:val="center"/>
        </w:trPr>
        <w:tc>
          <w:tcPr>
            <w:tcW w:w="1170" w:type="dxa"/>
          </w:tcPr>
          <w:p w14:paraId="2C031035" w14:textId="77777777" w:rsidR="00EB0610" w:rsidRPr="00EB0610" w:rsidRDefault="00EB0610" w:rsidP="007E0083">
            <w:pPr>
              <w:jc w:val="center"/>
              <w:rPr>
                <w:b/>
              </w:rPr>
            </w:pPr>
            <w:r w:rsidRPr="00EB0610">
              <w:rPr>
                <w:b/>
              </w:rPr>
              <w:t>6C</w:t>
            </w:r>
          </w:p>
        </w:tc>
        <w:tc>
          <w:tcPr>
            <w:tcW w:w="4495" w:type="dxa"/>
          </w:tcPr>
          <w:p w14:paraId="0C9182AB" w14:textId="77777777" w:rsidR="00EB0610" w:rsidRPr="000F18DD" w:rsidRDefault="00E9134C">
            <w:pPr>
              <w:rPr>
                <w:bCs/>
                <w:color w:val="0000FF"/>
                <w:u w:val="single"/>
              </w:rPr>
            </w:pPr>
            <w:hyperlink w:anchor="SP3" w:history="1">
              <w:r w:rsidR="00EB0610" w:rsidRPr="0079504C">
                <w:rPr>
                  <w:rStyle w:val="Hyperlink"/>
                  <w:bCs/>
                </w:rPr>
                <w:t>Teamwork Training and Skill Building</w:t>
              </w:r>
            </w:hyperlink>
          </w:p>
        </w:tc>
        <w:tc>
          <w:tcPr>
            <w:tcW w:w="3780" w:type="dxa"/>
          </w:tcPr>
          <w:p w14:paraId="454EA38D" w14:textId="77777777" w:rsidR="00EB0610" w:rsidRPr="007D6F07" w:rsidRDefault="00EB0610">
            <w:pPr>
              <w:rPr>
                <w:i/>
              </w:rPr>
            </w:pPr>
            <w:r w:rsidRPr="007D6F07">
              <w:rPr>
                <w:i/>
              </w:rPr>
              <w:t>Training to improve safety</w:t>
            </w:r>
          </w:p>
          <w:p w14:paraId="74E5325C" w14:textId="77777777" w:rsidR="00EB0610" w:rsidRPr="007D6F07" w:rsidRDefault="00EB0610">
            <w:pPr>
              <w:rPr>
                <w:i/>
              </w:rPr>
            </w:pPr>
          </w:p>
          <w:p w14:paraId="17C9E0F8" w14:textId="77777777" w:rsidR="00EB0610" w:rsidRPr="007D6F07" w:rsidRDefault="00EB0610" w:rsidP="00314BD9">
            <w:pPr>
              <w:rPr>
                <w:i/>
              </w:rPr>
            </w:pPr>
          </w:p>
        </w:tc>
        <w:tc>
          <w:tcPr>
            <w:tcW w:w="1440" w:type="dxa"/>
          </w:tcPr>
          <w:p w14:paraId="36C85326" w14:textId="77777777" w:rsidR="00EB0610" w:rsidRDefault="00EB0610">
            <w:pPr>
              <w:jc w:val="center"/>
            </w:pPr>
            <w:r>
              <w:t>40</w:t>
            </w:r>
          </w:p>
        </w:tc>
      </w:tr>
      <w:tr w:rsidR="00EB0610" w14:paraId="00A67B1D" w14:textId="77777777" w:rsidTr="00EB0610">
        <w:trPr>
          <w:jc w:val="center"/>
        </w:trPr>
        <w:tc>
          <w:tcPr>
            <w:tcW w:w="1170" w:type="dxa"/>
          </w:tcPr>
          <w:p w14:paraId="07A6CF05" w14:textId="77777777" w:rsidR="00EB0610" w:rsidRPr="00EB0610" w:rsidRDefault="00EB0610" w:rsidP="007E0083">
            <w:pPr>
              <w:jc w:val="center"/>
              <w:rPr>
                <w:b/>
              </w:rPr>
            </w:pPr>
            <w:r w:rsidRPr="00EB0610">
              <w:rPr>
                <w:b/>
              </w:rPr>
              <w:t>6D</w:t>
            </w:r>
          </w:p>
        </w:tc>
        <w:tc>
          <w:tcPr>
            <w:tcW w:w="4495" w:type="dxa"/>
          </w:tcPr>
          <w:p w14:paraId="2560B9DA" w14:textId="77777777" w:rsidR="00EB0610" w:rsidRPr="000F18DD" w:rsidRDefault="00E9134C">
            <w:pPr>
              <w:rPr>
                <w:bCs/>
                <w:color w:val="0000FF"/>
                <w:u w:val="single"/>
              </w:rPr>
            </w:pPr>
            <w:hyperlink w:anchor="SP4" w:history="1">
              <w:r w:rsidR="00EB0610" w:rsidRPr="0079504C">
                <w:rPr>
                  <w:rStyle w:val="Hyperlink"/>
                  <w:bCs/>
                </w:rPr>
                <w:t>Risks and Hazards</w:t>
              </w:r>
            </w:hyperlink>
          </w:p>
          <w:p w14:paraId="0AC69B2B" w14:textId="77777777" w:rsidR="00EB0610" w:rsidRPr="000F18DD" w:rsidRDefault="00EB0610">
            <w:pPr>
              <w:rPr>
                <w:bCs/>
                <w:color w:val="0000FF"/>
                <w:u w:val="single"/>
              </w:rPr>
            </w:pPr>
          </w:p>
        </w:tc>
        <w:tc>
          <w:tcPr>
            <w:tcW w:w="3780" w:type="dxa"/>
          </w:tcPr>
          <w:p w14:paraId="003B723A" w14:textId="77777777" w:rsidR="00EB0610" w:rsidRPr="007D6F07" w:rsidRDefault="00EB0610">
            <w:pPr>
              <w:rPr>
                <w:i/>
              </w:rPr>
            </w:pPr>
            <w:r w:rsidRPr="007D6F07">
              <w:t xml:space="preserve"> </w:t>
            </w:r>
            <w:r w:rsidRPr="007D6F07">
              <w:rPr>
                <w:i/>
              </w:rPr>
              <w:t>Track and reduce risks to patients</w:t>
            </w:r>
          </w:p>
          <w:p w14:paraId="0399D7FE" w14:textId="77777777" w:rsidR="00EB0610" w:rsidRPr="007D6F07" w:rsidRDefault="00EB0610">
            <w:pPr>
              <w:rPr>
                <w:i/>
              </w:rPr>
            </w:pPr>
          </w:p>
          <w:p w14:paraId="3FFFD23D" w14:textId="77777777" w:rsidR="00EB0610" w:rsidRPr="007D6F07" w:rsidRDefault="00EB0610">
            <w:pPr>
              <w:rPr>
                <w:i/>
              </w:rPr>
            </w:pPr>
          </w:p>
        </w:tc>
        <w:tc>
          <w:tcPr>
            <w:tcW w:w="1440" w:type="dxa"/>
          </w:tcPr>
          <w:p w14:paraId="54314164" w14:textId="77777777" w:rsidR="00EB0610" w:rsidRDefault="00EB0610">
            <w:pPr>
              <w:jc w:val="center"/>
            </w:pPr>
            <w:r>
              <w:t>120</w:t>
            </w:r>
          </w:p>
        </w:tc>
      </w:tr>
      <w:tr w:rsidR="00EB0610" w14:paraId="4F8349F9" w14:textId="77777777" w:rsidTr="00EB0610">
        <w:trPr>
          <w:jc w:val="center"/>
        </w:trPr>
        <w:tc>
          <w:tcPr>
            <w:tcW w:w="1170" w:type="dxa"/>
          </w:tcPr>
          <w:p w14:paraId="0DCDBC96" w14:textId="77777777" w:rsidR="00EB0610" w:rsidRPr="00EB0610" w:rsidRDefault="00EB0610" w:rsidP="007E0083">
            <w:pPr>
              <w:jc w:val="center"/>
              <w:rPr>
                <w:b/>
              </w:rPr>
            </w:pPr>
            <w:r w:rsidRPr="00EB0610">
              <w:rPr>
                <w:b/>
              </w:rPr>
              <w:t>6E</w:t>
            </w:r>
          </w:p>
        </w:tc>
        <w:tc>
          <w:tcPr>
            <w:tcW w:w="4495" w:type="dxa"/>
          </w:tcPr>
          <w:p w14:paraId="28C8910C" w14:textId="77777777" w:rsidR="00EB0610" w:rsidRPr="000F18DD" w:rsidRDefault="00E9134C">
            <w:pPr>
              <w:rPr>
                <w:color w:val="0000FF"/>
                <w:u w:val="single"/>
              </w:rPr>
            </w:pPr>
            <w:hyperlink w:anchor="SP9" w:history="1">
              <w:r w:rsidR="00EB0610" w:rsidRPr="0079504C">
                <w:rPr>
                  <w:rStyle w:val="Hyperlink"/>
                </w:rPr>
                <w:t>Nursing Workforce</w:t>
              </w:r>
            </w:hyperlink>
          </w:p>
          <w:p w14:paraId="31715470" w14:textId="77777777" w:rsidR="00EB0610" w:rsidRPr="000F18DD" w:rsidRDefault="00EB0610">
            <w:pPr>
              <w:rPr>
                <w:color w:val="0000FF"/>
                <w:u w:val="single"/>
              </w:rPr>
            </w:pPr>
          </w:p>
          <w:p w14:paraId="63C10B10" w14:textId="77777777" w:rsidR="00EB0610" w:rsidRPr="000F18DD" w:rsidRDefault="00EB0610">
            <w:pPr>
              <w:rPr>
                <w:color w:val="0000FF"/>
                <w:u w:val="single"/>
              </w:rPr>
            </w:pPr>
          </w:p>
        </w:tc>
        <w:tc>
          <w:tcPr>
            <w:tcW w:w="3780" w:type="dxa"/>
          </w:tcPr>
          <w:p w14:paraId="7FD25A1C" w14:textId="77777777" w:rsidR="00EB0610" w:rsidRPr="007D6F07" w:rsidRDefault="00EB0610">
            <w:pPr>
              <w:rPr>
                <w:i/>
              </w:rPr>
            </w:pPr>
            <w:r w:rsidRPr="007D6F07">
              <w:t xml:space="preserve"> </w:t>
            </w:r>
            <w:r w:rsidRPr="007D6F07">
              <w:rPr>
                <w:i/>
              </w:rPr>
              <w:t>Enough qualified nurses</w:t>
            </w:r>
          </w:p>
          <w:p w14:paraId="43D7DEE8" w14:textId="77777777" w:rsidR="00EB0610" w:rsidRPr="007D6F07" w:rsidRDefault="00EB0610" w:rsidP="00314BD9">
            <w:pPr>
              <w:rPr>
                <w:i/>
              </w:rPr>
            </w:pPr>
          </w:p>
        </w:tc>
        <w:tc>
          <w:tcPr>
            <w:tcW w:w="1440" w:type="dxa"/>
          </w:tcPr>
          <w:p w14:paraId="4B8F3223" w14:textId="77777777" w:rsidR="00EB0610" w:rsidRDefault="00EB0610">
            <w:pPr>
              <w:jc w:val="center"/>
            </w:pPr>
            <w:r>
              <w:t>100</w:t>
            </w:r>
          </w:p>
        </w:tc>
      </w:tr>
      <w:tr w:rsidR="00EB0610" w14:paraId="6A843767" w14:textId="77777777" w:rsidTr="00EB0610">
        <w:trPr>
          <w:jc w:val="center"/>
        </w:trPr>
        <w:tc>
          <w:tcPr>
            <w:tcW w:w="1170" w:type="dxa"/>
          </w:tcPr>
          <w:p w14:paraId="7AB9A674" w14:textId="77777777" w:rsidR="00EB0610" w:rsidRPr="00EB0610" w:rsidRDefault="00EB0610" w:rsidP="007E0083">
            <w:pPr>
              <w:jc w:val="center"/>
              <w:rPr>
                <w:b/>
              </w:rPr>
            </w:pPr>
            <w:r w:rsidRPr="00EB0610">
              <w:rPr>
                <w:b/>
              </w:rPr>
              <w:t>6F</w:t>
            </w:r>
          </w:p>
        </w:tc>
        <w:tc>
          <w:tcPr>
            <w:tcW w:w="4495" w:type="dxa"/>
          </w:tcPr>
          <w:p w14:paraId="3F33978B" w14:textId="77777777" w:rsidR="00EB0610" w:rsidRPr="000F18DD" w:rsidRDefault="00E9134C">
            <w:pPr>
              <w:rPr>
                <w:color w:val="0000FF"/>
                <w:u w:val="single"/>
              </w:rPr>
            </w:pPr>
            <w:hyperlink w:anchor="SP17" w:history="1">
              <w:r w:rsidR="00EB0610" w:rsidRPr="0079504C">
                <w:rPr>
                  <w:rStyle w:val="Hyperlink"/>
                </w:rPr>
                <w:t>Medication Reconciliation</w:t>
              </w:r>
            </w:hyperlink>
          </w:p>
        </w:tc>
        <w:tc>
          <w:tcPr>
            <w:tcW w:w="3780" w:type="dxa"/>
          </w:tcPr>
          <w:p w14:paraId="39497C73" w14:textId="77777777" w:rsidR="00EB0610" w:rsidRPr="007D6F07" w:rsidRDefault="00EB0610">
            <w:pPr>
              <w:rPr>
                <w:i/>
              </w:rPr>
            </w:pPr>
            <w:r w:rsidRPr="007D6F07">
              <w:rPr>
                <w:i/>
              </w:rPr>
              <w:t>Correct medication information is communicated</w:t>
            </w:r>
          </w:p>
          <w:p w14:paraId="53381028" w14:textId="77777777" w:rsidR="00EB0610" w:rsidRPr="007D6F07" w:rsidRDefault="00EB0610">
            <w:pPr>
              <w:rPr>
                <w:i/>
              </w:rPr>
            </w:pPr>
          </w:p>
        </w:tc>
        <w:tc>
          <w:tcPr>
            <w:tcW w:w="1440" w:type="dxa"/>
          </w:tcPr>
          <w:p w14:paraId="28D0BA34" w14:textId="77777777" w:rsidR="00EB0610" w:rsidRDefault="00EB0610">
            <w:pPr>
              <w:jc w:val="center"/>
            </w:pPr>
            <w:r>
              <w:t>35</w:t>
            </w:r>
          </w:p>
        </w:tc>
      </w:tr>
      <w:tr w:rsidR="00EB0610" w14:paraId="684772FE" w14:textId="77777777" w:rsidTr="00EB0610">
        <w:trPr>
          <w:jc w:val="center"/>
        </w:trPr>
        <w:tc>
          <w:tcPr>
            <w:tcW w:w="1170" w:type="dxa"/>
          </w:tcPr>
          <w:p w14:paraId="6D4E5470" w14:textId="77777777" w:rsidR="00EB0610" w:rsidRPr="00EB0610" w:rsidRDefault="00EB0610" w:rsidP="007E0083">
            <w:pPr>
              <w:jc w:val="center"/>
              <w:rPr>
                <w:b/>
              </w:rPr>
            </w:pPr>
            <w:r w:rsidRPr="00EB0610">
              <w:rPr>
                <w:b/>
              </w:rPr>
              <w:t>6G</w:t>
            </w:r>
          </w:p>
        </w:tc>
        <w:tc>
          <w:tcPr>
            <w:tcW w:w="4495" w:type="dxa"/>
          </w:tcPr>
          <w:p w14:paraId="710A4DB6" w14:textId="77777777" w:rsidR="00EB0610" w:rsidRPr="000F18DD" w:rsidRDefault="00E9134C">
            <w:pPr>
              <w:rPr>
                <w:color w:val="0000FF"/>
                <w:u w:val="single"/>
              </w:rPr>
            </w:pPr>
            <w:hyperlink w:anchor="SP19" w:history="1">
              <w:r w:rsidR="00EB0610" w:rsidRPr="0079504C">
                <w:rPr>
                  <w:rStyle w:val="Hyperlink"/>
                </w:rPr>
                <w:t>Hand Hygiene</w:t>
              </w:r>
            </w:hyperlink>
          </w:p>
        </w:tc>
        <w:tc>
          <w:tcPr>
            <w:tcW w:w="3780" w:type="dxa"/>
          </w:tcPr>
          <w:p w14:paraId="3354373A" w14:textId="77777777" w:rsidR="00EB0610" w:rsidRPr="007D6F07" w:rsidRDefault="00EB0610" w:rsidP="0036616A">
            <w:pPr>
              <w:rPr>
                <w:i/>
              </w:rPr>
            </w:pPr>
            <w:r w:rsidRPr="007D6F07">
              <w:rPr>
                <w:i/>
              </w:rPr>
              <w:t>Handwashing</w:t>
            </w:r>
          </w:p>
          <w:p w14:paraId="40D78C81" w14:textId="77777777" w:rsidR="00EB0610" w:rsidRPr="007D6F07" w:rsidRDefault="00EB0610" w:rsidP="0036616A">
            <w:pPr>
              <w:rPr>
                <w:i/>
              </w:rPr>
            </w:pPr>
          </w:p>
          <w:p w14:paraId="283601F0" w14:textId="77777777" w:rsidR="00EB0610" w:rsidRPr="007D6F07" w:rsidRDefault="00EB0610" w:rsidP="0036616A">
            <w:pPr>
              <w:rPr>
                <w:i/>
              </w:rPr>
            </w:pPr>
          </w:p>
        </w:tc>
        <w:tc>
          <w:tcPr>
            <w:tcW w:w="1440" w:type="dxa"/>
          </w:tcPr>
          <w:p w14:paraId="3AF51C32" w14:textId="77777777" w:rsidR="00EB0610" w:rsidRDefault="00EB0610">
            <w:pPr>
              <w:jc w:val="center"/>
            </w:pPr>
            <w:r>
              <w:t>30</w:t>
            </w:r>
          </w:p>
        </w:tc>
      </w:tr>
      <w:tr w:rsidR="00EB0610" w14:paraId="332E5948" w14:textId="77777777" w:rsidTr="00EB0610">
        <w:trPr>
          <w:jc w:val="center"/>
        </w:trPr>
        <w:tc>
          <w:tcPr>
            <w:tcW w:w="1170" w:type="dxa"/>
          </w:tcPr>
          <w:p w14:paraId="18136965" w14:textId="77777777" w:rsidR="00EB0610" w:rsidRPr="00EB0610" w:rsidRDefault="00EB0610" w:rsidP="007E0083">
            <w:pPr>
              <w:jc w:val="center"/>
              <w:rPr>
                <w:b/>
              </w:rPr>
            </w:pPr>
            <w:r w:rsidRPr="00EB0610">
              <w:rPr>
                <w:b/>
              </w:rPr>
              <w:t>6H</w:t>
            </w:r>
          </w:p>
        </w:tc>
        <w:tc>
          <w:tcPr>
            <w:tcW w:w="4495" w:type="dxa"/>
          </w:tcPr>
          <w:p w14:paraId="3BBF097B" w14:textId="77777777" w:rsidR="00EB0610" w:rsidRDefault="00E9134C">
            <w:pPr>
              <w:rPr>
                <w:vertAlign w:val="superscript"/>
              </w:rPr>
            </w:pPr>
            <w:hyperlink w:anchor="SP23" w:history="1">
              <w:r w:rsidR="00EB0610">
                <w:rPr>
                  <w:rStyle w:val="Hyperlink"/>
                </w:rPr>
                <w:t xml:space="preserve">Healthcare-Associated </w:t>
              </w:r>
              <w:r w:rsidR="00EB0610" w:rsidRPr="0079504C">
                <w:rPr>
                  <w:rStyle w:val="Hyperlink"/>
                </w:rPr>
                <w:t>Complications</w:t>
              </w:r>
            </w:hyperlink>
            <w:r w:rsidR="00EB0610">
              <w:rPr>
                <w:rStyle w:val="Hyperlink"/>
              </w:rPr>
              <w:t xml:space="preserve"> in Ventilated Patients</w:t>
            </w:r>
            <w:r w:rsidR="00EB0610">
              <w:rPr>
                <w:color w:val="0000FF"/>
                <w:u w:val="single"/>
              </w:rPr>
              <w:t xml:space="preserve"> </w:t>
            </w:r>
            <w:r w:rsidR="00EB0610">
              <w:rPr>
                <w:vertAlign w:val="superscript"/>
              </w:rPr>
              <w:t>a</w:t>
            </w:r>
          </w:p>
          <w:p w14:paraId="2ADB7998" w14:textId="77777777" w:rsidR="00EB0610" w:rsidRDefault="00EB0610">
            <w:pPr>
              <w:rPr>
                <w:color w:val="0000FF"/>
                <w:u w:val="single"/>
              </w:rPr>
            </w:pPr>
          </w:p>
        </w:tc>
        <w:tc>
          <w:tcPr>
            <w:tcW w:w="3780" w:type="dxa"/>
          </w:tcPr>
          <w:p w14:paraId="40D481C1" w14:textId="77777777" w:rsidR="00EB0610" w:rsidRPr="007D6F07" w:rsidRDefault="00EB0610">
            <w:pPr>
              <w:rPr>
                <w:i/>
              </w:rPr>
            </w:pPr>
            <w:r w:rsidRPr="007D6F07">
              <w:rPr>
                <w:i/>
              </w:rPr>
              <w:t>Take steps to prevent ventilator problems</w:t>
            </w:r>
          </w:p>
        </w:tc>
        <w:tc>
          <w:tcPr>
            <w:tcW w:w="1440" w:type="dxa"/>
          </w:tcPr>
          <w:p w14:paraId="3382922B" w14:textId="77777777" w:rsidR="00EB0610" w:rsidRDefault="00EB0610">
            <w:pPr>
              <w:jc w:val="center"/>
            </w:pPr>
            <w:r>
              <w:t>20</w:t>
            </w:r>
          </w:p>
        </w:tc>
      </w:tr>
      <w:tr w:rsidR="00EB0610" w14:paraId="10D1DB54" w14:textId="77777777" w:rsidTr="00EB0610">
        <w:trPr>
          <w:jc w:val="center"/>
        </w:trPr>
        <w:tc>
          <w:tcPr>
            <w:tcW w:w="1170" w:type="dxa"/>
          </w:tcPr>
          <w:p w14:paraId="1423FAF2" w14:textId="77777777" w:rsidR="00EB0610" w:rsidRDefault="00EB0610">
            <w:pPr>
              <w:jc w:val="center"/>
            </w:pPr>
          </w:p>
        </w:tc>
        <w:tc>
          <w:tcPr>
            <w:tcW w:w="4495" w:type="dxa"/>
          </w:tcPr>
          <w:p w14:paraId="435EDCF2" w14:textId="77777777" w:rsidR="00EB0610" w:rsidRDefault="00EB0610">
            <w:pPr>
              <w:jc w:val="right"/>
              <w:rPr>
                <w:b/>
              </w:rPr>
            </w:pPr>
          </w:p>
          <w:p w14:paraId="294F113F" w14:textId="77777777" w:rsidR="00EB0610" w:rsidRDefault="00EB0610">
            <w:pPr>
              <w:jc w:val="right"/>
              <w:rPr>
                <w:b/>
              </w:rPr>
            </w:pPr>
          </w:p>
          <w:p w14:paraId="595575DA" w14:textId="77777777" w:rsidR="00EB0610" w:rsidRDefault="00EB0610">
            <w:pPr>
              <w:jc w:val="right"/>
              <w:rPr>
                <w:b/>
              </w:rPr>
            </w:pPr>
            <w:r>
              <w:rPr>
                <w:b/>
              </w:rPr>
              <w:t>GRAND TOTAL</w:t>
            </w:r>
          </w:p>
        </w:tc>
        <w:tc>
          <w:tcPr>
            <w:tcW w:w="3780" w:type="dxa"/>
          </w:tcPr>
          <w:p w14:paraId="3E970F7A" w14:textId="77777777" w:rsidR="00EB0610" w:rsidRDefault="00EB0610">
            <w:pPr>
              <w:jc w:val="center"/>
            </w:pPr>
          </w:p>
        </w:tc>
        <w:tc>
          <w:tcPr>
            <w:tcW w:w="1440" w:type="dxa"/>
          </w:tcPr>
          <w:p w14:paraId="443988A5" w14:textId="77777777" w:rsidR="00EB0610" w:rsidRDefault="00EB0610">
            <w:pPr>
              <w:jc w:val="center"/>
            </w:pPr>
          </w:p>
          <w:p w14:paraId="6E3C0D29" w14:textId="77777777" w:rsidR="00EB0610" w:rsidRDefault="00EB0610">
            <w:pPr>
              <w:jc w:val="center"/>
            </w:pPr>
            <w:r>
              <w:t>485</w:t>
            </w:r>
          </w:p>
        </w:tc>
      </w:tr>
    </w:tbl>
    <w:p w14:paraId="5DD7DBB0" w14:textId="77777777" w:rsidR="008910AA" w:rsidRDefault="0039568D">
      <w:pPr>
        <w:rPr>
          <w:sz w:val="16"/>
          <w:szCs w:val="16"/>
        </w:rPr>
      </w:pPr>
      <w:r>
        <w:rPr>
          <w:sz w:val="16"/>
          <w:szCs w:val="16"/>
          <w:vertAlign w:val="superscript"/>
        </w:rPr>
        <w:br/>
      </w:r>
      <w:r>
        <w:rPr>
          <w:sz w:val="16"/>
          <w:szCs w:val="16"/>
          <w:vertAlign w:val="superscript"/>
        </w:rPr>
        <w:br/>
      </w:r>
      <w:r>
        <w:rPr>
          <w:sz w:val="16"/>
          <w:szCs w:val="16"/>
          <w:vertAlign w:val="superscript"/>
        </w:rPr>
        <w:br/>
      </w:r>
      <w:r w:rsidR="008910AA">
        <w:rPr>
          <w:sz w:val="16"/>
          <w:szCs w:val="16"/>
          <w:vertAlign w:val="superscript"/>
        </w:rPr>
        <w:t>a</w:t>
      </w:r>
      <w:r w:rsidR="008910AA">
        <w:rPr>
          <w:sz w:val="16"/>
          <w:szCs w:val="16"/>
        </w:rPr>
        <w:t xml:space="preserve"> If this Safe Practice does not apply at your hospital, you can indicate so at the beginning of this Safe-Practice section. To submit this section of the survey, this Safe Practice needs to be completed, even if only to indicate not applicable to your hospital.</w:t>
      </w:r>
    </w:p>
    <w:p w14:paraId="3D13D54A" w14:textId="77777777" w:rsidR="00910DD8" w:rsidRPr="00EB0610" w:rsidRDefault="008910AA">
      <w:pPr>
        <w:rPr>
          <w:sz w:val="16"/>
          <w:szCs w:val="16"/>
        </w:rPr>
      </w:pPr>
      <w:r>
        <w:rPr>
          <w:sz w:val="16"/>
          <w:szCs w:val="16"/>
        </w:rPr>
        <w:t xml:space="preserve"> </w:t>
      </w:r>
    </w:p>
    <w:p w14:paraId="3CEA565E" w14:textId="77777777" w:rsidR="00910DD8" w:rsidRDefault="00910DD8" w:rsidP="00910DD8">
      <w:pPr>
        <w:pBdr>
          <w:bottom w:val="single" w:sz="12" w:space="1" w:color="auto"/>
        </w:pBdr>
      </w:pPr>
    </w:p>
    <w:p w14:paraId="05002FDD" w14:textId="77777777" w:rsidR="00910DD8" w:rsidRDefault="00910DD8" w:rsidP="00910DD8">
      <w:pPr>
        <w:rPr>
          <w:b/>
        </w:rPr>
      </w:pPr>
    </w:p>
    <w:p w14:paraId="7338F159" w14:textId="77777777" w:rsidR="00910DD8" w:rsidRDefault="00D3389D" w:rsidP="00910DD8">
      <w:r w:rsidRPr="00D3389D">
        <w:rPr>
          <w:b/>
          <w:color w:val="FF0000"/>
        </w:rPr>
        <w:t xml:space="preserve">Important </w:t>
      </w:r>
      <w:r w:rsidR="008D5D8A" w:rsidRPr="00D3389D">
        <w:rPr>
          <w:b/>
          <w:color w:val="FF0000"/>
        </w:rPr>
        <w:t>Note:</w:t>
      </w:r>
      <w:r w:rsidR="008D5D8A" w:rsidRPr="00D3389D">
        <w:rPr>
          <w:color w:val="FF0000"/>
        </w:rPr>
        <w:t xml:space="preserve"> </w:t>
      </w:r>
      <w:r w:rsidR="0032700B" w:rsidRPr="008D5D8A">
        <w:t xml:space="preserve">In the online survey tool, </w:t>
      </w:r>
      <w:r w:rsidR="008D5D8A" w:rsidRPr="008D5D8A">
        <w:t>m</w:t>
      </w:r>
      <w:r w:rsidR="00910DD8" w:rsidRPr="008D5D8A">
        <w:t>ake sure</w:t>
      </w:r>
      <w:r w:rsidR="00910DD8">
        <w:t xml:space="preserve"> to click</w:t>
      </w:r>
      <w:r w:rsidR="0032700B">
        <w:t xml:space="preserve"> the</w:t>
      </w:r>
      <w:r w:rsidR="00910DD8">
        <w:t xml:space="preserve"> </w:t>
      </w:r>
      <w:r w:rsidR="00910DD8">
        <w:rPr>
          <w:b/>
        </w:rPr>
        <w:t>“Review of this Practi</w:t>
      </w:r>
      <w:r w:rsidR="0032700B">
        <w:rPr>
          <w:b/>
        </w:rPr>
        <w:t>ce Complete” checkbox at the bottom</w:t>
      </w:r>
      <w:r w:rsidR="00A926B0">
        <w:rPr>
          <w:b/>
        </w:rPr>
        <w:t xml:space="preserve"> of each safe p</w:t>
      </w:r>
      <w:r w:rsidR="00910DD8">
        <w:rPr>
          <w:b/>
        </w:rPr>
        <w:t>ractice</w:t>
      </w:r>
      <w:r w:rsidR="00910DD8">
        <w:t xml:space="preserve"> even if no items are checked, t</w:t>
      </w:r>
      <w:r w:rsidR="0032700B">
        <w:t>o mark the Safe Practice</w:t>
      </w:r>
      <w:r w:rsidR="00A926B0">
        <w:t xml:space="preserve"> as complete</w:t>
      </w:r>
      <w:r w:rsidR="00910DD8">
        <w:t xml:space="preserve">. This checkbox </w:t>
      </w:r>
      <w:r w:rsidR="0032700B">
        <w:t xml:space="preserve">must be checked for all eight </w:t>
      </w:r>
      <w:r w:rsidR="00910DD8">
        <w:t>Safe Practices</w:t>
      </w:r>
      <w:r w:rsidR="0032700B">
        <w:t xml:space="preserve"> in order to affirm Section 6 in the online survey tool. </w:t>
      </w:r>
    </w:p>
    <w:p w14:paraId="6A8FC8C8" w14:textId="77777777" w:rsidR="00E46E38" w:rsidRPr="00A15EC6" w:rsidRDefault="00E46E38" w:rsidP="00A15EC6">
      <w:pPr>
        <w:rPr>
          <w:b/>
          <w:snapToGrid w:val="0"/>
          <w:color w:val="000000"/>
        </w:rPr>
      </w:pPr>
    </w:p>
    <w:p w14:paraId="29169EC3" w14:textId="77777777" w:rsidR="006E5CEA" w:rsidRDefault="006E5CEA">
      <w:pPr>
        <w:rPr>
          <w:b/>
          <w:bCs/>
          <w:i/>
          <w:sz w:val="28"/>
        </w:rPr>
      </w:pPr>
      <w:r>
        <w:rPr>
          <w:b/>
          <w:bCs/>
          <w:i/>
          <w:sz w:val="28"/>
        </w:rPr>
        <w:br w:type="page"/>
      </w:r>
    </w:p>
    <w:p w14:paraId="63D56D37" w14:textId="77777777" w:rsidR="008910AA" w:rsidRPr="00F444E1" w:rsidRDefault="004802A3" w:rsidP="00954B73">
      <w:pPr>
        <w:pStyle w:val="Heading2"/>
        <w:rPr>
          <w:snapToGrid w:val="0"/>
        </w:rPr>
      </w:pPr>
      <w:bookmarkStart w:id="247" w:name="_Toc447195047"/>
      <w:bookmarkStart w:id="248" w:name="SP1"/>
      <w:r>
        <w:rPr>
          <w:snapToGrid w:val="0"/>
        </w:rPr>
        <w:lastRenderedPageBreak/>
        <w:t xml:space="preserve">6A: </w:t>
      </w:r>
      <w:r w:rsidR="00F01A72">
        <w:rPr>
          <w:bCs/>
        </w:rPr>
        <w:t xml:space="preserve">Practice #1 - </w:t>
      </w:r>
      <w:r w:rsidR="00A14A5A" w:rsidRPr="009007C4">
        <w:rPr>
          <w:bCs/>
        </w:rPr>
        <w:t xml:space="preserve">Culture of Safety </w:t>
      </w:r>
      <w:r w:rsidR="008910AA" w:rsidRPr="009007C4">
        <w:t>Leadership Structures and Systems</w:t>
      </w:r>
      <w:bookmarkEnd w:id="247"/>
    </w:p>
    <w:bookmarkEnd w:id="248"/>
    <w:p w14:paraId="0DCBB0AC" w14:textId="77777777" w:rsidR="008910AA" w:rsidRDefault="008910AA" w:rsidP="002444B0">
      <w:pPr>
        <w:rPr>
          <w:i/>
        </w:rPr>
      </w:pPr>
      <w:r>
        <w:rPr>
          <w:i/>
        </w:rPr>
        <w:t>(</w:t>
      </w:r>
      <w:r w:rsidR="001D5424">
        <w:rPr>
          <w:i/>
        </w:rPr>
        <w:t>P</w:t>
      </w:r>
      <w:r w:rsidR="00D3669B">
        <w:rPr>
          <w:i/>
        </w:rPr>
        <w:t>age</w:t>
      </w:r>
      <w:r>
        <w:rPr>
          <w:i/>
        </w:rPr>
        <w:t xml:space="preserve"> numbers reference NQF Safe Practices for Better Healthcare – 2010 Update report)</w:t>
      </w:r>
    </w:p>
    <w:p w14:paraId="5A457A38" w14:textId="77777777" w:rsidR="008910AA" w:rsidRDefault="008910AA">
      <w:pPr>
        <w:rPr>
          <w:bCs/>
          <w:i/>
        </w:rPr>
      </w:pPr>
    </w:p>
    <w:p w14:paraId="366E97FA" w14:textId="77777777" w:rsidR="008910AA" w:rsidRPr="004400AA" w:rsidRDefault="008910AA">
      <w:pPr>
        <w:rPr>
          <w:b/>
          <w:bCs/>
          <w:i/>
        </w:rPr>
      </w:pPr>
      <w:r w:rsidRPr="004400AA">
        <w:rPr>
          <w:b/>
          <w:bCs/>
          <w:i/>
        </w:rPr>
        <w:t>Check all boxes that apply.</w:t>
      </w:r>
    </w:p>
    <w:p w14:paraId="4BC91F4C" w14:textId="77777777" w:rsidR="004400AA" w:rsidRDefault="004400AA">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4C1722C9" w14:textId="77777777" w:rsidTr="006856B3">
        <w:trPr>
          <w:cantSplit/>
          <w:jc w:val="center"/>
        </w:trPr>
        <w:tc>
          <w:tcPr>
            <w:tcW w:w="558" w:type="dxa"/>
            <w:tcBorders>
              <w:bottom w:val="nil"/>
            </w:tcBorders>
          </w:tcPr>
          <w:p w14:paraId="7DC27967" w14:textId="77777777" w:rsidR="008910AA" w:rsidRDefault="008910AA">
            <w:pPr>
              <w:jc w:val="center"/>
              <w:rPr>
                <w:sz w:val="16"/>
              </w:rPr>
            </w:pPr>
            <w:r>
              <w:rPr>
                <w:sz w:val="16"/>
              </w:rPr>
              <w:t>1.1</w:t>
            </w:r>
          </w:p>
        </w:tc>
        <w:tc>
          <w:tcPr>
            <w:tcW w:w="9000" w:type="dxa"/>
            <w:gridSpan w:val="2"/>
            <w:tcBorders>
              <w:bottom w:val="nil"/>
            </w:tcBorders>
          </w:tcPr>
          <w:p w14:paraId="28B8599C" w14:textId="77777777" w:rsidR="008910AA" w:rsidRDefault="008910AA">
            <w:pPr>
              <w:rPr>
                <w:b/>
              </w:rPr>
            </w:pPr>
            <w:r>
              <w:rPr>
                <w:b/>
              </w:rPr>
              <w:t>In regard to raising the awareness of key stakeholders to our organization’s efforts to improve patient safety, the following actions related to identification and mitigation of risk and hazards have been taken:</w:t>
            </w:r>
          </w:p>
          <w:p w14:paraId="43526C72" w14:textId="77777777" w:rsidR="008910AA" w:rsidRDefault="008910AA">
            <w:pPr>
              <w:jc w:val="right"/>
            </w:pPr>
          </w:p>
        </w:tc>
      </w:tr>
      <w:tr w:rsidR="008910AA" w14:paraId="7CB36125" w14:textId="77777777" w:rsidTr="006856B3">
        <w:trPr>
          <w:cantSplit/>
          <w:trHeight w:val="738"/>
          <w:jc w:val="center"/>
        </w:trPr>
        <w:tc>
          <w:tcPr>
            <w:tcW w:w="558" w:type="dxa"/>
            <w:vMerge w:val="restart"/>
            <w:tcBorders>
              <w:top w:val="nil"/>
            </w:tcBorders>
            <w:textDirection w:val="btLr"/>
          </w:tcPr>
          <w:p w14:paraId="2E9E5CE6" w14:textId="77777777" w:rsidR="008910AA" w:rsidRDefault="008910AA">
            <w:pPr>
              <w:spacing w:before="120"/>
              <w:ind w:left="115" w:right="115"/>
              <w:jc w:val="center"/>
              <w:rPr>
                <w:sz w:val="16"/>
              </w:rPr>
            </w:pPr>
            <w:r>
              <w:rPr>
                <w:sz w:val="16"/>
              </w:rPr>
              <w:t>AWARENESS</w:t>
            </w:r>
          </w:p>
        </w:tc>
        <w:tc>
          <w:tcPr>
            <w:tcW w:w="720" w:type="dxa"/>
            <w:tcBorders>
              <w:top w:val="nil"/>
              <w:bottom w:val="nil"/>
              <w:right w:val="nil"/>
            </w:tcBorders>
          </w:tcPr>
          <w:p w14:paraId="0C5EC244" w14:textId="77777777" w:rsidR="008910AA" w:rsidRPr="00A15048" w:rsidRDefault="008910AA">
            <w:pPr>
              <w:jc w:val="right"/>
              <w:rPr>
                <w:u w:val="single"/>
              </w:rPr>
            </w:pPr>
            <w:r w:rsidRPr="00A15048">
              <w:rPr>
                <w:sz w:val="16"/>
              </w:rPr>
              <w:t xml:space="preserve">a </w:t>
            </w:r>
            <w:r w:rsidRPr="00A15048">
              <w:rPr>
                <w:b/>
              </w:rPr>
              <w:sym w:font="Wingdings" w:char="F06F"/>
            </w:r>
            <w:r w:rsidRPr="00A15048">
              <w:rPr>
                <w:b/>
              </w:rPr>
              <w:t xml:space="preserve"> </w:t>
            </w:r>
          </w:p>
        </w:tc>
        <w:tc>
          <w:tcPr>
            <w:tcW w:w="8280" w:type="dxa"/>
            <w:tcBorders>
              <w:top w:val="nil"/>
              <w:left w:val="nil"/>
              <w:bottom w:val="nil"/>
            </w:tcBorders>
          </w:tcPr>
          <w:p w14:paraId="2A4F74F5" w14:textId="5F4AF023" w:rsidR="00050E05" w:rsidRPr="00A15048" w:rsidRDefault="00904FBB" w:rsidP="00955F8B">
            <w:r>
              <w:t>b</w:t>
            </w:r>
            <w:r w:rsidR="008910AA" w:rsidRPr="00A15048">
              <w:t>oard (governance) minutes for the past 12 months reflect regular communication regarding</w:t>
            </w:r>
            <w:r w:rsidR="005229BF" w:rsidRPr="00A15048">
              <w:t xml:space="preserve"> </w:t>
            </w:r>
            <w:r w:rsidR="005229BF" w:rsidRPr="00A15048">
              <w:rPr>
                <w:b/>
              </w:rPr>
              <w:t>all</w:t>
            </w:r>
            <w:r w:rsidR="005229BF" w:rsidRPr="00A15048">
              <w:t xml:space="preserve"> three of the following</w:t>
            </w:r>
            <w:r w:rsidR="00050E05" w:rsidRPr="00A15048">
              <w:t>:</w:t>
            </w:r>
          </w:p>
          <w:p w14:paraId="4546B511" w14:textId="77777777" w:rsidR="00050E05" w:rsidRPr="00A15048" w:rsidRDefault="00704FDE" w:rsidP="00ED58C1">
            <w:pPr>
              <w:pStyle w:val="ListParagraph"/>
              <w:numPr>
                <w:ilvl w:val="0"/>
                <w:numId w:val="40"/>
              </w:numPr>
            </w:pPr>
            <w:r w:rsidRPr="00A15048">
              <w:t>r</w:t>
            </w:r>
            <w:r w:rsidR="008910AA" w:rsidRPr="00A15048">
              <w:t>isks</w:t>
            </w:r>
            <w:r w:rsidR="00050E05" w:rsidRPr="00A15048">
              <w:t xml:space="preserve"> and </w:t>
            </w:r>
            <w:r w:rsidR="008910AA" w:rsidRPr="00A15048">
              <w:t>hazards</w:t>
            </w:r>
            <w:r w:rsidR="00050E05" w:rsidRPr="00A15048">
              <w:t xml:space="preserve"> (as defined by </w:t>
            </w:r>
            <w:r w:rsidR="00050E05" w:rsidRPr="00A15048">
              <w:rPr>
                <w:i/>
              </w:rPr>
              <w:t>Safe Practice #4, Identification and Mitigation of Risks and Hazards</w:t>
            </w:r>
            <w:r w:rsidR="00050E05" w:rsidRPr="00397A25">
              <w:rPr>
                <w:i/>
              </w:rPr>
              <w:t>)</w:t>
            </w:r>
            <w:r w:rsidR="00050E05" w:rsidRPr="00A15048">
              <w:t>;</w:t>
            </w:r>
          </w:p>
          <w:p w14:paraId="449D33C1" w14:textId="77777777" w:rsidR="00050E05" w:rsidRPr="00A15048" w:rsidRDefault="00704FDE" w:rsidP="00ED58C1">
            <w:pPr>
              <w:pStyle w:val="ListParagraph"/>
              <w:numPr>
                <w:ilvl w:val="0"/>
                <w:numId w:val="40"/>
              </w:numPr>
            </w:pPr>
            <w:r w:rsidRPr="00A15048">
              <w:t>c</w:t>
            </w:r>
            <w:r w:rsidR="008910AA" w:rsidRPr="00A15048">
              <w:t>ulture measurement</w:t>
            </w:r>
            <w:r w:rsidR="00050E05" w:rsidRPr="00A15048">
              <w:t xml:space="preserve"> (as defined by </w:t>
            </w:r>
            <w:r w:rsidR="00050E05" w:rsidRPr="00A15048">
              <w:rPr>
                <w:i/>
              </w:rPr>
              <w:t>Safe Practice #2,</w:t>
            </w:r>
            <w:r w:rsidR="00050E05" w:rsidRPr="00A15048">
              <w:t xml:space="preserve"> </w:t>
            </w:r>
            <w:r w:rsidR="00050E05" w:rsidRPr="00A15048">
              <w:rPr>
                <w:i/>
              </w:rPr>
              <w:t>Culture Measurement</w:t>
            </w:r>
            <w:r w:rsidR="00050E05" w:rsidRPr="00A15048">
              <w:t xml:space="preserve">, </w:t>
            </w:r>
            <w:r w:rsidR="00050E05" w:rsidRPr="00A15048">
              <w:rPr>
                <w:i/>
              </w:rPr>
              <w:t>Feedback, and Intervention</w:t>
            </w:r>
            <w:r w:rsidR="00050E05" w:rsidRPr="00A15048">
              <w:t>); and,</w:t>
            </w:r>
          </w:p>
          <w:p w14:paraId="5DD74023" w14:textId="77777777" w:rsidR="008910AA" w:rsidRDefault="00704FDE" w:rsidP="00ED58C1">
            <w:pPr>
              <w:pStyle w:val="ListParagraph"/>
              <w:numPr>
                <w:ilvl w:val="0"/>
                <w:numId w:val="40"/>
              </w:numPr>
              <w:contextualSpacing w:val="0"/>
            </w:pPr>
            <w:r w:rsidRPr="00A15048">
              <w:t>p</w:t>
            </w:r>
            <w:r w:rsidR="008910AA" w:rsidRPr="00A15048">
              <w:t>rogress towards resolution of safety and quality problems. (p.75)</w:t>
            </w:r>
          </w:p>
          <w:p w14:paraId="25C4746E" w14:textId="77777777" w:rsidR="00955F8B" w:rsidRPr="00A15048" w:rsidRDefault="00955F8B" w:rsidP="00955F8B">
            <w:pPr>
              <w:pStyle w:val="ListParagraph"/>
              <w:contextualSpacing w:val="0"/>
            </w:pPr>
          </w:p>
        </w:tc>
      </w:tr>
      <w:tr w:rsidR="008910AA" w14:paraId="6B2C97C5" w14:textId="77777777" w:rsidTr="006856B3">
        <w:trPr>
          <w:cantSplit/>
          <w:jc w:val="center"/>
        </w:trPr>
        <w:tc>
          <w:tcPr>
            <w:tcW w:w="558" w:type="dxa"/>
            <w:vMerge/>
          </w:tcPr>
          <w:p w14:paraId="08A2C9B2" w14:textId="77777777" w:rsidR="008910AA" w:rsidRDefault="008910AA">
            <w:pPr>
              <w:jc w:val="center"/>
              <w:rPr>
                <w:sz w:val="16"/>
              </w:rPr>
            </w:pPr>
          </w:p>
        </w:tc>
        <w:tc>
          <w:tcPr>
            <w:tcW w:w="720" w:type="dxa"/>
            <w:tcBorders>
              <w:top w:val="nil"/>
              <w:bottom w:val="nil"/>
              <w:right w:val="nil"/>
            </w:tcBorders>
          </w:tcPr>
          <w:p w14:paraId="682071E0" w14:textId="77777777" w:rsidR="008910AA" w:rsidRPr="00A15048" w:rsidRDefault="008910AA">
            <w:pPr>
              <w:jc w:val="right"/>
              <w:rPr>
                <w:sz w:val="16"/>
              </w:rPr>
            </w:pPr>
            <w:r w:rsidRPr="00A15048">
              <w:rPr>
                <w:sz w:val="16"/>
              </w:rPr>
              <w:t xml:space="preserve">b </w:t>
            </w:r>
            <w:r w:rsidRPr="00A15048">
              <w:rPr>
                <w:b/>
              </w:rPr>
              <w:sym w:font="Wingdings" w:char="F06F"/>
            </w:r>
          </w:p>
        </w:tc>
        <w:tc>
          <w:tcPr>
            <w:tcW w:w="8280" w:type="dxa"/>
            <w:tcBorders>
              <w:top w:val="nil"/>
              <w:left w:val="nil"/>
              <w:bottom w:val="nil"/>
            </w:tcBorders>
          </w:tcPr>
          <w:p w14:paraId="3FBD91C4" w14:textId="59F9EB54" w:rsidR="008910AA" w:rsidRDefault="00904FBB" w:rsidP="00955F8B">
            <w:r>
              <w:t>p</w:t>
            </w:r>
            <w:r w:rsidR="008910AA" w:rsidRPr="00A15048">
              <w:t>atients</w:t>
            </w:r>
            <w:r w:rsidR="002B3707" w:rsidRPr="00A15048">
              <w:t xml:space="preserve"> (</w:t>
            </w:r>
            <w:r w:rsidR="00BA3240" w:rsidRPr="00A15048">
              <w:t>who are not employed by the organization</w:t>
            </w:r>
            <w:r w:rsidR="002B3707" w:rsidRPr="00A15048">
              <w:t>)</w:t>
            </w:r>
            <w:r w:rsidR="008910AA" w:rsidRPr="00A15048">
              <w:t xml:space="preserve"> and family of </w:t>
            </w:r>
            <w:r w:rsidR="008910AA" w:rsidRPr="004619D7">
              <w:t xml:space="preserve">patients are </w:t>
            </w:r>
            <w:r w:rsidR="00B17EC2" w:rsidRPr="004619D7">
              <w:t>active</w:t>
            </w:r>
            <w:r w:rsidR="008910AA" w:rsidRPr="00A15048">
              <w:t xml:space="preserve"> participants in safety and quality committees that meet on a regularly scheduled basis</w:t>
            </w:r>
            <w:r w:rsidR="00F443D9">
              <w:t xml:space="preserve"> (e.g. biannually</w:t>
            </w:r>
            <w:r w:rsidR="0092134E">
              <w:t xml:space="preserve"> or quarterly)</w:t>
            </w:r>
            <w:r w:rsidR="008910AA" w:rsidRPr="00A15048">
              <w:t xml:space="preserve">. (p.75) </w:t>
            </w:r>
          </w:p>
          <w:p w14:paraId="668DDB8D" w14:textId="77777777" w:rsidR="00955F8B" w:rsidRPr="00A15048" w:rsidRDefault="00955F8B" w:rsidP="00955F8B"/>
        </w:tc>
      </w:tr>
      <w:tr w:rsidR="008910AA" w14:paraId="7641A9E5" w14:textId="77777777" w:rsidTr="006856B3">
        <w:trPr>
          <w:cantSplit/>
          <w:jc w:val="center"/>
        </w:trPr>
        <w:tc>
          <w:tcPr>
            <w:tcW w:w="558" w:type="dxa"/>
            <w:vMerge/>
          </w:tcPr>
          <w:p w14:paraId="28C761D2" w14:textId="77777777" w:rsidR="008910AA" w:rsidRDefault="008910AA">
            <w:pPr>
              <w:jc w:val="center"/>
              <w:rPr>
                <w:sz w:val="16"/>
              </w:rPr>
            </w:pPr>
          </w:p>
        </w:tc>
        <w:tc>
          <w:tcPr>
            <w:tcW w:w="720" w:type="dxa"/>
            <w:tcBorders>
              <w:top w:val="nil"/>
              <w:bottom w:val="nil"/>
              <w:right w:val="nil"/>
            </w:tcBorders>
          </w:tcPr>
          <w:p w14:paraId="04007582" w14:textId="77777777" w:rsidR="008910AA" w:rsidRPr="00A15048" w:rsidRDefault="008910AA">
            <w:pPr>
              <w:jc w:val="right"/>
              <w:rPr>
                <w:sz w:val="16"/>
              </w:rPr>
            </w:pPr>
            <w:r w:rsidRPr="00A15048">
              <w:rPr>
                <w:sz w:val="16"/>
              </w:rPr>
              <w:t xml:space="preserve">c </w:t>
            </w:r>
            <w:r w:rsidRPr="00A15048">
              <w:rPr>
                <w:b/>
              </w:rPr>
              <w:sym w:font="Wingdings" w:char="F06F"/>
            </w:r>
          </w:p>
        </w:tc>
        <w:tc>
          <w:tcPr>
            <w:tcW w:w="8280" w:type="dxa"/>
            <w:tcBorders>
              <w:top w:val="nil"/>
              <w:left w:val="nil"/>
              <w:bottom w:val="nil"/>
            </w:tcBorders>
          </w:tcPr>
          <w:p w14:paraId="20A8A2E4" w14:textId="77777777" w:rsidR="008910AA" w:rsidRDefault="008910AA" w:rsidP="00955F8B">
            <w:r w:rsidRPr="00A15048">
              <w:t>steps have been taken to report to the community in the last 12 months of ongoing efforts to improve safety and quality in the organization and the results of these efforts. (p.75)</w:t>
            </w:r>
          </w:p>
          <w:p w14:paraId="007DD42E" w14:textId="77777777" w:rsidR="00955F8B" w:rsidRPr="00A15048" w:rsidRDefault="00955F8B" w:rsidP="00955F8B"/>
        </w:tc>
      </w:tr>
      <w:tr w:rsidR="008910AA" w14:paraId="1FC0F07E" w14:textId="77777777" w:rsidTr="006856B3">
        <w:trPr>
          <w:cantSplit/>
          <w:jc w:val="center"/>
        </w:trPr>
        <w:tc>
          <w:tcPr>
            <w:tcW w:w="558" w:type="dxa"/>
            <w:vMerge/>
          </w:tcPr>
          <w:p w14:paraId="501FB771" w14:textId="77777777" w:rsidR="008910AA" w:rsidRDefault="008910AA">
            <w:pPr>
              <w:jc w:val="center"/>
              <w:rPr>
                <w:sz w:val="16"/>
              </w:rPr>
            </w:pPr>
          </w:p>
        </w:tc>
        <w:tc>
          <w:tcPr>
            <w:tcW w:w="720" w:type="dxa"/>
            <w:tcBorders>
              <w:top w:val="nil"/>
              <w:right w:val="nil"/>
            </w:tcBorders>
          </w:tcPr>
          <w:p w14:paraId="6BCD5C2A" w14:textId="77777777" w:rsidR="008910AA" w:rsidRPr="00A15048" w:rsidRDefault="008910AA">
            <w:pPr>
              <w:jc w:val="right"/>
              <w:rPr>
                <w:u w:val="single"/>
              </w:rPr>
            </w:pPr>
            <w:r w:rsidRPr="00A15048">
              <w:rPr>
                <w:sz w:val="16"/>
              </w:rPr>
              <w:t xml:space="preserve">d </w:t>
            </w:r>
            <w:r w:rsidRPr="00A15048">
              <w:rPr>
                <w:b/>
              </w:rPr>
              <w:sym w:font="Wingdings" w:char="F06F"/>
            </w:r>
          </w:p>
        </w:tc>
        <w:tc>
          <w:tcPr>
            <w:tcW w:w="8280" w:type="dxa"/>
            <w:tcBorders>
              <w:top w:val="nil"/>
              <w:left w:val="nil"/>
            </w:tcBorders>
          </w:tcPr>
          <w:p w14:paraId="4055A999" w14:textId="77777777" w:rsidR="008910AA" w:rsidRPr="00A15048" w:rsidRDefault="008910AA" w:rsidP="00955F8B">
            <w:r w:rsidRPr="00A15048">
              <w:t>all staff and independent practitioners were made aware in the past 12 months of ongoing efforts to reduce risks and hazards and to improve patient safety and quality in the organization. (p.75)</w:t>
            </w:r>
          </w:p>
          <w:p w14:paraId="3158339E" w14:textId="77777777" w:rsidR="008910AA" w:rsidRPr="00A15048" w:rsidRDefault="008910AA" w:rsidP="00955F8B"/>
        </w:tc>
      </w:tr>
      <w:tr w:rsidR="008910AA" w14:paraId="105D7C03" w14:textId="77777777" w:rsidTr="006856B3">
        <w:trPr>
          <w:cantSplit/>
          <w:jc w:val="center"/>
        </w:trPr>
        <w:tc>
          <w:tcPr>
            <w:tcW w:w="558" w:type="dxa"/>
            <w:tcBorders>
              <w:bottom w:val="nil"/>
            </w:tcBorders>
          </w:tcPr>
          <w:p w14:paraId="47D6DF2D" w14:textId="77777777" w:rsidR="008910AA" w:rsidRDefault="008910AA">
            <w:pPr>
              <w:jc w:val="center"/>
            </w:pPr>
            <w:r>
              <w:rPr>
                <w:sz w:val="16"/>
              </w:rPr>
              <w:t>1.2</w:t>
            </w:r>
          </w:p>
        </w:tc>
        <w:tc>
          <w:tcPr>
            <w:tcW w:w="9000" w:type="dxa"/>
            <w:gridSpan w:val="2"/>
            <w:tcBorders>
              <w:bottom w:val="nil"/>
            </w:tcBorders>
          </w:tcPr>
          <w:p w14:paraId="193C8D2E" w14:textId="77777777" w:rsidR="008910AA" w:rsidRPr="00A15048" w:rsidRDefault="008910AA">
            <w:pPr>
              <w:rPr>
                <w:b/>
              </w:rPr>
            </w:pPr>
            <w:r w:rsidRPr="00A15048">
              <w:rPr>
                <w:b/>
              </w:rPr>
              <w:t xml:space="preserve">In regard to holding the Board, senior management, mid-level management, physician leadership, and frontline caregivers directly accountable for results related to </w:t>
            </w:r>
            <w:r w:rsidR="00B17EC2">
              <w:rPr>
                <w:b/>
              </w:rPr>
              <w:t>identifying and reducing unsafe practices</w:t>
            </w:r>
            <w:r w:rsidRPr="00A15048">
              <w:rPr>
                <w:b/>
              </w:rPr>
              <w:t>, the organization has done the following:</w:t>
            </w:r>
          </w:p>
          <w:p w14:paraId="4300CA4B" w14:textId="77777777" w:rsidR="008910AA" w:rsidRPr="00A15048" w:rsidRDefault="008910AA">
            <w:pPr>
              <w:rPr>
                <w:b/>
              </w:rPr>
            </w:pPr>
          </w:p>
        </w:tc>
      </w:tr>
      <w:tr w:rsidR="008910AA" w14:paraId="135967BA" w14:textId="77777777" w:rsidTr="006856B3">
        <w:trPr>
          <w:cantSplit/>
          <w:jc w:val="center"/>
        </w:trPr>
        <w:tc>
          <w:tcPr>
            <w:tcW w:w="558" w:type="dxa"/>
            <w:vMerge w:val="restart"/>
            <w:tcBorders>
              <w:top w:val="nil"/>
            </w:tcBorders>
            <w:textDirection w:val="btLr"/>
          </w:tcPr>
          <w:p w14:paraId="6D6B2D9E" w14:textId="77777777" w:rsidR="008910AA" w:rsidRDefault="008910AA">
            <w:pPr>
              <w:spacing w:before="120"/>
              <w:ind w:left="115" w:right="115"/>
              <w:jc w:val="center"/>
              <w:rPr>
                <w:sz w:val="16"/>
              </w:rPr>
            </w:pPr>
            <w:r>
              <w:rPr>
                <w:sz w:val="16"/>
              </w:rPr>
              <w:t>ACCOUNTABILITY</w:t>
            </w:r>
          </w:p>
        </w:tc>
        <w:tc>
          <w:tcPr>
            <w:tcW w:w="720" w:type="dxa"/>
            <w:tcBorders>
              <w:top w:val="nil"/>
              <w:bottom w:val="nil"/>
              <w:right w:val="nil"/>
            </w:tcBorders>
          </w:tcPr>
          <w:p w14:paraId="43C1FEE2" w14:textId="77777777" w:rsidR="008910AA" w:rsidRPr="00A15048" w:rsidRDefault="008910AA">
            <w:pPr>
              <w:jc w:val="right"/>
              <w:rPr>
                <w:u w:val="single"/>
              </w:rPr>
            </w:pPr>
            <w:r w:rsidRPr="00A15048">
              <w:rPr>
                <w:sz w:val="16"/>
              </w:rPr>
              <w:t xml:space="preserve">a </w:t>
            </w:r>
            <w:r w:rsidRPr="00A15048">
              <w:rPr>
                <w:b/>
              </w:rPr>
              <w:sym w:font="Wingdings" w:char="F06F"/>
            </w:r>
            <w:r w:rsidRPr="00A15048">
              <w:rPr>
                <w:b/>
              </w:rPr>
              <w:t xml:space="preserve"> </w:t>
            </w:r>
          </w:p>
        </w:tc>
        <w:tc>
          <w:tcPr>
            <w:tcW w:w="8280" w:type="dxa"/>
            <w:tcBorders>
              <w:top w:val="nil"/>
              <w:left w:val="nil"/>
              <w:bottom w:val="nil"/>
            </w:tcBorders>
          </w:tcPr>
          <w:p w14:paraId="045C00F1" w14:textId="77777777" w:rsidR="008910AA" w:rsidRDefault="008910AA" w:rsidP="001127F4">
            <w:r w:rsidRPr="00A15048">
              <w:t>an integrated, patient safety program has been in place for at least the past 12 months providing oversight and alignment of safe practice activities. (p.76)</w:t>
            </w:r>
          </w:p>
          <w:p w14:paraId="589CD30C" w14:textId="77777777" w:rsidR="001127F4" w:rsidRPr="00A15048" w:rsidRDefault="001127F4" w:rsidP="001127F4"/>
        </w:tc>
      </w:tr>
      <w:tr w:rsidR="008910AA" w14:paraId="64CC6619" w14:textId="77777777" w:rsidTr="006856B3">
        <w:trPr>
          <w:cantSplit/>
          <w:jc w:val="center"/>
        </w:trPr>
        <w:tc>
          <w:tcPr>
            <w:tcW w:w="558" w:type="dxa"/>
            <w:vMerge/>
            <w:tcBorders>
              <w:bottom w:val="nil"/>
            </w:tcBorders>
          </w:tcPr>
          <w:p w14:paraId="67ED016A" w14:textId="77777777" w:rsidR="008910AA" w:rsidRDefault="008910AA">
            <w:pPr>
              <w:jc w:val="center"/>
              <w:rPr>
                <w:sz w:val="16"/>
              </w:rPr>
            </w:pPr>
          </w:p>
        </w:tc>
        <w:tc>
          <w:tcPr>
            <w:tcW w:w="720" w:type="dxa"/>
            <w:tcBorders>
              <w:top w:val="nil"/>
              <w:bottom w:val="nil"/>
              <w:right w:val="nil"/>
            </w:tcBorders>
          </w:tcPr>
          <w:p w14:paraId="0A5C3E37" w14:textId="77777777" w:rsidR="008910AA" w:rsidRPr="00A15048" w:rsidRDefault="008910AA">
            <w:pPr>
              <w:jc w:val="right"/>
              <w:rPr>
                <w:sz w:val="16"/>
              </w:rPr>
            </w:pPr>
            <w:r w:rsidRPr="00A15048">
              <w:rPr>
                <w:sz w:val="16"/>
              </w:rPr>
              <w:t xml:space="preserve">b </w:t>
            </w:r>
            <w:r w:rsidRPr="00A15048">
              <w:rPr>
                <w:b/>
              </w:rPr>
              <w:sym w:font="Wingdings" w:char="F06F"/>
            </w:r>
          </w:p>
        </w:tc>
        <w:tc>
          <w:tcPr>
            <w:tcW w:w="8280" w:type="dxa"/>
            <w:tcBorders>
              <w:top w:val="nil"/>
              <w:left w:val="nil"/>
              <w:bottom w:val="nil"/>
            </w:tcBorders>
          </w:tcPr>
          <w:p w14:paraId="0FCB7D61" w14:textId="77777777" w:rsidR="008910AA" w:rsidRDefault="002B2AE8" w:rsidP="001127F4">
            <w:r w:rsidRPr="00A15048">
              <w:t xml:space="preserve">a </w:t>
            </w:r>
            <w:r w:rsidR="008910AA" w:rsidRPr="00A15048">
              <w:t>patient safety officer (PSO) has been appointed and communicates regularly with the Board (governance) and senior administrative leadership; the PSO is the primary point of contact of the integrated, patient safety program. (p.76)</w:t>
            </w:r>
          </w:p>
          <w:p w14:paraId="0C95AAF6" w14:textId="77777777" w:rsidR="001127F4" w:rsidRPr="00A15048" w:rsidRDefault="001127F4" w:rsidP="001127F4"/>
        </w:tc>
      </w:tr>
      <w:tr w:rsidR="008910AA" w14:paraId="10D471EF" w14:textId="77777777" w:rsidTr="006856B3">
        <w:trPr>
          <w:cantSplit/>
          <w:jc w:val="center"/>
        </w:trPr>
        <w:tc>
          <w:tcPr>
            <w:tcW w:w="558" w:type="dxa"/>
            <w:vMerge/>
            <w:tcBorders>
              <w:top w:val="nil"/>
            </w:tcBorders>
          </w:tcPr>
          <w:p w14:paraId="1075B8E8" w14:textId="77777777" w:rsidR="008910AA" w:rsidRDefault="008910AA">
            <w:pPr>
              <w:jc w:val="center"/>
              <w:rPr>
                <w:sz w:val="16"/>
              </w:rPr>
            </w:pPr>
          </w:p>
        </w:tc>
        <w:tc>
          <w:tcPr>
            <w:tcW w:w="720" w:type="dxa"/>
            <w:tcBorders>
              <w:top w:val="nil"/>
              <w:bottom w:val="nil"/>
              <w:right w:val="nil"/>
            </w:tcBorders>
          </w:tcPr>
          <w:p w14:paraId="0F435E5F" w14:textId="77777777" w:rsidR="008910AA" w:rsidRPr="00A15048" w:rsidRDefault="008910AA">
            <w:pPr>
              <w:jc w:val="right"/>
              <w:rPr>
                <w:sz w:val="16"/>
              </w:rPr>
            </w:pPr>
            <w:r w:rsidRPr="00A15048">
              <w:rPr>
                <w:sz w:val="16"/>
              </w:rPr>
              <w:t xml:space="preserve">c </w:t>
            </w:r>
            <w:r w:rsidRPr="00A15048">
              <w:rPr>
                <w:b/>
              </w:rPr>
              <w:sym w:font="Wingdings" w:char="F06F"/>
            </w:r>
          </w:p>
        </w:tc>
        <w:tc>
          <w:tcPr>
            <w:tcW w:w="8280" w:type="dxa"/>
            <w:tcBorders>
              <w:top w:val="nil"/>
              <w:left w:val="nil"/>
              <w:bottom w:val="nil"/>
            </w:tcBorders>
          </w:tcPr>
          <w:p w14:paraId="26881DEF" w14:textId="77777777" w:rsidR="008910AA" w:rsidRDefault="008910AA" w:rsidP="001127F4">
            <w:r w:rsidRPr="00A15048">
              <w:t xml:space="preserve">performance has been documented in performance reviews and/or compensation incentives for all levels of hospital management and hospital-employed caregivers noted above. (p.76) </w:t>
            </w:r>
          </w:p>
          <w:p w14:paraId="4EF10EDF" w14:textId="77777777" w:rsidR="001127F4" w:rsidRPr="00A15048" w:rsidRDefault="001127F4" w:rsidP="001127F4"/>
        </w:tc>
      </w:tr>
      <w:tr w:rsidR="008910AA" w14:paraId="2ED0E450" w14:textId="77777777" w:rsidTr="006856B3">
        <w:trPr>
          <w:cantSplit/>
          <w:jc w:val="center"/>
        </w:trPr>
        <w:tc>
          <w:tcPr>
            <w:tcW w:w="558" w:type="dxa"/>
            <w:vMerge/>
            <w:tcBorders>
              <w:top w:val="nil"/>
            </w:tcBorders>
          </w:tcPr>
          <w:p w14:paraId="41238709" w14:textId="77777777" w:rsidR="008910AA" w:rsidRDefault="008910AA">
            <w:pPr>
              <w:jc w:val="center"/>
              <w:rPr>
                <w:sz w:val="16"/>
              </w:rPr>
            </w:pPr>
          </w:p>
        </w:tc>
        <w:tc>
          <w:tcPr>
            <w:tcW w:w="720" w:type="dxa"/>
            <w:tcBorders>
              <w:top w:val="nil"/>
              <w:bottom w:val="nil"/>
              <w:right w:val="nil"/>
            </w:tcBorders>
          </w:tcPr>
          <w:p w14:paraId="0B003A5E" w14:textId="77777777" w:rsidR="008910AA" w:rsidRPr="00A15048" w:rsidRDefault="008910AA">
            <w:pPr>
              <w:jc w:val="right"/>
              <w:rPr>
                <w:sz w:val="16"/>
              </w:rPr>
            </w:pPr>
            <w:r w:rsidRPr="00A15048">
              <w:rPr>
                <w:sz w:val="16"/>
              </w:rPr>
              <w:t xml:space="preserve">d </w:t>
            </w:r>
            <w:r w:rsidRPr="00A15048">
              <w:rPr>
                <w:b/>
              </w:rPr>
              <w:sym w:font="Wingdings" w:char="F06F"/>
            </w:r>
          </w:p>
        </w:tc>
        <w:tc>
          <w:tcPr>
            <w:tcW w:w="8280" w:type="dxa"/>
            <w:tcBorders>
              <w:top w:val="nil"/>
              <w:left w:val="nil"/>
              <w:bottom w:val="nil"/>
            </w:tcBorders>
          </w:tcPr>
          <w:p w14:paraId="22CBD050" w14:textId="77777777" w:rsidR="00197A9C" w:rsidRPr="00A15048" w:rsidRDefault="008910AA" w:rsidP="001127F4">
            <w:r w:rsidRPr="00A15048">
              <w:t>the interdisciplinary patient safety team communicated regularly with management regarding</w:t>
            </w:r>
            <w:r w:rsidR="005229BF" w:rsidRPr="00A15048">
              <w:t xml:space="preserve"> </w:t>
            </w:r>
            <w:r w:rsidR="005229BF" w:rsidRPr="00A15048">
              <w:rPr>
                <w:b/>
              </w:rPr>
              <w:t>all</w:t>
            </w:r>
            <w:r w:rsidR="005229BF" w:rsidRPr="00A15048">
              <w:t xml:space="preserve"> three of the following</w:t>
            </w:r>
            <w:r w:rsidR="00197A9C" w:rsidRPr="00A15048">
              <w:t>:</w:t>
            </w:r>
          </w:p>
          <w:p w14:paraId="00034E54" w14:textId="77777777" w:rsidR="001127F4" w:rsidRPr="00A15048" w:rsidRDefault="008910AA" w:rsidP="00ED58C1">
            <w:pPr>
              <w:pStyle w:val="ListParagraph"/>
              <w:numPr>
                <w:ilvl w:val="0"/>
                <w:numId w:val="95"/>
              </w:numPr>
            </w:pPr>
            <w:r w:rsidRPr="00A15048">
              <w:t>root cause analyses</w:t>
            </w:r>
            <w:r w:rsidR="00197A9C" w:rsidRPr="00A15048">
              <w:t xml:space="preserve"> (as defined by </w:t>
            </w:r>
            <w:r w:rsidR="00197A9C" w:rsidRPr="001127F4">
              <w:rPr>
                <w:i/>
              </w:rPr>
              <w:t>Safe Practice #4, Culture Measurement, Feedback, and Intervention</w:t>
            </w:r>
            <w:r w:rsidR="00197A9C" w:rsidRPr="00E61F97">
              <w:t>);</w:t>
            </w:r>
            <w:r w:rsidRPr="00A15048">
              <w:t xml:space="preserve"> </w:t>
            </w:r>
          </w:p>
          <w:p w14:paraId="19E0A803" w14:textId="77777777" w:rsidR="001127F4" w:rsidRPr="00A15048" w:rsidRDefault="008910AA" w:rsidP="00ED58C1">
            <w:pPr>
              <w:pStyle w:val="ListParagraph"/>
              <w:numPr>
                <w:ilvl w:val="0"/>
                <w:numId w:val="95"/>
              </w:numPr>
            </w:pPr>
            <w:r w:rsidRPr="00A15048">
              <w:t>progress in meeting safety goals</w:t>
            </w:r>
            <w:r w:rsidR="00197A9C" w:rsidRPr="00A15048">
              <w:t>;</w:t>
            </w:r>
            <w:r w:rsidRPr="00A15048">
              <w:t xml:space="preserve"> and</w:t>
            </w:r>
            <w:r w:rsidR="00197A9C" w:rsidRPr="00A15048">
              <w:t>,</w:t>
            </w:r>
            <w:r w:rsidRPr="00A15048">
              <w:t xml:space="preserve"> </w:t>
            </w:r>
          </w:p>
          <w:p w14:paraId="5A9A371C" w14:textId="77777777" w:rsidR="00197A9C" w:rsidRPr="00A15048" w:rsidRDefault="008910AA" w:rsidP="00ED58C1">
            <w:pPr>
              <w:pStyle w:val="ListParagraph"/>
              <w:numPr>
                <w:ilvl w:val="0"/>
                <w:numId w:val="95"/>
              </w:numPr>
            </w:pPr>
            <w:r w:rsidRPr="00A15048">
              <w:t xml:space="preserve">providing team training to caregivers </w:t>
            </w:r>
            <w:r w:rsidR="00197A9C" w:rsidRPr="00A15048">
              <w:t xml:space="preserve">(as defined by </w:t>
            </w:r>
            <w:r w:rsidR="00197A9C" w:rsidRPr="001127F4">
              <w:rPr>
                <w:i/>
              </w:rPr>
              <w:t>Safe Practice #3,  Teamwork Training and Skill Buildi</w:t>
            </w:r>
            <w:r w:rsidR="00AB7128" w:rsidRPr="001127F4">
              <w:rPr>
                <w:i/>
              </w:rPr>
              <w:t>ng</w:t>
            </w:r>
            <w:r w:rsidR="00397A25" w:rsidRPr="00E61F97">
              <w:t>)</w:t>
            </w:r>
            <w:r w:rsidR="00AB7128" w:rsidRPr="00E61F97">
              <w:t>; and,</w:t>
            </w:r>
          </w:p>
          <w:p w14:paraId="6941016D" w14:textId="77777777" w:rsidR="008910AA" w:rsidRDefault="00AB7128" w:rsidP="001127F4">
            <w:r w:rsidRPr="00A15048">
              <w:t xml:space="preserve">documented these communications </w:t>
            </w:r>
            <w:r w:rsidR="008910AA" w:rsidRPr="00A15048">
              <w:t>in meeting minutes. (pp.76-77)</w:t>
            </w:r>
          </w:p>
          <w:p w14:paraId="7DE0A96E" w14:textId="77777777" w:rsidR="001127F4" w:rsidRPr="00A15048" w:rsidRDefault="001127F4" w:rsidP="001127F4"/>
        </w:tc>
      </w:tr>
      <w:tr w:rsidR="008910AA" w14:paraId="360B127A" w14:textId="77777777" w:rsidTr="006856B3">
        <w:trPr>
          <w:cantSplit/>
          <w:jc w:val="center"/>
        </w:trPr>
        <w:tc>
          <w:tcPr>
            <w:tcW w:w="558" w:type="dxa"/>
            <w:vMerge/>
          </w:tcPr>
          <w:p w14:paraId="1ED39493" w14:textId="77777777" w:rsidR="008910AA" w:rsidRDefault="008910AA">
            <w:pPr>
              <w:jc w:val="center"/>
              <w:rPr>
                <w:sz w:val="16"/>
              </w:rPr>
            </w:pPr>
          </w:p>
        </w:tc>
        <w:tc>
          <w:tcPr>
            <w:tcW w:w="720" w:type="dxa"/>
            <w:tcBorders>
              <w:top w:val="nil"/>
              <w:right w:val="nil"/>
            </w:tcBorders>
          </w:tcPr>
          <w:p w14:paraId="35F79821" w14:textId="77777777" w:rsidR="008910AA" w:rsidRDefault="008910AA">
            <w:pPr>
              <w:jc w:val="right"/>
              <w:rPr>
                <w:u w:val="single"/>
              </w:rPr>
            </w:pPr>
            <w:r>
              <w:rPr>
                <w:sz w:val="16"/>
              </w:rPr>
              <w:t xml:space="preserve">e </w:t>
            </w:r>
            <w:r>
              <w:rPr>
                <w:b/>
              </w:rPr>
              <w:sym w:font="Wingdings" w:char="F06F"/>
            </w:r>
          </w:p>
        </w:tc>
        <w:tc>
          <w:tcPr>
            <w:tcW w:w="8280" w:type="dxa"/>
            <w:tcBorders>
              <w:top w:val="nil"/>
              <w:left w:val="nil"/>
            </w:tcBorders>
          </w:tcPr>
          <w:p w14:paraId="769403D3" w14:textId="77777777" w:rsidR="008910AA" w:rsidRDefault="008910AA" w:rsidP="001127F4">
            <w:r>
              <w:t xml:space="preserve">the facility reported adverse events to external mandatory or voluntary programs. (p.77) </w:t>
            </w:r>
          </w:p>
          <w:p w14:paraId="2763ADB0" w14:textId="77777777" w:rsidR="008910AA" w:rsidRDefault="008910AA" w:rsidP="001127F4"/>
        </w:tc>
      </w:tr>
    </w:tbl>
    <w:p w14:paraId="61D0AE7B" w14:textId="77777777" w:rsidR="000751C8" w:rsidRDefault="000751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20"/>
        <w:gridCol w:w="8280"/>
      </w:tblGrid>
      <w:tr w:rsidR="008910AA" w14:paraId="300F6F9C" w14:textId="77777777">
        <w:trPr>
          <w:cantSplit/>
        </w:trPr>
        <w:tc>
          <w:tcPr>
            <w:tcW w:w="558" w:type="dxa"/>
            <w:tcBorders>
              <w:bottom w:val="nil"/>
            </w:tcBorders>
          </w:tcPr>
          <w:p w14:paraId="1DC28E8F" w14:textId="77777777" w:rsidR="008910AA" w:rsidRDefault="008910AA">
            <w:pPr>
              <w:jc w:val="center"/>
            </w:pPr>
            <w:r>
              <w:rPr>
                <w:sz w:val="16"/>
              </w:rPr>
              <w:lastRenderedPageBreak/>
              <w:t>1.3</w:t>
            </w:r>
          </w:p>
        </w:tc>
        <w:tc>
          <w:tcPr>
            <w:tcW w:w="9000" w:type="dxa"/>
            <w:gridSpan w:val="2"/>
            <w:tcBorders>
              <w:bottom w:val="nil"/>
            </w:tcBorders>
          </w:tcPr>
          <w:p w14:paraId="4BE3D0AD" w14:textId="77777777" w:rsidR="008910AA" w:rsidRDefault="008910AA">
            <w:pPr>
              <w:rPr>
                <w:b/>
              </w:rPr>
            </w:pPr>
            <w:r>
              <w:rPr>
                <w:b/>
              </w:rPr>
              <w:t>In regard to implementation of the patient safety program, the Board (governance) and senior administrative leaders have provided resources to cover the implementation during the last 12 months, and:</w:t>
            </w:r>
          </w:p>
          <w:p w14:paraId="7DC956AF" w14:textId="77777777" w:rsidR="008910AA" w:rsidRDefault="008910AA">
            <w:pPr>
              <w:rPr>
                <w:b/>
              </w:rPr>
            </w:pPr>
          </w:p>
        </w:tc>
      </w:tr>
      <w:tr w:rsidR="008910AA" w14:paraId="4EA31659" w14:textId="77777777">
        <w:trPr>
          <w:cantSplit/>
        </w:trPr>
        <w:tc>
          <w:tcPr>
            <w:tcW w:w="558" w:type="dxa"/>
            <w:vMerge w:val="restart"/>
            <w:tcBorders>
              <w:top w:val="nil"/>
            </w:tcBorders>
            <w:textDirection w:val="btLr"/>
          </w:tcPr>
          <w:p w14:paraId="5B398D36" w14:textId="77777777" w:rsidR="008910AA" w:rsidRDefault="008910AA">
            <w:pPr>
              <w:spacing w:before="120"/>
              <w:ind w:left="115" w:right="115"/>
              <w:jc w:val="center"/>
              <w:rPr>
                <w:sz w:val="16"/>
              </w:rPr>
            </w:pPr>
            <w:r>
              <w:rPr>
                <w:sz w:val="16"/>
              </w:rPr>
              <w:t>ABILITY</w:t>
            </w:r>
          </w:p>
        </w:tc>
        <w:tc>
          <w:tcPr>
            <w:tcW w:w="720" w:type="dxa"/>
            <w:tcBorders>
              <w:top w:val="nil"/>
              <w:bottom w:val="nil"/>
              <w:right w:val="nil"/>
            </w:tcBorders>
          </w:tcPr>
          <w:p w14:paraId="49EB2CC7" w14:textId="77777777" w:rsidR="008910AA" w:rsidRDefault="008910AA">
            <w:pPr>
              <w:jc w:val="right"/>
              <w:rPr>
                <w:u w:val="single"/>
              </w:rPr>
            </w:pPr>
            <w:r>
              <w:rPr>
                <w:sz w:val="16"/>
              </w:rPr>
              <w:t xml:space="preserve">a </w:t>
            </w:r>
            <w:r>
              <w:rPr>
                <w:b/>
              </w:rPr>
              <w:sym w:font="Wingdings" w:char="F06F"/>
            </w:r>
            <w:r>
              <w:rPr>
                <w:b/>
              </w:rPr>
              <w:t xml:space="preserve"> </w:t>
            </w:r>
          </w:p>
        </w:tc>
        <w:tc>
          <w:tcPr>
            <w:tcW w:w="8280" w:type="dxa"/>
            <w:tcBorders>
              <w:top w:val="nil"/>
              <w:left w:val="nil"/>
              <w:bottom w:val="nil"/>
            </w:tcBorders>
          </w:tcPr>
          <w:p w14:paraId="5E21B82A" w14:textId="77777777" w:rsidR="008910AA" w:rsidRDefault="00BA3240" w:rsidP="00917130">
            <w:pPr>
              <w:spacing w:after="120"/>
            </w:pPr>
            <w:r>
              <w:t xml:space="preserve">dedicated </w:t>
            </w:r>
            <w:r w:rsidR="008910AA">
              <w:t xml:space="preserve">patient safety program budgets support the program, staffing, and technology investment. (p.77) </w:t>
            </w:r>
          </w:p>
        </w:tc>
      </w:tr>
      <w:tr w:rsidR="008910AA" w14:paraId="28958276" w14:textId="77777777" w:rsidTr="000751C8">
        <w:trPr>
          <w:cantSplit/>
          <w:trHeight w:val="485"/>
        </w:trPr>
        <w:tc>
          <w:tcPr>
            <w:tcW w:w="558" w:type="dxa"/>
            <w:vMerge/>
            <w:tcBorders>
              <w:bottom w:val="single" w:sz="4" w:space="0" w:color="auto"/>
            </w:tcBorders>
          </w:tcPr>
          <w:p w14:paraId="619D2E2B" w14:textId="77777777" w:rsidR="008910AA" w:rsidRDefault="008910AA">
            <w:pPr>
              <w:jc w:val="center"/>
              <w:rPr>
                <w:sz w:val="16"/>
              </w:rPr>
            </w:pPr>
          </w:p>
        </w:tc>
        <w:tc>
          <w:tcPr>
            <w:tcW w:w="720" w:type="dxa"/>
            <w:tcBorders>
              <w:top w:val="nil"/>
              <w:bottom w:val="single" w:sz="4" w:space="0" w:color="auto"/>
              <w:right w:val="nil"/>
            </w:tcBorders>
          </w:tcPr>
          <w:p w14:paraId="66011FA7" w14:textId="77777777" w:rsidR="008910AA" w:rsidRDefault="008910AA" w:rsidP="00B17EC2">
            <w:pPr>
              <w:rPr>
                <w:sz w:val="16"/>
              </w:rPr>
            </w:pPr>
          </w:p>
        </w:tc>
        <w:tc>
          <w:tcPr>
            <w:tcW w:w="8280" w:type="dxa"/>
            <w:tcBorders>
              <w:top w:val="nil"/>
              <w:left w:val="nil"/>
              <w:bottom w:val="single" w:sz="4" w:space="0" w:color="auto"/>
            </w:tcBorders>
          </w:tcPr>
          <w:p w14:paraId="5428496B" w14:textId="77777777" w:rsidR="008910AA" w:rsidRDefault="008910AA"/>
        </w:tc>
      </w:tr>
      <w:tr w:rsidR="000751C8" w14:paraId="7F148B03" w14:textId="77777777" w:rsidTr="000751C8">
        <w:trPr>
          <w:cantSplit/>
          <w:trHeight w:val="485"/>
        </w:trPr>
        <w:tc>
          <w:tcPr>
            <w:tcW w:w="558" w:type="dxa"/>
            <w:tcBorders>
              <w:top w:val="single" w:sz="4" w:space="0" w:color="auto"/>
              <w:bottom w:val="nil"/>
            </w:tcBorders>
          </w:tcPr>
          <w:p w14:paraId="0ABAB4A0" w14:textId="77777777" w:rsidR="000751C8" w:rsidRDefault="000751C8" w:rsidP="002C1C78">
            <w:pPr>
              <w:jc w:val="center"/>
            </w:pPr>
            <w:r>
              <w:rPr>
                <w:sz w:val="16"/>
              </w:rPr>
              <w:t>1.4</w:t>
            </w:r>
          </w:p>
        </w:tc>
        <w:tc>
          <w:tcPr>
            <w:tcW w:w="9000" w:type="dxa"/>
            <w:gridSpan w:val="2"/>
            <w:tcBorders>
              <w:top w:val="single" w:sz="4" w:space="0" w:color="auto"/>
              <w:bottom w:val="nil"/>
            </w:tcBorders>
          </w:tcPr>
          <w:p w14:paraId="37B003BD" w14:textId="77777777" w:rsidR="000751C8" w:rsidRDefault="000751C8" w:rsidP="002C1C78">
            <w:pPr>
              <w:rPr>
                <w:b/>
              </w:rPr>
            </w:pPr>
            <w:r>
              <w:rPr>
                <w:b/>
              </w:rPr>
              <w:t>Structures and systems for assuring that leadership is taking direct and specific actions have been in place for the past 12 months, as evidenced by:</w:t>
            </w:r>
          </w:p>
          <w:p w14:paraId="768C4A8A" w14:textId="77777777" w:rsidR="000751C8" w:rsidRDefault="000751C8" w:rsidP="002C1C78">
            <w:pPr>
              <w:rPr>
                <w:b/>
              </w:rPr>
            </w:pPr>
          </w:p>
        </w:tc>
      </w:tr>
      <w:tr w:rsidR="000751C8" w14:paraId="039B6D9B" w14:textId="77777777" w:rsidTr="000751C8">
        <w:trPr>
          <w:cantSplit/>
          <w:trHeight w:val="485"/>
        </w:trPr>
        <w:tc>
          <w:tcPr>
            <w:tcW w:w="558" w:type="dxa"/>
            <w:vMerge w:val="restart"/>
            <w:tcBorders>
              <w:top w:val="nil"/>
            </w:tcBorders>
            <w:textDirection w:val="btLr"/>
            <w:vAlign w:val="center"/>
          </w:tcPr>
          <w:p w14:paraId="5225EE18" w14:textId="77777777" w:rsidR="000751C8" w:rsidRDefault="000751C8" w:rsidP="000751C8">
            <w:pPr>
              <w:ind w:left="115" w:right="115"/>
              <w:jc w:val="center"/>
              <w:rPr>
                <w:sz w:val="16"/>
              </w:rPr>
            </w:pPr>
            <w:r>
              <w:rPr>
                <w:sz w:val="16"/>
              </w:rPr>
              <w:t>ACTION</w:t>
            </w:r>
          </w:p>
        </w:tc>
        <w:tc>
          <w:tcPr>
            <w:tcW w:w="720" w:type="dxa"/>
            <w:tcBorders>
              <w:top w:val="nil"/>
              <w:bottom w:val="nil"/>
              <w:right w:val="nil"/>
            </w:tcBorders>
          </w:tcPr>
          <w:p w14:paraId="142C003D" w14:textId="77777777" w:rsidR="000751C8" w:rsidRDefault="000751C8" w:rsidP="002C1C78">
            <w:pPr>
              <w:jc w:val="right"/>
              <w:rPr>
                <w:u w:val="single"/>
              </w:rPr>
            </w:pPr>
            <w:r>
              <w:rPr>
                <w:sz w:val="16"/>
              </w:rPr>
              <w:t xml:space="preserve">a </w:t>
            </w:r>
            <w:r>
              <w:rPr>
                <w:b/>
              </w:rPr>
              <w:sym w:font="Wingdings" w:char="F06F"/>
            </w:r>
            <w:r>
              <w:rPr>
                <w:b/>
              </w:rPr>
              <w:t xml:space="preserve"> </w:t>
            </w:r>
          </w:p>
        </w:tc>
        <w:tc>
          <w:tcPr>
            <w:tcW w:w="8280" w:type="dxa"/>
            <w:tcBorders>
              <w:top w:val="nil"/>
              <w:left w:val="nil"/>
              <w:bottom w:val="nil"/>
            </w:tcBorders>
          </w:tcPr>
          <w:p w14:paraId="7711DEC0" w14:textId="77777777" w:rsidR="000751C8" w:rsidRDefault="000751C8" w:rsidP="00917130">
            <w:pPr>
              <w:spacing w:after="120"/>
            </w:pPr>
            <w:r>
              <w:t>CEO and senior administrative leaders are personally engaged in reinforcing patient safety improvements, e.g., “walk-arounds”, holding patient safety meetings, reporting to the Board (governance). Calendars reflect allocated time. (p.78)</w:t>
            </w:r>
          </w:p>
        </w:tc>
      </w:tr>
      <w:tr w:rsidR="000751C8" w14:paraId="08456F3A" w14:textId="77777777" w:rsidTr="000751C8">
        <w:trPr>
          <w:cantSplit/>
          <w:trHeight w:val="485"/>
        </w:trPr>
        <w:tc>
          <w:tcPr>
            <w:tcW w:w="558" w:type="dxa"/>
            <w:vMerge/>
          </w:tcPr>
          <w:p w14:paraId="7CC87E8A" w14:textId="77777777" w:rsidR="000751C8" w:rsidRDefault="000751C8">
            <w:pPr>
              <w:jc w:val="center"/>
              <w:rPr>
                <w:sz w:val="16"/>
              </w:rPr>
            </w:pPr>
          </w:p>
        </w:tc>
        <w:tc>
          <w:tcPr>
            <w:tcW w:w="720" w:type="dxa"/>
            <w:tcBorders>
              <w:top w:val="nil"/>
              <w:bottom w:val="nil"/>
              <w:right w:val="nil"/>
            </w:tcBorders>
          </w:tcPr>
          <w:p w14:paraId="32AB6CEB" w14:textId="77777777" w:rsidR="000751C8" w:rsidRDefault="000751C8" w:rsidP="002C1C78">
            <w:pPr>
              <w:jc w:val="right"/>
              <w:rPr>
                <w:sz w:val="16"/>
              </w:rPr>
            </w:pPr>
            <w:r>
              <w:rPr>
                <w:sz w:val="16"/>
              </w:rPr>
              <w:t xml:space="preserve">b </w:t>
            </w:r>
            <w:r>
              <w:rPr>
                <w:b/>
              </w:rPr>
              <w:sym w:font="Wingdings" w:char="F06F"/>
            </w:r>
          </w:p>
        </w:tc>
        <w:tc>
          <w:tcPr>
            <w:tcW w:w="8280" w:type="dxa"/>
            <w:tcBorders>
              <w:top w:val="nil"/>
              <w:left w:val="nil"/>
              <w:bottom w:val="nil"/>
            </w:tcBorders>
          </w:tcPr>
          <w:p w14:paraId="757E45B7" w14:textId="77777777" w:rsidR="000751C8" w:rsidRDefault="000751C8" w:rsidP="00917130">
            <w:pPr>
              <w:spacing w:after="120"/>
            </w:pPr>
            <w:r>
              <w:t xml:space="preserve">CEO has actively engaged unit, service-line, departmental and mid-level management leaders in patient safety improvement actions. (p.79) </w:t>
            </w:r>
          </w:p>
        </w:tc>
      </w:tr>
      <w:tr w:rsidR="000751C8" w14:paraId="3EA5E5BE" w14:textId="77777777" w:rsidTr="00F444E1">
        <w:trPr>
          <w:cantSplit/>
          <w:trHeight w:val="485"/>
        </w:trPr>
        <w:tc>
          <w:tcPr>
            <w:tcW w:w="558" w:type="dxa"/>
            <w:vMerge/>
            <w:tcBorders>
              <w:bottom w:val="single" w:sz="4" w:space="0" w:color="auto"/>
            </w:tcBorders>
          </w:tcPr>
          <w:p w14:paraId="6AC8AD5B" w14:textId="77777777" w:rsidR="000751C8" w:rsidRDefault="000751C8">
            <w:pPr>
              <w:jc w:val="center"/>
              <w:rPr>
                <w:sz w:val="16"/>
              </w:rPr>
            </w:pPr>
          </w:p>
        </w:tc>
        <w:tc>
          <w:tcPr>
            <w:tcW w:w="720" w:type="dxa"/>
            <w:tcBorders>
              <w:top w:val="nil"/>
              <w:bottom w:val="single" w:sz="4" w:space="0" w:color="auto"/>
              <w:right w:val="nil"/>
            </w:tcBorders>
          </w:tcPr>
          <w:p w14:paraId="2FAF591F" w14:textId="77777777" w:rsidR="000751C8" w:rsidRDefault="000751C8" w:rsidP="002C1C78">
            <w:pPr>
              <w:jc w:val="right"/>
              <w:rPr>
                <w:u w:val="single"/>
              </w:rPr>
            </w:pPr>
            <w:r>
              <w:rPr>
                <w:sz w:val="16"/>
              </w:rPr>
              <w:t xml:space="preserve">c </w:t>
            </w:r>
            <w:r>
              <w:rPr>
                <w:b/>
              </w:rPr>
              <w:sym w:font="Wingdings" w:char="F06F"/>
            </w:r>
          </w:p>
        </w:tc>
        <w:tc>
          <w:tcPr>
            <w:tcW w:w="8280" w:type="dxa"/>
            <w:tcBorders>
              <w:top w:val="nil"/>
              <w:left w:val="nil"/>
              <w:bottom w:val="single" w:sz="4" w:space="0" w:color="auto"/>
            </w:tcBorders>
          </w:tcPr>
          <w:p w14:paraId="74FAC4D0" w14:textId="77777777" w:rsidR="000751C8" w:rsidRDefault="00B17EC2" w:rsidP="002C1C78">
            <w:r>
              <w:t>hospital has established a structure for input into the patient safety program by licensed independent practitioners and the organized medical staff and medical leadership</w:t>
            </w:r>
            <w:r w:rsidR="000751C8">
              <w:t>. Input documented in meeting minutes or materials. (p.79)</w:t>
            </w:r>
          </w:p>
          <w:p w14:paraId="535D5580" w14:textId="77777777" w:rsidR="000751C8" w:rsidRDefault="000751C8" w:rsidP="002C1C78"/>
        </w:tc>
      </w:tr>
      <w:tr w:rsidR="00D65253" w14:paraId="3F8CBCEE" w14:textId="77777777" w:rsidTr="00F444E1">
        <w:trPr>
          <w:cantSplit/>
          <w:trHeight w:val="710"/>
        </w:trPr>
        <w:tc>
          <w:tcPr>
            <w:tcW w:w="558" w:type="dxa"/>
            <w:tcBorders>
              <w:top w:val="single" w:sz="4" w:space="0" w:color="auto"/>
            </w:tcBorders>
          </w:tcPr>
          <w:p w14:paraId="7D6B867B" w14:textId="77777777" w:rsidR="00D65253" w:rsidRDefault="000E29BC">
            <w:pPr>
              <w:jc w:val="center"/>
              <w:rPr>
                <w:sz w:val="16"/>
              </w:rPr>
            </w:pPr>
            <w:r>
              <w:rPr>
                <w:sz w:val="16"/>
              </w:rPr>
              <w:t>1.5</w:t>
            </w:r>
          </w:p>
        </w:tc>
        <w:tc>
          <w:tcPr>
            <w:tcW w:w="720" w:type="dxa"/>
            <w:tcBorders>
              <w:top w:val="single" w:sz="4" w:space="0" w:color="auto"/>
              <w:right w:val="nil"/>
            </w:tcBorders>
          </w:tcPr>
          <w:p w14:paraId="2113226F" w14:textId="77777777" w:rsidR="00D65253" w:rsidRDefault="00D65253" w:rsidP="002C1C78">
            <w:pPr>
              <w:jc w:val="right"/>
              <w:rPr>
                <w:sz w:val="16"/>
              </w:rPr>
            </w:pPr>
            <w:r>
              <w:rPr>
                <w:b/>
              </w:rPr>
              <w:sym w:font="Wingdings" w:char="F06F"/>
            </w:r>
          </w:p>
        </w:tc>
        <w:tc>
          <w:tcPr>
            <w:tcW w:w="8280" w:type="dxa"/>
            <w:tcBorders>
              <w:top w:val="single" w:sz="4" w:space="0" w:color="auto"/>
              <w:left w:val="nil"/>
            </w:tcBorders>
          </w:tcPr>
          <w:p w14:paraId="761CB8A3" w14:textId="77777777" w:rsidR="00D65253" w:rsidRDefault="00D65253" w:rsidP="002C1C78">
            <w:r>
              <w:t>Review of this safe practice is complete.</w:t>
            </w:r>
          </w:p>
          <w:p w14:paraId="46E44DE2" w14:textId="77777777" w:rsidR="00D65253" w:rsidRPr="00F444E1" w:rsidRDefault="00D65253" w:rsidP="002C1C78">
            <w:pPr>
              <w:rPr>
                <w:i/>
                <w:color w:val="808080" w:themeColor="background1" w:themeShade="80"/>
              </w:rPr>
            </w:pPr>
            <w:r>
              <w:rPr>
                <w:i/>
                <w:color w:val="808080" w:themeColor="background1" w:themeShade="80"/>
              </w:rPr>
              <w:t xml:space="preserve">This check box is in the online survey tool to ensure that your hospital has reviewed data entry for the above </w:t>
            </w:r>
            <w:r w:rsidR="00F444E1">
              <w:rPr>
                <w:i/>
                <w:color w:val="808080" w:themeColor="background1" w:themeShade="80"/>
              </w:rPr>
              <w:t>questions. This</w:t>
            </w:r>
            <w:r w:rsidR="00BA096D">
              <w:rPr>
                <w:i/>
                <w:color w:val="808080" w:themeColor="background1" w:themeShade="80"/>
              </w:rPr>
              <w:t xml:space="preserve"> question must be marked, even if no items are checked.</w:t>
            </w:r>
          </w:p>
        </w:tc>
      </w:tr>
    </w:tbl>
    <w:p w14:paraId="1538CA89" w14:textId="77777777" w:rsidR="008910AA" w:rsidRDefault="008910AA" w:rsidP="00954B73">
      <w:pPr>
        <w:pStyle w:val="Heading2"/>
      </w:pPr>
      <w:r>
        <w:br w:type="page"/>
      </w:r>
      <w:bookmarkStart w:id="249" w:name="SP2"/>
      <w:bookmarkStart w:id="250" w:name="_Toc447195048"/>
      <w:r w:rsidR="00D65253">
        <w:rPr>
          <w:snapToGrid w:val="0"/>
        </w:rPr>
        <w:lastRenderedPageBreak/>
        <w:t xml:space="preserve">6B: </w:t>
      </w:r>
      <w:r w:rsidR="00F01A72">
        <w:rPr>
          <w:snapToGrid w:val="0"/>
        </w:rPr>
        <w:t xml:space="preserve">Practice #2 - </w:t>
      </w:r>
      <w:r w:rsidRPr="0076466C">
        <w:rPr>
          <w:snapToGrid w:val="0"/>
        </w:rPr>
        <w:t>Culture Measurement, Feedback, and Intervention</w:t>
      </w:r>
      <w:bookmarkEnd w:id="249"/>
      <w:bookmarkEnd w:id="250"/>
    </w:p>
    <w:p w14:paraId="3EBE959A" w14:textId="77777777" w:rsidR="008910AA" w:rsidRDefault="0076466C" w:rsidP="005A41AD">
      <w:pPr>
        <w:rPr>
          <w:i/>
        </w:rPr>
      </w:pPr>
      <w:r>
        <w:rPr>
          <w:i/>
        </w:rPr>
        <w:t>(P</w:t>
      </w:r>
      <w:r w:rsidR="008910AA">
        <w:rPr>
          <w:i/>
        </w:rPr>
        <w:t>age numbers reference NQF Safe Practices for Better Healthcare – 2010 Update report)</w:t>
      </w:r>
    </w:p>
    <w:p w14:paraId="307E18C0" w14:textId="77777777" w:rsidR="008910AA" w:rsidRDefault="008910AA">
      <w:pPr>
        <w:rPr>
          <w:bCs/>
          <w:i/>
        </w:rPr>
      </w:pPr>
    </w:p>
    <w:p w14:paraId="7088557D" w14:textId="77777777" w:rsidR="008910AA" w:rsidRDefault="008910AA">
      <w:pPr>
        <w:rPr>
          <w:b/>
          <w:bCs/>
          <w:i/>
        </w:rPr>
      </w:pPr>
      <w:r w:rsidRPr="004400AA">
        <w:rPr>
          <w:b/>
          <w:bCs/>
          <w:i/>
        </w:rPr>
        <w:t>Check all boxes that apply.</w:t>
      </w:r>
    </w:p>
    <w:p w14:paraId="39449126" w14:textId="77777777" w:rsidR="004400AA" w:rsidRPr="004400AA" w:rsidRDefault="004400AA">
      <w:pPr>
        <w:rPr>
          <w:b/>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26F33EE6" w14:textId="77777777" w:rsidTr="0076466C">
        <w:trPr>
          <w:cantSplit/>
          <w:jc w:val="center"/>
        </w:trPr>
        <w:tc>
          <w:tcPr>
            <w:tcW w:w="571" w:type="dxa"/>
            <w:tcBorders>
              <w:bottom w:val="nil"/>
            </w:tcBorders>
          </w:tcPr>
          <w:p w14:paraId="168138A6" w14:textId="77777777" w:rsidR="008910AA" w:rsidRDefault="008910AA">
            <w:pPr>
              <w:jc w:val="center"/>
              <w:rPr>
                <w:sz w:val="16"/>
              </w:rPr>
            </w:pPr>
            <w:r>
              <w:rPr>
                <w:sz w:val="16"/>
              </w:rPr>
              <w:t>2.1</w:t>
            </w:r>
          </w:p>
        </w:tc>
        <w:tc>
          <w:tcPr>
            <w:tcW w:w="9221" w:type="dxa"/>
            <w:gridSpan w:val="2"/>
            <w:tcBorders>
              <w:bottom w:val="nil"/>
            </w:tcBorders>
          </w:tcPr>
          <w:p w14:paraId="7666E39C" w14:textId="77777777" w:rsidR="008910AA" w:rsidRDefault="008910AA">
            <w:pPr>
              <w:rPr>
                <w:b/>
              </w:rPr>
            </w:pPr>
            <w:r>
              <w:rPr>
                <w:b/>
              </w:rPr>
              <w:t xml:space="preserve">In regard to Culture Measurement, our organization has done the following within the last </w:t>
            </w:r>
            <w:r>
              <w:rPr>
                <w:b/>
                <w:u w:val="single"/>
              </w:rPr>
              <w:t>24</w:t>
            </w:r>
            <w:r>
              <w:rPr>
                <w:b/>
              </w:rPr>
              <w:t xml:space="preserve"> months:</w:t>
            </w:r>
          </w:p>
          <w:p w14:paraId="6436D76C" w14:textId="77777777" w:rsidR="008910AA" w:rsidRDefault="008910AA">
            <w:pPr>
              <w:rPr>
                <w:b/>
              </w:rPr>
            </w:pPr>
          </w:p>
        </w:tc>
      </w:tr>
      <w:tr w:rsidR="00995D96" w14:paraId="6451892D" w14:textId="77777777" w:rsidTr="0076466C">
        <w:trPr>
          <w:cantSplit/>
          <w:jc w:val="center"/>
        </w:trPr>
        <w:tc>
          <w:tcPr>
            <w:tcW w:w="571" w:type="dxa"/>
            <w:vMerge w:val="restart"/>
            <w:tcBorders>
              <w:top w:val="nil"/>
              <w:right w:val="single" w:sz="4" w:space="0" w:color="auto"/>
            </w:tcBorders>
            <w:textDirection w:val="btLr"/>
          </w:tcPr>
          <w:p w14:paraId="5CC0D046" w14:textId="77777777" w:rsidR="00995D96" w:rsidRDefault="00995D96">
            <w:pPr>
              <w:spacing w:before="120"/>
              <w:ind w:left="115" w:right="115"/>
              <w:jc w:val="center"/>
              <w:rPr>
                <w:sz w:val="16"/>
              </w:rPr>
            </w:pPr>
            <w:r>
              <w:rPr>
                <w:sz w:val="16"/>
              </w:rPr>
              <w:t>AWARENESS</w:t>
            </w:r>
          </w:p>
        </w:tc>
        <w:tc>
          <w:tcPr>
            <w:tcW w:w="738" w:type="dxa"/>
            <w:tcBorders>
              <w:top w:val="nil"/>
              <w:left w:val="single" w:sz="4" w:space="0" w:color="auto"/>
              <w:bottom w:val="nil"/>
              <w:right w:val="nil"/>
            </w:tcBorders>
          </w:tcPr>
          <w:p w14:paraId="6C02FBA6" w14:textId="77777777" w:rsidR="00995D96" w:rsidRDefault="00995D96">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97CF090" w14:textId="77777777" w:rsidR="00995D96" w:rsidRDefault="00995D96" w:rsidP="00A85A2E">
            <w:pPr>
              <w:rPr>
                <w:i/>
                <w:sz w:val="16"/>
                <w:szCs w:val="16"/>
              </w:rPr>
            </w:pPr>
            <w:r>
              <w:t xml:space="preserve">conducted a culture of safety survey of our employees using </w:t>
            </w:r>
            <w:r w:rsidRPr="00A94159">
              <w:t xml:space="preserve">a </w:t>
            </w:r>
            <w:hyperlink w:anchor="Endnote35" w:history="1">
              <w:r w:rsidRPr="00A94159">
                <w:rPr>
                  <w:rStyle w:val="Hyperlink"/>
                </w:rPr>
                <w:t>nationally recognized tool that has demonstrated validity, consistency and reliability.</w:t>
              </w:r>
            </w:hyperlink>
            <w:r>
              <w:rPr>
                <w:rStyle w:val="EndnoteReference"/>
              </w:rPr>
              <w:endnoteReference w:id="36"/>
            </w:r>
            <w:r>
              <w:t xml:space="preserve"> The units surveyed account for at least 50% of the aggregated care delivered to patients within the facility, and includes the high patient safety risk units or departments</w:t>
            </w:r>
            <w:r>
              <w:rPr>
                <w:i/>
                <w:sz w:val="16"/>
                <w:szCs w:val="16"/>
              </w:rPr>
              <w:t>.</w:t>
            </w:r>
            <w:r>
              <w:t>(p.88)</w:t>
            </w:r>
            <w:r>
              <w:rPr>
                <w:i/>
                <w:sz w:val="16"/>
                <w:szCs w:val="16"/>
              </w:rPr>
              <w:t xml:space="preserve"> </w:t>
            </w:r>
          </w:p>
          <w:p w14:paraId="59259575" w14:textId="77777777" w:rsidR="00995D96" w:rsidRDefault="00995D96" w:rsidP="00A85A2E">
            <w:pPr>
              <w:rPr>
                <w:i/>
                <w:sz w:val="16"/>
                <w:szCs w:val="16"/>
              </w:rPr>
            </w:pPr>
          </w:p>
          <w:p w14:paraId="11E39ED8" w14:textId="77777777" w:rsidR="00995D96" w:rsidRDefault="00995D96" w:rsidP="00917130">
            <w:pPr>
              <w:spacing w:after="120"/>
            </w:pPr>
            <w:r w:rsidRPr="00A85A2E">
              <w:rPr>
                <w:b/>
                <w:i/>
                <w:color w:val="FF0000"/>
              </w:rPr>
              <w:t>If item ‘a’ is not checked, no other items in this Practice #2 may be checked.</w:t>
            </w:r>
          </w:p>
        </w:tc>
      </w:tr>
      <w:tr w:rsidR="00995D96" w14:paraId="1539D487" w14:textId="77777777" w:rsidTr="0076466C">
        <w:trPr>
          <w:cantSplit/>
          <w:jc w:val="center"/>
        </w:trPr>
        <w:tc>
          <w:tcPr>
            <w:tcW w:w="571" w:type="dxa"/>
            <w:vMerge/>
            <w:tcBorders>
              <w:right w:val="single" w:sz="4" w:space="0" w:color="auto"/>
            </w:tcBorders>
          </w:tcPr>
          <w:p w14:paraId="270872D8" w14:textId="77777777" w:rsidR="00995D96" w:rsidRDefault="00995D96">
            <w:pPr>
              <w:jc w:val="center"/>
              <w:rPr>
                <w:sz w:val="16"/>
              </w:rPr>
            </w:pPr>
          </w:p>
        </w:tc>
        <w:tc>
          <w:tcPr>
            <w:tcW w:w="738" w:type="dxa"/>
            <w:tcBorders>
              <w:top w:val="nil"/>
              <w:left w:val="single" w:sz="4" w:space="0" w:color="auto"/>
              <w:bottom w:val="nil"/>
              <w:right w:val="nil"/>
            </w:tcBorders>
          </w:tcPr>
          <w:p w14:paraId="0A2A86BD" w14:textId="77777777" w:rsidR="00995D96" w:rsidRDefault="00995D96">
            <w:pPr>
              <w:jc w:val="right"/>
              <w:rPr>
                <w:sz w:val="16"/>
              </w:rPr>
            </w:pPr>
            <w:r>
              <w:rPr>
                <w:sz w:val="16"/>
              </w:rPr>
              <w:t xml:space="preserve">b </w:t>
            </w:r>
            <w:r>
              <w:rPr>
                <w:b/>
              </w:rPr>
              <w:sym w:font="Wingdings" w:char="F06F"/>
            </w:r>
          </w:p>
        </w:tc>
        <w:tc>
          <w:tcPr>
            <w:tcW w:w="8483" w:type="dxa"/>
            <w:tcBorders>
              <w:top w:val="nil"/>
              <w:left w:val="nil"/>
              <w:bottom w:val="nil"/>
              <w:right w:val="single" w:sz="4" w:space="0" w:color="auto"/>
            </w:tcBorders>
          </w:tcPr>
          <w:p w14:paraId="1C7FB1F7" w14:textId="77777777" w:rsidR="00995D96" w:rsidRDefault="00995D96">
            <w:r>
              <w:t>portrayed the results of the culture survey in a report, which reflects both hospital-wide and individual unit level results, as applicable. (p.88)</w:t>
            </w:r>
          </w:p>
          <w:p w14:paraId="69DB1823" w14:textId="77777777" w:rsidR="00995D96" w:rsidRDefault="00995D96"/>
        </w:tc>
      </w:tr>
      <w:tr w:rsidR="00995D96" w14:paraId="44BA2A82" w14:textId="77777777" w:rsidTr="0076466C">
        <w:trPr>
          <w:cantSplit/>
          <w:jc w:val="center"/>
        </w:trPr>
        <w:tc>
          <w:tcPr>
            <w:tcW w:w="571" w:type="dxa"/>
            <w:vMerge/>
            <w:tcBorders>
              <w:right w:val="single" w:sz="4" w:space="0" w:color="auto"/>
            </w:tcBorders>
          </w:tcPr>
          <w:p w14:paraId="669B0267" w14:textId="77777777" w:rsidR="00995D96" w:rsidRDefault="00995D96">
            <w:pPr>
              <w:jc w:val="center"/>
              <w:rPr>
                <w:sz w:val="16"/>
              </w:rPr>
            </w:pPr>
          </w:p>
        </w:tc>
        <w:tc>
          <w:tcPr>
            <w:tcW w:w="738" w:type="dxa"/>
            <w:tcBorders>
              <w:top w:val="nil"/>
              <w:left w:val="single" w:sz="4" w:space="0" w:color="auto"/>
              <w:bottom w:val="nil"/>
              <w:right w:val="nil"/>
            </w:tcBorders>
          </w:tcPr>
          <w:p w14:paraId="63B80E92" w14:textId="77777777" w:rsidR="00995D96" w:rsidRDefault="00995D96">
            <w:pPr>
              <w:jc w:val="right"/>
              <w:rPr>
                <w:sz w:val="16"/>
              </w:rPr>
            </w:pPr>
            <w:r>
              <w:rPr>
                <w:sz w:val="16"/>
              </w:rPr>
              <w:t xml:space="preserve">c </w:t>
            </w:r>
            <w:r>
              <w:rPr>
                <w:b/>
              </w:rPr>
              <w:sym w:font="Wingdings" w:char="F06F"/>
            </w:r>
          </w:p>
        </w:tc>
        <w:tc>
          <w:tcPr>
            <w:tcW w:w="8483" w:type="dxa"/>
            <w:tcBorders>
              <w:top w:val="nil"/>
              <w:left w:val="nil"/>
              <w:bottom w:val="nil"/>
              <w:right w:val="single" w:sz="4" w:space="0" w:color="auto"/>
            </w:tcBorders>
          </w:tcPr>
          <w:p w14:paraId="2713D91F" w14:textId="77777777" w:rsidR="00995D96" w:rsidRDefault="00995D96">
            <w:r>
              <w:t>benchmarked results of the culture survey in a report, which reflects both hospital-wide and individual unit level results, as applicable.</w:t>
            </w:r>
          </w:p>
          <w:p w14:paraId="3F7D4B2F" w14:textId="77777777" w:rsidR="00955F8B" w:rsidRDefault="00955F8B"/>
        </w:tc>
      </w:tr>
      <w:tr w:rsidR="00995D96" w14:paraId="66420C67" w14:textId="77777777" w:rsidTr="0076466C">
        <w:trPr>
          <w:cantSplit/>
          <w:jc w:val="center"/>
        </w:trPr>
        <w:tc>
          <w:tcPr>
            <w:tcW w:w="571" w:type="dxa"/>
            <w:vMerge/>
            <w:tcBorders>
              <w:right w:val="single" w:sz="4" w:space="0" w:color="auto"/>
            </w:tcBorders>
          </w:tcPr>
          <w:p w14:paraId="34FD8E4D" w14:textId="77777777" w:rsidR="00995D96" w:rsidRDefault="00995D96">
            <w:pPr>
              <w:jc w:val="center"/>
              <w:rPr>
                <w:sz w:val="16"/>
              </w:rPr>
            </w:pPr>
          </w:p>
        </w:tc>
        <w:tc>
          <w:tcPr>
            <w:tcW w:w="738" w:type="dxa"/>
            <w:tcBorders>
              <w:top w:val="nil"/>
              <w:left w:val="single" w:sz="4" w:space="0" w:color="auto"/>
              <w:bottom w:val="nil"/>
              <w:right w:val="nil"/>
            </w:tcBorders>
          </w:tcPr>
          <w:p w14:paraId="7E48E7FA" w14:textId="77777777" w:rsidR="00995D96" w:rsidRDefault="00995D96">
            <w:pPr>
              <w:jc w:val="right"/>
              <w:rPr>
                <w:sz w:val="16"/>
              </w:rPr>
            </w:pPr>
            <w:r>
              <w:rPr>
                <w:sz w:val="16"/>
              </w:rPr>
              <w:t xml:space="preserve">d </w:t>
            </w:r>
            <w:r>
              <w:rPr>
                <w:b/>
              </w:rPr>
              <w:sym w:font="Wingdings" w:char="F06F"/>
            </w:r>
          </w:p>
        </w:tc>
        <w:tc>
          <w:tcPr>
            <w:tcW w:w="8483" w:type="dxa"/>
            <w:tcBorders>
              <w:top w:val="nil"/>
              <w:left w:val="nil"/>
              <w:bottom w:val="nil"/>
              <w:right w:val="single" w:sz="4" w:space="0" w:color="auto"/>
            </w:tcBorders>
          </w:tcPr>
          <w:p w14:paraId="4DF85103" w14:textId="77777777" w:rsidR="00995D96" w:rsidRDefault="00995D96">
            <w:r>
              <w:t>compared results of the culture surveys across internal work groups, roles, and staff levels.</w:t>
            </w:r>
          </w:p>
          <w:p w14:paraId="4A48CF35" w14:textId="77777777" w:rsidR="00955F8B" w:rsidRDefault="00955F8B"/>
        </w:tc>
      </w:tr>
      <w:tr w:rsidR="00995D96" w14:paraId="4FA9BC5A" w14:textId="77777777" w:rsidTr="0076466C">
        <w:trPr>
          <w:cantSplit/>
          <w:jc w:val="center"/>
        </w:trPr>
        <w:tc>
          <w:tcPr>
            <w:tcW w:w="571" w:type="dxa"/>
            <w:vMerge/>
            <w:tcBorders>
              <w:right w:val="single" w:sz="4" w:space="0" w:color="auto"/>
            </w:tcBorders>
          </w:tcPr>
          <w:p w14:paraId="0EE2B7B1" w14:textId="77777777" w:rsidR="00995D96" w:rsidRDefault="00995D96">
            <w:pPr>
              <w:jc w:val="center"/>
              <w:rPr>
                <w:sz w:val="16"/>
              </w:rPr>
            </w:pPr>
          </w:p>
        </w:tc>
        <w:tc>
          <w:tcPr>
            <w:tcW w:w="738" w:type="dxa"/>
            <w:tcBorders>
              <w:top w:val="nil"/>
              <w:left w:val="single" w:sz="4" w:space="0" w:color="auto"/>
              <w:bottom w:val="single" w:sz="4" w:space="0" w:color="auto"/>
              <w:right w:val="nil"/>
            </w:tcBorders>
          </w:tcPr>
          <w:p w14:paraId="2AADC6D6" w14:textId="77777777" w:rsidR="00995D96" w:rsidRDefault="00995D96">
            <w:pPr>
              <w:jc w:val="right"/>
              <w:rPr>
                <w:sz w:val="16"/>
              </w:rPr>
            </w:pPr>
            <w:r>
              <w:rPr>
                <w:sz w:val="16"/>
              </w:rPr>
              <w:t xml:space="preserve">e </w:t>
            </w:r>
            <w:r>
              <w:rPr>
                <w:b/>
              </w:rPr>
              <w:sym w:font="Wingdings" w:char="F06F"/>
            </w:r>
          </w:p>
        </w:tc>
        <w:tc>
          <w:tcPr>
            <w:tcW w:w="8483" w:type="dxa"/>
            <w:tcBorders>
              <w:top w:val="nil"/>
              <w:left w:val="nil"/>
              <w:bottom w:val="single" w:sz="4" w:space="0" w:color="auto"/>
              <w:right w:val="single" w:sz="4" w:space="0" w:color="auto"/>
            </w:tcBorders>
          </w:tcPr>
          <w:p w14:paraId="67B1C8CC" w14:textId="77777777" w:rsidR="00995D96" w:rsidRDefault="00995D96">
            <w:r>
              <w:t xml:space="preserve">used results of the culture survey to debrief at the relevant unit level, using semi-structured approaches for the debriefings and presenting results </w:t>
            </w:r>
            <w:r w:rsidRPr="004619D7">
              <w:t xml:space="preserve">in </w:t>
            </w:r>
            <w:r w:rsidR="00B062F5" w:rsidRPr="004619D7">
              <w:t>aggregate</w:t>
            </w:r>
            <w:r w:rsidRPr="004619D7">
              <w:t xml:space="preserve"> form</w:t>
            </w:r>
            <w:r>
              <w:t xml:space="preserve"> to ensure the anonymity of survey respondents. </w:t>
            </w:r>
          </w:p>
          <w:p w14:paraId="2A7117C5" w14:textId="77777777" w:rsidR="00955F8B" w:rsidRDefault="00955F8B"/>
        </w:tc>
      </w:tr>
      <w:tr w:rsidR="008910AA" w14:paraId="613B3559" w14:textId="77777777" w:rsidTr="0076466C">
        <w:trPr>
          <w:cantSplit/>
          <w:jc w:val="center"/>
        </w:trPr>
        <w:tc>
          <w:tcPr>
            <w:tcW w:w="571" w:type="dxa"/>
            <w:tcBorders>
              <w:bottom w:val="nil"/>
            </w:tcBorders>
          </w:tcPr>
          <w:p w14:paraId="3DABB617" w14:textId="77777777" w:rsidR="008910AA" w:rsidRDefault="008910AA">
            <w:pPr>
              <w:jc w:val="center"/>
            </w:pPr>
            <w:r>
              <w:rPr>
                <w:sz w:val="16"/>
              </w:rPr>
              <w:t>2.2</w:t>
            </w:r>
          </w:p>
        </w:tc>
        <w:tc>
          <w:tcPr>
            <w:tcW w:w="9221" w:type="dxa"/>
            <w:gridSpan w:val="2"/>
            <w:tcBorders>
              <w:top w:val="single" w:sz="4" w:space="0" w:color="auto"/>
              <w:bottom w:val="nil"/>
            </w:tcBorders>
          </w:tcPr>
          <w:p w14:paraId="7F7571AF" w14:textId="77777777" w:rsidR="008910AA" w:rsidRDefault="008910AA">
            <w:pPr>
              <w:rPr>
                <w:b/>
              </w:rPr>
            </w:pPr>
            <w:r>
              <w:rPr>
                <w:b/>
              </w:rPr>
              <w:t xml:space="preserve">In regard to accountability for improvements in the measurement of the culture of safety, our organization has done the following within the last </w:t>
            </w:r>
            <w:r>
              <w:rPr>
                <w:b/>
                <w:u w:val="single"/>
              </w:rPr>
              <w:t>24</w:t>
            </w:r>
            <w:r>
              <w:rPr>
                <w:b/>
              </w:rPr>
              <w:t xml:space="preserve"> months:</w:t>
            </w:r>
          </w:p>
          <w:p w14:paraId="579744E7" w14:textId="77777777" w:rsidR="008910AA" w:rsidRDefault="008910AA">
            <w:pPr>
              <w:rPr>
                <w:b/>
              </w:rPr>
            </w:pPr>
          </w:p>
        </w:tc>
      </w:tr>
      <w:tr w:rsidR="00773D25" w14:paraId="084363A2" w14:textId="77777777" w:rsidTr="0076466C">
        <w:trPr>
          <w:cantSplit/>
          <w:jc w:val="center"/>
        </w:trPr>
        <w:tc>
          <w:tcPr>
            <w:tcW w:w="571" w:type="dxa"/>
            <w:vMerge w:val="restart"/>
            <w:tcBorders>
              <w:top w:val="nil"/>
              <w:right w:val="single" w:sz="4" w:space="0" w:color="auto"/>
            </w:tcBorders>
            <w:textDirection w:val="btLr"/>
          </w:tcPr>
          <w:p w14:paraId="377A7298" w14:textId="77777777" w:rsidR="00773D25" w:rsidRDefault="00773D25" w:rsidP="00917130">
            <w:pPr>
              <w:spacing w:before="120"/>
              <w:ind w:left="115" w:right="115"/>
              <w:jc w:val="center"/>
              <w:rPr>
                <w:sz w:val="16"/>
              </w:rPr>
            </w:pPr>
            <w:r>
              <w:rPr>
                <w:sz w:val="16"/>
              </w:rPr>
              <w:t>ACCOUNTABILITY</w:t>
            </w:r>
          </w:p>
        </w:tc>
        <w:tc>
          <w:tcPr>
            <w:tcW w:w="738" w:type="dxa"/>
            <w:tcBorders>
              <w:top w:val="nil"/>
              <w:left w:val="single" w:sz="4" w:space="0" w:color="auto"/>
              <w:bottom w:val="nil"/>
              <w:right w:val="nil"/>
            </w:tcBorders>
          </w:tcPr>
          <w:p w14:paraId="6F8B1432" w14:textId="77777777" w:rsidR="00773D25" w:rsidRDefault="00773D25">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592C058" w14:textId="77777777" w:rsidR="00773D25" w:rsidRDefault="00773D25" w:rsidP="00773D25">
            <w:r>
              <w:t>involved senior administrative leadership in the identification and selection of sampled units; and, in the selection of an appropriate tool for measuring the culture of safety. (p.88)</w:t>
            </w:r>
          </w:p>
          <w:p w14:paraId="29E9C550" w14:textId="77777777" w:rsidR="00773D25" w:rsidRDefault="00773D25" w:rsidP="00773D25"/>
        </w:tc>
      </w:tr>
      <w:tr w:rsidR="00773D25" w14:paraId="2B4DE432" w14:textId="77777777" w:rsidTr="0076466C">
        <w:trPr>
          <w:cantSplit/>
          <w:jc w:val="center"/>
        </w:trPr>
        <w:tc>
          <w:tcPr>
            <w:tcW w:w="571" w:type="dxa"/>
            <w:vMerge/>
            <w:tcBorders>
              <w:right w:val="single" w:sz="4" w:space="0" w:color="auto"/>
            </w:tcBorders>
          </w:tcPr>
          <w:p w14:paraId="1C5201F7" w14:textId="77777777" w:rsidR="00773D25" w:rsidRDefault="00773D25">
            <w:pPr>
              <w:jc w:val="center"/>
              <w:rPr>
                <w:sz w:val="16"/>
              </w:rPr>
            </w:pPr>
          </w:p>
        </w:tc>
        <w:tc>
          <w:tcPr>
            <w:tcW w:w="738" w:type="dxa"/>
            <w:tcBorders>
              <w:top w:val="nil"/>
              <w:left w:val="single" w:sz="4" w:space="0" w:color="auto"/>
              <w:bottom w:val="nil"/>
              <w:right w:val="nil"/>
            </w:tcBorders>
          </w:tcPr>
          <w:p w14:paraId="1122187B" w14:textId="77777777" w:rsidR="00773D25" w:rsidRDefault="00773D25">
            <w:pPr>
              <w:jc w:val="right"/>
              <w:rPr>
                <w:u w:val="single"/>
              </w:rPr>
            </w:pPr>
            <w:r>
              <w:rPr>
                <w:sz w:val="16"/>
              </w:rPr>
              <w:t xml:space="preserve">b </w:t>
            </w:r>
            <w:r>
              <w:rPr>
                <w:b/>
              </w:rPr>
              <w:sym w:font="Wingdings" w:char="F06F"/>
            </w:r>
          </w:p>
        </w:tc>
        <w:tc>
          <w:tcPr>
            <w:tcW w:w="8483" w:type="dxa"/>
            <w:tcBorders>
              <w:top w:val="nil"/>
              <w:left w:val="nil"/>
              <w:bottom w:val="nil"/>
              <w:right w:val="single" w:sz="4" w:space="0" w:color="auto"/>
            </w:tcBorders>
          </w:tcPr>
          <w:p w14:paraId="6411DF8D" w14:textId="77777777" w:rsidR="00773D25" w:rsidRDefault="00773D25">
            <w:r>
              <w:t>shared the results of the culture measurement survey with the Board (governance) and senior administrative leadership in a formal report and discussion. (p.88)</w:t>
            </w:r>
          </w:p>
          <w:p w14:paraId="1CBA1F42" w14:textId="77777777" w:rsidR="00773D25" w:rsidRDefault="00773D25"/>
        </w:tc>
      </w:tr>
      <w:tr w:rsidR="00773D25" w14:paraId="53A25C3B" w14:textId="77777777" w:rsidTr="0076466C">
        <w:trPr>
          <w:cantSplit/>
          <w:jc w:val="center"/>
        </w:trPr>
        <w:tc>
          <w:tcPr>
            <w:tcW w:w="571" w:type="dxa"/>
            <w:vMerge/>
            <w:tcBorders>
              <w:right w:val="single" w:sz="4" w:space="0" w:color="auto"/>
            </w:tcBorders>
          </w:tcPr>
          <w:p w14:paraId="66381500" w14:textId="77777777" w:rsidR="00773D25" w:rsidRDefault="00773D25">
            <w:pPr>
              <w:jc w:val="center"/>
              <w:rPr>
                <w:sz w:val="16"/>
              </w:rPr>
            </w:pPr>
          </w:p>
        </w:tc>
        <w:tc>
          <w:tcPr>
            <w:tcW w:w="738" w:type="dxa"/>
            <w:tcBorders>
              <w:top w:val="nil"/>
              <w:left w:val="single" w:sz="4" w:space="0" w:color="auto"/>
              <w:bottom w:val="single" w:sz="4" w:space="0" w:color="auto"/>
              <w:right w:val="nil"/>
            </w:tcBorders>
          </w:tcPr>
          <w:p w14:paraId="108A7BBE" w14:textId="77777777" w:rsidR="00773D25" w:rsidRDefault="00773D25">
            <w:pPr>
              <w:jc w:val="right"/>
              <w:rPr>
                <w:sz w:val="16"/>
              </w:rPr>
            </w:pPr>
            <w:r>
              <w:rPr>
                <w:sz w:val="16"/>
              </w:rPr>
              <w:t xml:space="preserve">c </w:t>
            </w:r>
            <w:r>
              <w:rPr>
                <w:b/>
              </w:rPr>
              <w:sym w:font="Wingdings" w:char="F06F"/>
            </w:r>
          </w:p>
        </w:tc>
        <w:tc>
          <w:tcPr>
            <w:tcW w:w="8483" w:type="dxa"/>
            <w:tcBorders>
              <w:top w:val="nil"/>
              <w:left w:val="nil"/>
              <w:bottom w:val="single" w:sz="4" w:space="0" w:color="auto"/>
              <w:right w:val="single" w:sz="4" w:space="0" w:color="auto"/>
            </w:tcBorders>
          </w:tcPr>
          <w:p w14:paraId="2BB9DA3A" w14:textId="77777777" w:rsidR="00773D25" w:rsidRDefault="00773D25">
            <w:r>
              <w:t xml:space="preserve">included in performance evaluation criteria for senior administrative leaders both the response rates to the survey and the use of the survey results in the improvement efforts. </w:t>
            </w:r>
          </w:p>
          <w:p w14:paraId="13F5B160" w14:textId="77777777" w:rsidR="00773D25" w:rsidRDefault="00773D25"/>
        </w:tc>
      </w:tr>
      <w:tr w:rsidR="008910AA" w14:paraId="5070B51E" w14:textId="77777777" w:rsidTr="0076466C">
        <w:trPr>
          <w:cantSplit/>
          <w:jc w:val="center"/>
        </w:trPr>
        <w:tc>
          <w:tcPr>
            <w:tcW w:w="571" w:type="dxa"/>
            <w:tcBorders>
              <w:bottom w:val="nil"/>
            </w:tcBorders>
          </w:tcPr>
          <w:p w14:paraId="16B931A8" w14:textId="77777777" w:rsidR="008910AA" w:rsidRDefault="008910AA">
            <w:pPr>
              <w:jc w:val="center"/>
            </w:pPr>
            <w:r>
              <w:rPr>
                <w:sz w:val="16"/>
              </w:rPr>
              <w:t>2.3</w:t>
            </w:r>
          </w:p>
        </w:tc>
        <w:tc>
          <w:tcPr>
            <w:tcW w:w="9221" w:type="dxa"/>
            <w:gridSpan w:val="2"/>
            <w:tcBorders>
              <w:top w:val="single" w:sz="4" w:space="0" w:color="auto"/>
              <w:bottom w:val="nil"/>
            </w:tcBorders>
          </w:tcPr>
          <w:p w14:paraId="59B2B4EC" w14:textId="77777777" w:rsidR="008910AA" w:rsidRDefault="008910AA">
            <w:pPr>
              <w:rPr>
                <w:b/>
              </w:rPr>
            </w:pPr>
            <w:r>
              <w:rPr>
                <w:b/>
              </w:rPr>
              <w:t>In regard to the culture of safety measurement, the organization has done the following (or has had the following in place) within the last 12 months:</w:t>
            </w:r>
          </w:p>
          <w:p w14:paraId="37D3B919" w14:textId="77777777" w:rsidR="008910AA" w:rsidRDefault="008910AA">
            <w:pPr>
              <w:rPr>
                <w:b/>
              </w:rPr>
            </w:pPr>
          </w:p>
        </w:tc>
      </w:tr>
      <w:tr w:rsidR="008910AA" w14:paraId="73364653" w14:textId="77777777" w:rsidTr="0076466C">
        <w:trPr>
          <w:cantSplit/>
          <w:jc w:val="center"/>
        </w:trPr>
        <w:tc>
          <w:tcPr>
            <w:tcW w:w="571" w:type="dxa"/>
            <w:vMerge w:val="restart"/>
            <w:tcBorders>
              <w:top w:val="nil"/>
              <w:right w:val="single" w:sz="4" w:space="0" w:color="auto"/>
            </w:tcBorders>
            <w:textDirection w:val="btLr"/>
          </w:tcPr>
          <w:p w14:paraId="0EE13337" w14:textId="77777777" w:rsidR="008910AA" w:rsidRDefault="008910AA">
            <w:pPr>
              <w:spacing w:before="120"/>
              <w:ind w:left="115" w:right="115"/>
              <w:jc w:val="center"/>
              <w:rPr>
                <w:sz w:val="16"/>
              </w:rPr>
            </w:pPr>
            <w:r>
              <w:rPr>
                <w:sz w:val="16"/>
              </w:rPr>
              <w:t>ABILITY</w:t>
            </w:r>
          </w:p>
        </w:tc>
        <w:tc>
          <w:tcPr>
            <w:tcW w:w="738" w:type="dxa"/>
            <w:tcBorders>
              <w:top w:val="nil"/>
              <w:left w:val="single" w:sz="4" w:space="0" w:color="auto"/>
              <w:bottom w:val="nil"/>
              <w:right w:val="nil"/>
            </w:tcBorders>
          </w:tcPr>
          <w:p w14:paraId="70768D5C"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0F19EE19" w14:textId="77777777" w:rsidR="008910AA" w:rsidRDefault="008910AA" w:rsidP="004E75A4">
            <w:r>
              <w:t xml:space="preserve">conducted staff education program(s) on methods to improve the culture of safety, </w:t>
            </w:r>
            <w:r w:rsidR="00CB2DEA">
              <w:t xml:space="preserve">tailored to the organization’s survey results. </w:t>
            </w:r>
            <w:r>
              <w:t>(p.89)</w:t>
            </w:r>
          </w:p>
          <w:p w14:paraId="70CFE94E" w14:textId="77777777" w:rsidR="004E75A4" w:rsidRDefault="004E75A4" w:rsidP="004E75A4"/>
        </w:tc>
      </w:tr>
      <w:tr w:rsidR="008910AA" w14:paraId="78D83224" w14:textId="77777777" w:rsidTr="0076466C">
        <w:trPr>
          <w:cantSplit/>
          <w:trHeight w:val="485"/>
          <w:jc w:val="center"/>
        </w:trPr>
        <w:tc>
          <w:tcPr>
            <w:tcW w:w="571" w:type="dxa"/>
            <w:vMerge/>
            <w:tcBorders>
              <w:right w:val="single" w:sz="4" w:space="0" w:color="auto"/>
            </w:tcBorders>
          </w:tcPr>
          <w:p w14:paraId="0434DB10" w14:textId="77777777" w:rsidR="008910AA" w:rsidRDefault="008910AA">
            <w:pPr>
              <w:jc w:val="center"/>
              <w:rPr>
                <w:sz w:val="16"/>
              </w:rPr>
            </w:pPr>
          </w:p>
        </w:tc>
        <w:tc>
          <w:tcPr>
            <w:tcW w:w="738" w:type="dxa"/>
            <w:tcBorders>
              <w:top w:val="nil"/>
              <w:left w:val="single" w:sz="4" w:space="0" w:color="auto"/>
              <w:bottom w:val="single" w:sz="4" w:space="0" w:color="auto"/>
              <w:right w:val="nil"/>
            </w:tcBorders>
          </w:tcPr>
          <w:p w14:paraId="7AC4A07E"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single" w:sz="4" w:space="0" w:color="auto"/>
              <w:right w:val="single" w:sz="4" w:space="0" w:color="auto"/>
            </w:tcBorders>
          </w:tcPr>
          <w:p w14:paraId="644DFE01" w14:textId="77777777" w:rsidR="008910AA" w:rsidRDefault="008910AA">
            <w:r>
              <w:t>included</w:t>
            </w:r>
            <w:r w:rsidR="004222B0">
              <w:t xml:space="preserve"> the costs of</w:t>
            </w:r>
            <w:r>
              <w:t xml:space="preserve"> </w:t>
            </w:r>
            <w:r w:rsidR="00D33DD0">
              <w:t xml:space="preserve">annual </w:t>
            </w:r>
            <w:r>
              <w:t>culture measurement/follow-up activities in the patient safety program budget. (p.88)</w:t>
            </w:r>
          </w:p>
          <w:p w14:paraId="3FCB08BC" w14:textId="77777777" w:rsidR="008910AA" w:rsidRDefault="008910AA"/>
          <w:p w14:paraId="6B1AF806" w14:textId="77777777" w:rsidR="00A2693E" w:rsidRDefault="00A2693E"/>
          <w:p w14:paraId="04A9F552" w14:textId="77777777" w:rsidR="00A2693E" w:rsidRDefault="00A2693E"/>
          <w:p w14:paraId="0734F713" w14:textId="77777777" w:rsidR="00A2693E" w:rsidRDefault="00A2693E"/>
          <w:p w14:paraId="15F754CB" w14:textId="77777777" w:rsidR="00A2693E" w:rsidRDefault="00A2693E"/>
          <w:p w14:paraId="4C7CAEC3" w14:textId="77777777" w:rsidR="00A2693E" w:rsidRDefault="00A2693E"/>
          <w:p w14:paraId="66493F76" w14:textId="77777777" w:rsidR="00A2693E" w:rsidRDefault="00A2693E"/>
          <w:p w14:paraId="23147CCB" w14:textId="77777777" w:rsidR="00A2693E" w:rsidRDefault="00A2693E"/>
          <w:p w14:paraId="5592B936" w14:textId="77777777" w:rsidR="00A2693E" w:rsidRDefault="00A2693E"/>
        </w:tc>
      </w:tr>
      <w:tr w:rsidR="008910AA" w14:paraId="27F4D8B7" w14:textId="77777777" w:rsidTr="0076466C">
        <w:trPr>
          <w:cantSplit/>
          <w:jc w:val="center"/>
        </w:trPr>
        <w:tc>
          <w:tcPr>
            <w:tcW w:w="571" w:type="dxa"/>
            <w:tcBorders>
              <w:bottom w:val="nil"/>
            </w:tcBorders>
          </w:tcPr>
          <w:p w14:paraId="19089401" w14:textId="77777777" w:rsidR="008910AA" w:rsidRDefault="008910AA">
            <w:pPr>
              <w:jc w:val="center"/>
            </w:pPr>
            <w:r>
              <w:rPr>
                <w:sz w:val="16"/>
              </w:rPr>
              <w:lastRenderedPageBreak/>
              <w:t>2.4</w:t>
            </w:r>
          </w:p>
        </w:tc>
        <w:tc>
          <w:tcPr>
            <w:tcW w:w="9221" w:type="dxa"/>
            <w:gridSpan w:val="2"/>
            <w:tcBorders>
              <w:top w:val="single" w:sz="4" w:space="0" w:color="auto"/>
              <w:bottom w:val="nil"/>
            </w:tcBorders>
          </w:tcPr>
          <w:p w14:paraId="7922A6D4" w14:textId="77777777" w:rsidR="008910AA" w:rsidRDefault="008910AA">
            <w:pPr>
              <w:rPr>
                <w:b/>
              </w:rPr>
            </w:pPr>
            <w:r>
              <w:rPr>
                <w:b/>
              </w:rPr>
              <w:t>In regard to culture measurement, feedback, and interventions, our organization has done the following or has had the following in place within the last 12 months:</w:t>
            </w:r>
          </w:p>
          <w:p w14:paraId="41670342" w14:textId="77777777" w:rsidR="008910AA" w:rsidRDefault="008910AA">
            <w:pPr>
              <w:rPr>
                <w:b/>
              </w:rPr>
            </w:pPr>
          </w:p>
        </w:tc>
      </w:tr>
      <w:tr w:rsidR="008910AA" w14:paraId="560218EC" w14:textId="77777777" w:rsidTr="0076466C">
        <w:trPr>
          <w:cantSplit/>
          <w:jc w:val="center"/>
        </w:trPr>
        <w:tc>
          <w:tcPr>
            <w:tcW w:w="571" w:type="dxa"/>
            <w:vMerge w:val="restart"/>
            <w:tcBorders>
              <w:top w:val="nil"/>
              <w:right w:val="single" w:sz="4" w:space="0" w:color="auto"/>
            </w:tcBorders>
            <w:textDirection w:val="btLr"/>
          </w:tcPr>
          <w:p w14:paraId="772AA0DF" w14:textId="77777777" w:rsidR="008910AA" w:rsidRDefault="008910AA">
            <w:pPr>
              <w:spacing w:before="120"/>
              <w:ind w:left="115" w:right="115"/>
              <w:jc w:val="center"/>
              <w:rPr>
                <w:sz w:val="16"/>
              </w:rPr>
            </w:pPr>
            <w:r>
              <w:rPr>
                <w:sz w:val="16"/>
              </w:rPr>
              <w:t>ACTION</w:t>
            </w:r>
          </w:p>
        </w:tc>
        <w:tc>
          <w:tcPr>
            <w:tcW w:w="738" w:type="dxa"/>
            <w:tcBorders>
              <w:top w:val="nil"/>
              <w:left w:val="single" w:sz="4" w:space="0" w:color="auto"/>
              <w:bottom w:val="nil"/>
              <w:right w:val="nil"/>
            </w:tcBorders>
          </w:tcPr>
          <w:p w14:paraId="396A7449"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3FBF64D" w14:textId="77777777" w:rsidR="008910AA" w:rsidRDefault="008910AA">
            <w:r>
              <w:t>developed or implemented explicit, hospital-wide organizational policies and procedures for regular culture measurement (p.88)</w:t>
            </w:r>
          </w:p>
          <w:p w14:paraId="3424C363" w14:textId="77777777" w:rsidR="008910AA" w:rsidRDefault="008910AA">
            <w:pPr>
              <w:rPr>
                <w:b/>
              </w:rPr>
            </w:pPr>
            <w:r>
              <w:rPr>
                <w:b/>
              </w:rPr>
              <w:t>OR</w:t>
            </w:r>
          </w:p>
          <w:p w14:paraId="01687786" w14:textId="77777777" w:rsidR="008910AA" w:rsidRDefault="008910AA" w:rsidP="004E75A4">
            <w:r>
              <w:t>implemented strategies for improving culture based on survey results. (p.88)</w:t>
            </w:r>
          </w:p>
          <w:p w14:paraId="1FBDF8E4" w14:textId="77777777" w:rsidR="004E75A4" w:rsidRDefault="004E75A4" w:rsidP="004E75A4"/>
        </w:tc>
      </w:tr>
      <w:tr w:rsidR="008910AA" w14:paraId="5C2B5508" w14:textId="77777777" w:rsidTr="0076466C">
        <w:trPr>
          <w:cantSplit/>
          <w:jc w:val="center"/>
        </w:trPr>
        <w:tc>
          <w:tcPr>
            <w:tcW w:w="571" w:type="dxa"/>
            <w:vMerge/>
            <w:tcBorders>
              <w:bottom w:val="nil"/>
              <w:right w:val="single" w:sz="4" w:space="0" w:color="auto"/>
            </w:tcBorders>
          </w:tcPr>
          <w:p w14:paraId="2982EFC3" w14:textId="77777777" w:rsidR="008910AA" w:rsidRDefault="008910AA">
            <w:pPr>
              <w:jc w:val="center"/>
              <w:rPr>
                <w:sz w:val="16"/>
              </w:rPr>
            </w:pPr>
          </w:p>
        </w:tc>
        <w:tc>
          <w:tcPr>
            <w:tcW w:w="738" w:type="dxa"/>
            <w:tcBorders>
              <w:top w:val="nil"/>
              <w:left w:val="single" w:sz="4" w:space="0" w:color="auto"/>
              <w:bottom w:val="nil"/>
              <w:right w:val="nil"/>
            </w:tcBorders>
          </w:tcPr>
          <w:p w14:paraId="1F34DBB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right w:val="single" w:sz="4" w:space="0" w:color="auto"/>
            </w:tcBorders>
          </w:tcPr>
          <w:p w14:paraId="49DDC715" w14:textId="77777777" w:rsidR="008910AA" w:rsidRDefault="008910AA" w:rsidP="00917130">
            <w:pPr>
              <w:spacing w:after="120"/>
            </w:pPr>
            <w:r>
              <w:t>disseminated the results of the survey widely across the institution, with follow-up meetings held by senior administrative leadership with the sampled units. (p.88)</w:t>
            </w:r>
          </w:p>
        </w:tc>
      </w:tr>
      <w:tr w:rsidR="008910AA" w14:paraId="7202DFE7" w14:textId="77777777" w:rsidTr="0076466C">
        <w:trPr>
          <w:cantSplit/>
          <w:jc w:val="center"/>
        </w:trPr>
        <w:tc>
          <w:tcPr>
            <w:tcW w:w="571" w:type="dxa"/>
            <w:vMerge/>
            <w:tcBorders>
              <w:right w:val="single" w:sz="4" w:space="0" w:color="auto"/>
            </w:tcBorders>
          </w:tcPr>
          <w:p w14:paraId="0569FD09" w14:textId="77777777" w:rsidR="008910AA" w:rsidRDefault="008910AA">
            <w:pPr>
              <w:jc w:val="center"/>
              <w:rPr>
                <w:sz w:val="16"/>
              </w:rPr>
            </w:pPr>
          </w:p>
        </w:tc>
        <w:tc>
          <w:tcPr>
            <w:tcW w:w="738" w:type="dxa"/>
            <w:tcBorders>
              <w:top w:val="nil"/>
              <w:left w:val="single" w:sz="4" w:space="0" w:color="auto"/>
              <w:bottom w:val="single" w:sz="4" w:space="0" w:color="auto"/>
              <w:right w:val="nil"/>
            </w:tcBorders>
          </w:tcPr>
          <w:p w14:paraId="4E1CEFAD"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single" w:sz="4" w:space="0" w:color="auto"/>
              <w:right w:val="single" w:sz="4" w:space="0" w:color="auto"/>
            </w:tcBorders>
          </w:tcPr>
          <w:p w14:paraId="47239C89" w14:textId="77777777" w:rsidR="008910AA" w:rsidRDefault="008910AA">
            <w:r>
              <w:t>identified performance improvement interventions based on the survey results, which were shared with senior administrative leadership and subsequently measured and monitored. (p.88)</w:t>
            </w:r>
          </w:p>
          <w:p w14:paraId="3C3901B2" w14:textId="77777777" w:rsidR="008910AA" w:rsidRDefault="008910AA"/>
        </w:tc>
      </w:tr>
      <w:tr w:rsidR="0076466C" w14:paraId="4D7BCE38" w14:textId="77777777" w:rsidTr="0076466C">
        <w:trPr>
          <w:cantSplit/>
          <w:jc w:val="center"/>
        </w:trPr>
        <w:tc>
          <w:tcPr>
            <w:tcW w:w="571" w:type="dxa"/>
            <w:tcBorders>
              <w:right w:val="single" w:sz="4" w:space="0" w:color="auto"/>
            </w:tcBorders>
          </w:tcPr>
          <w:p w14:paraId="7354A3BD" w14:textId="0ACCA105" w:rsidR="0076466C" w:rsidRDefault="00FE1BE9" w:rsidP="0076466C">
            <w:pPr>
              <w:jc w:val="center"/>
              <w:rPr>
                <w:sz w:val="16"/>
              </w:rPr>
            </w:pPr>
            <w:r>
              <w:rPr>
                <w:sz w:val="16"/>
              </w:rPr>
              <w:t>2</w:t>
            </w:r>
            <w:r w:rsidR="000E29BC">
              <w:rPr>
                <w:sz w:val="16"/>
              </w:rPr>
              <w:t>.5</w:t>
            </w:r>
          </w:p>
        </w:tc>
        <w:tc>
          <w:tcPr>
            <w:tcW w:w="738" w:type="dxa"/>
            <w:tcBorders>
              <w:top w:val="single" w:sz="4" w:space="0" w:color="auto"/>
              <w:right w:val="nil"/>
            </w:tcBorders>
          </w:tcPr>
          <w:p w14:paraId="111A8F8F" w14:textId="77777777" w:rsidR="0076466C" w:rsidRDefault="0076466C" w:rsidP="0076466C">
            <w:pPr>
              <w:jc w:val="right"/>
              <w:rPr>
                <w:sz w:val="16"/>
              </w:rPr>
            </w:pPr>
            <w:r>
              <w:rPr>
                <w:b/>
              </w:rPr>
              <w:sym w:font="Wingdings" w:char="F06F"/>
            </w:r>
          </w:p>
        </w:tc>
        <w:tc>
          <w:tcPr>
            <w:tcW w:w="8483" w:type="dxa"/>
            <w:tcBorders>
              <w:top w:val="single" w:sz="4" w:space="0" w:color="auto"/>
              <w:left w:val="nil"/>
            </w:tcBorders>
          </w:tcPr>
          <w:p w14:paraId="43022B34" w14:textId="77777777" w:rsidR="0076466C" w:rsidRDefault="0076466C" w:rsidP="0076466C">
            <w:r>
              <w:t>Review of this safe practice is complete.</w:t>
            </w:r>
          </w:p>
          <w:p w14:paraId="454043F4" w14:textId="77777777" w:rsidR="0076466C" w:rsidRDefault="0076466C" w:rsidP="0076466C">
            <w:r>
              <w:rPr>
                <w:i/>
                <w:color w:val="808080" w:themeColor="background1" w:themeShade="80"/>
              </w:rPr>
              <w:t>This check box is in the online survey tool to ensure that your hospital has reviewed data entry for the above questions. This question must be marked, even if no items are checked.</w:t>
            </w:r>
          </w:p>
        </w:tc>
      </w:tr>
    </w:tbl>
    <w:p w14:paraId="21A3075F" w14:textId="77777777" w:rsidR="005A0375" w:rsidRDefault="005A0375" w:rsidP="007A44CB">
      <w:pPr>
        <w:pStyle w:val="Heading3"/>
      </w:pPr>
    </w:p>
    <w:p w14:paraId="065E96DD" w14:textId="77777777" w:rsidR="005A0375" w:rsidRDefault="005A0375">
      <w:pPr>
        <w:rPr>
          <w:b/>
          <w:i/>
          <w:sz w:val="24"/>
          <w:szCs w:val="24"/>
          <w:lang w:eastAsia="ja-JP"/>
        </w:rPr>
      </w:pPr>
      <w:r>
        <w:br w:type="page"/>
      </w:r>
    </w:p>
    <w:p w14:paraId="75CE5D78" w14:textId="77777777" w:rsidR="008910AA" w:rsidRPr="000E29BC" w:rsidRDefault="00D65253" w:rsidP="00954B73">
      <w:pPr>
        <w:pStyle w:val="Heading2"/>
        <w:rPr>
          <w:snapToGrid w:val="0"/>
        </w:rPr>
      </w:pPr>
      <w:bookmarkStart w:id="252" w:name="_Toc447195049"/>
      <w:bookmarkStart w:id="253" w:name="SP3"/>
      <w:r>
        <w:rPr>
          <w:snapToGrid w:val="0"/>
        </w:rPr>
        <w:lastRenderedPageBreak/>
        <w:t xml:space="preserve">6C: </w:t>
      </w:r>
      <w:r w:rsidR="00F01A72">
        <w:rPr>
          <w:snapToGrid w:val="0"/>
        </w:rPr>
        <w:t xml:space="preserve">Practice #3 - </w:t>
      </w:r>
      <w:r w:rsidR="008910AA" w:rsidRPr="0076466C">
        <w:rPr>
          <w:snapToGrid w:val="0"/>
        </w:rPr>
        <w:t>Teamwork Training and Skill Building</w:t>
      </w:r>
      <w:bookmarkEnd w:id="252"/>
    </w:p>
    <w:bookmarkEnd w:id="253"/>
    <w:p w14:paraId="08E4C5D9" w14:textId="77777777" w:rsidR="008910AA" w:rsidRDefault="0076466C" w:rsidP="005A41AD">
      <w:pPr>
        <w:rPr>
          <w:i/>
        </w:rPr>
      </w:pPr>
      <w:r>
        <w:rPr>
          <w:i/>
        </w:rPr>
        <w:t>(P</w:t>
      </w:r>
      <w:r w:rsidR="008910AA">
        <w:rPr>
          <w:i/>
        </w:rPr>
        <w:t>age numbers reference NQF Safe Practices for Better Healthcare – 2010 Update report)</w:t>
      </w:r>
    </w:p>
    <w:p w14:paraId="4B86D60C" w14:textId="77777777" w:rsidR="008910AA" w:rsidRDefault="008910AA"/>
    <w:p w14:paraId="0ECE5764" w14:textId="77777777" w:rsidR="008910AA" w:rsidRDefault="008910AA">
      <w:pPr>
        <w:rPr>
          <w:b/>
          <w:bCs/>
          <w:i/>
        </w:rPr>
      </w:pPr>
      <w:r w:rsidRPr="004400AA">
        <w:rPr>
          <w:b/>
          <w:bCs/>
          <w:i/>
        </w:rPr>
        <w:t>Check all boxes that apply.</w:t>
      </w:r>
    </w:p>
    <w:p w14:paraId="1CFB4051" w14:textId="77777777" w:rsidR="004400AA" w:rsidRPr="004400AA" w:rsidRDefault="004400AA">
      <w:pPr>
        <w:rPr>
          <w:b/>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55625B16" w14:textId="77777777" w:rsidTr="00470616">
        <w:trPr>
          <w:cantSplit/>
          <w:jc w:val="center"/>
        </w:trPr>
        <w:tc>
          <w:tcPr>
            <w:tcW w:w="571" w:type="dxa"/>
            <w:tcBorders>
              <w:bottom w:val="nil"/>
            </w:tcBorders>
          </w:tcPr>
          <w:p w14:paraId="6DDF249C" w14:textId="77777777" w:rsidR="008910AA" w:rsidRDefault="008910AA">
            <w:pPr>
              <w:jc w:val="center"/>
              <w:rPr>
                <w:sz w:val="16"/>
              </w:rPr>
            </w:pPr>
            <w:r>
              <w:rPr>
                <w:sz w:val="16"/>
              </w:rPr>
              <w:t>3.1</w:t>
            </w:r>
          </w:p>
        </w:tc>
        <w:tc>
          <w:tcPr>
            <w:tcW w:w="9221" w:type="dxa"/>
            <w:gridSpan w:val="2"/>
            <w:tcBorders>
              <w:bottom w:val="nil"/>
            </w:tcBorders>
          </w:tcPr>
          <w:p w14:paraId="248C75ED" w14:textId="77777777" w:rsidR="008910AA" w:rsidRDefault="008910AA" w:rsidP="00771A8B">
            <w:pPr>
              <w:rPr>
                <w:b/>
              </w:rPr>
            </w:pPr>
            <w:r>
              <w:rPr>
                <w:b/>
              </w:rPr>
              <w:t xml:space="preserve">In regard to teamwork training and skill building, our organization has done the following within the last 12 months: </w:t>
            </w:r>
          </w:p>
          <w:p w14:paraId="3B94C550" w14:textId="77777777" w:rsidR="008910AA" w:rsidRDefault="008910AA" w:rsidP="00771A8B">
            <w:pPr>
              <w:rPr>
                <w:b/>
              </w:rPr>
            </w:pPr>
          </w:p>
        </w:tc>
      </w:tr>
      <w:tr w:rsidR="008910AA" w14:paraId="081A7A82" w14:textId="77777777" w:rsidTr="00470616">
        <w:trPr>
          <w:cantSplit/>
          <w:jc w:val="center"/>
        </w:trPr>
        <w:tc>
          <w:tcPr>
            <w:tcW w:w="571" w:type="dxa"/>
            <w:vMerge w:val="restart"/>
            <w:tcBorders>
              <w:top w:val="nil"/>
            </w:tcBorders>
            <w:textDirection w:val="btLr"/>
          </w:tcPr>
          <w:p w14:paraId="394D50B5"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661DF0F1"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5B12871" w14:textId="77777777" w:rsidR="008910AA" w:rsidRDefault="008910AA" w:rsidP="00771A8B">
            <w:r>
              <w:t>conducted a literature review of teamwork training in healthcare or other settings</w:t>
            </w:r>
            <w:r w:rsidR="000947A7">
              <w:t xml:space="preserve"> and have identified best practices</w:t>
            </w:r>
            <w:r>
              <w:t xml:space="preserve">. (p.101) </w:t>
            </w:r>
          </w:p>
          <w:p w14:paraId="18693731" w14:textId="77777777" w:rsidR="008910AA" w:rsidRDefault="008910AA" w:rsidP="00771A8B">
            <w:pPr>
              <w:rPr>
                <w:b/>
              </w:rPr>
            </w:pPr>
            <w:r>
              <w:rPr>
                <w:b/>
              </w:rPr>
              <w:t>OR</w:t>
            </w:r>
          </w:p>
          <w:p w14:paraId="177718DD" w14:textId="77777777" w:rsidR="008910AA" w:rsidRDefault="008910AA" w:rsidP="00771A8B">
            <w:r>
              <w:t>conducted a review of available teamwork training programs in progressive organizations</w:t>
            </w:r>
            <w:r w:rsidR="000947A7">
              <w:t xml:space="preserve"> to identify best practices</w:t>
            </w:r>
            <w:r>
              <w:t xml:space="preserve">. (p.99) </w:t>
            </w:r>
          </w:p>
          <w:p w14:paraId="4F018364" w14:textId="77777777" w:rsidR="00771A8B" w:rsidRDefault="00771A8B" w:rsidP="00771A8B"/>
        </w:tc>
      </w:tr>
      <w:tr w:rsidR="008910AA" w14:paraId="29998934" w14:textId="77777777" w:rsidTr="00470616">
        <w:trPr>
          <w:cantSplit/>
          <w:jc w:val="center"/>
        </w:trPr>
        <w:tc>
          <w:tcPr>
            <w:tcW w:w="571" w:type="dxa"/>
            <w:vMerge/>
          </w:tcPr>
          <w:p w14:paraId="7ADA8545" w14:textId="77777777" w:rsidR="008910AA" w:rsidRDefault="008910AA">
            <w:pPr>
              <w:jc w:val="center"/>
              <w:rPr>
                <w:sz w:val="16"/>
              </w:rPr>
            </w:pPr>
          </w:p>
        </w:tc>
        <w:tc>
          <w:tcPr>
            <w:tcW w:w="738" w:type="dxa"/>
            <w:tcBorders>
              <w:top w:val="nil"/>
              <w:bottom w:val="nil"/>
              <w:right w:val="nil"/>
            </w:tcBorders>
          </w:tcPr>
          <w:p w14:paraId="2C37A32D" w14:textId="77777777" w:rsidR="008910AA" w:rsidRDefault="008910AA" w:rsidP="00771A8B">
            <w:pPr>
              <w:jc w:val="right"/>
              <w:rPr>
                <w:sz w:val="16"/>
              </w:rPr>
            </w:pPr>
            <w:r>
              <w:rPr>
                <w:sz w:val="16"/>
              </w:rPr>
              <w:t xml:space="preserve">b </w:t>
            </w:r>
            <w:r>
              <w:rPr>
                <w:b/>
              </w:rPr>
              <w:sym w:font="Wingdings" w:char="F06F"/>
            </w:r>
          </w:p>
        </w:tc>
        <w:tc>
          <w:tcPr>
            <w:tcW w:w="8483" w:type="dxa"/>
            <w:tcBorders>
              <w:top w:val="nil"/>
              <w:left w:val="nil"/>
              <w:bottom w:val="nil"/>
            </w:tcBorders>
          </w:tcPr>
          <w:p w14:paraId="6D7BB99B" w14:textId="77777777" w:rsidR="008910AA" w:rsidRDefault="008910AA" w:rsidP="00771A8B">
            <w:r>
              <w:t>conducted an assessment of high</w:t>
            </w:r>
            <w:r w:rsidR="000947A7">
              <w:t>-risk areas, in terms of</w:t>
            </w:r>
            <w:r>
              <w:t xml:space="preserve"> patient safety</w:t>
            </w:r>
            <w:r w:rsidR="000947A7">
              <w:t xml:space="preserve">, </w:t>
            </w:r>
            <w:r>
              <w:t xml:space="preserve">by an </w:t>
            </w:r>
            <w:r w:rsidR="000947A7">
              <w:t>i</w:t>
            </w:r>
            <w:r>
              <w:t xml:space="preserve">nterdisciplinary </w:t>
            </w:r>
            <w:r w:rsidR="000947A7">
              <w:t>p</w:t>
            </w:r>
            <w:r>
              <w:t xml:space="preserve">atient </w:t>
            </w:r>
            <w:r w:rsidR="000947A7">
              <w:t>s</w:t>
            </w:r>
            <w:r>
              <w:t xml:space="preserve">afety </w:t>
            </w:r>
            <w:r w:rsidR="000947A7">
              <w:t>t</w:t>
            </w:r>
            <w:r>
              <w:t xml:space="preserve">eam to determine specific processes </w:t>
            </w:r>
            <w:r w:rsidR="000947A7">
              <w:t xml:space="preserve">(e.g. communication, collaboration, etc.) and those involved in those processes in need of teamwork improvement. </w:t>
            </w:r>
            <w:r>
              <w:t>Th</w:t>
            </w:r>
            <w:r w:rsidR="000947A7">
              <w:t>e results of the assessment</w:t>
            </w:r>
            <w:r>
              <w:t xml:space="preserve"> were </w:t>
            </w:r>
            <w:r w:rsidR="000947A7">
              <w:t>shared</w:t>
            </w:r>
            <w:r>
              <w:t xml:space="preserve"> to senior administrative leadership. (p.97) </w:t>
            </w:r>
          </w:p>
          <w:p w14:paraId="3E8C5B5B" w14:textId="77777777" w:rsidR="00771A8B" w:rsidRDefault="00771A8B" w:rsidP="00771A8B"/>
        </w:tc>
      </w:tr>
      <w:tr w:rsidR="008910AA" w14:paraId="74A47099" w14:textId="77777777" w:rsidTr="00470616">
        <w:trPr>
          <w:cantSplit/>
          <w:jc w:val="center"/>
        </w:trPr>
        <w:tc>
          <w:tcPr>
            <w:tcW w:w="571" w:type="dxa"/>
            <w:vMerge/>
          </w:tcPr>
          <w:p w14:paraId="02314CE3" w14:textId="77777777" w:rsidR="008910AA" w:rsidRDefault="008910AA">
            <w:pPr>
              <w:jc w:val="center"/>
              <w:rPr>
                <w:sz w:val="16"/>
              </w:rPr>
            </w:pPr>
          </w:p>
        </w:tc>
        <w:tc>
          <w:tcPr>
            <w:tcW w:w="738" w:type="dxa"/>
            <w:tcBorders>
              <w:top w:val="nil"/>
              <w:bottom w:val="nil"/>
              <w:right w:val="nil"/>
            </w:tcBorders>
          </w:tcPr>
          <w:p w14:paraId="385F4E66" w14:textId="77777777" w:rsidR="008910AA" w:rsidRDefault="008910AA" w:rsidP="00771A8B">
            <w:pPr>
              <w:jc w:val="right"/>
              <w:rPr>
                <w:sz w:val="16"/>
              </w:rPr>
            </w:pPr>
            <w:r>
              <w:rPr>
                <w:sz w:val="16"/>
              </w:rPr>
              <w:t xml:space="preserve">c </w:t>
            </w:r>
            <w:r>
              <w:rPr>
                <w:b/>
              </w:rPr>
              <w:sym w:font="Wingdings" w:char="F06F"/>
            </w:r>
          </w:p>
        </w:tc>
        <w:tc>
          <w:tcPr>
            <w:tcW w:w="8483" w:type="dxa"/>
            <w:tcBorders>
              <w:top w:val="nil"/>
              <w:left w:val="nil"/>
              <w:bottom w:val="nil"/>
            </w:tcBorders>
          </w:tcPr>
          <w:p w14:paraId="3B4F5FCC" w14:textId="77777777" w:rsidR="008910AA" w:rsidRDefault="00880948" w:rsidP="00771A8B">
            <w:r>
              <w:t xml:space="preserve">shared results of the assessment (from 3.1b) that determined specific processes and those involved in those processes in need of teamwork improvement with </w:t>
            </w:r>
            <w:r w:rsidR="008910AA">
              <w:t>senior management, mid-level management and physician leadership</w:t>
            </w:r>
            <w:r>
              <w:t xml:space="preserve">. </w:t>
            </w:r>
            <w:r w:rsidR="008910AA">
              <w:t xml:space="preserve">(pp.97-98) </w:t>
            </w:r>
          </w:p>
          <w:p w14:paraId="6F1ADD30" w14:textId="77777777" w:rsidR="00771A8B" w:rsidRDefault="00771A8B" w:rsidP="00771A8B"/>
        </w:tc>
      </w:tr>
      <w:tr w:rsidR="000947A7" w14:paraId="479010F1" w14:textId="77777777" w:rsidTr="00470616">
        <w:trPr>
          <w:cantSplit/>
          <w:jc w:val="center"/>
        </w:trPr>
        <w:tc>
          <w:tcPr>
            <w:tcW w:w="571" w:type="dxa"/>
            <w:vMerge/>
          </w:tcPr>
          <w:p w14:paraId="638088A7" w14:textId="77777777" w:rsidR="000947A7" w:rsidRDefault="000947A7">
            <w:pPr>
              <w:jc w:val="center"/>
              <w:rPr>
                <w:sz w:val="16"/>
              </w:rPr>
            </w:pPr>
          </w:p>
        </w:tc>
        <w:tc>
          <w:tcPr>
            <w:tcW w:w="738" w:type="dxa"/>
            <w:tcBorders>
              <w:top w:val="nil"/>
              <w:bottom w:val="nil"/>
              <w:right w:val="nil"/>
            </w:tcBorders>
          </w:tcPr>
          <w:p w14:paraId="55075E3C" w14:textId="77777777" w:rsidR="000947A7" w:rsidRDefault="000947A7" w:rsidP="00771A8B">
            <w:pPr>
              <w:jc w:val="right"/>
              <w:rPr>
                <w:sz w:val="16"/>
              </w:rPr>
            </w:pPr>
            <w:r>
              <w:rPr>
                <w:sz w:val="16"/>
              </w:rPr>
              <w:t xml:space="preserve">d </w:t>
            </w:r>
            <w:r>
              <w:rPr>
                <w:b/>
              </w:rPr>
              <w:sym w:font="Wingdings" w:char="F06F"/>
            </w:r>
          </w:p>
        </w:tc>
        <w:tc>
          <w:tcPr>
            <w:tcW w:w="8483" w:type="dxa"/>
            <w:tcBorders>
              <w:top w:val="nil"/>
              <w:left w:val="nil"/>
              <w:bottom w:val="nil"/>
            </w:tcBorders>
          </w:tcPr>
          <w:p w14:paraId="16B70F66" w14:textId="77777777" w:rsidR="000947A7" w:rsidRDefault="000947A7" w:rsidP="00771A8B">
            <w:r>
              <w:t xml:space="preserve">informed senior management, mid-level management and physician leadership that to meet the need, internal resources and possible resources from progressive organizations have been identified. </w:t>
            </w:r>
          </w:p>
          <w:p w14:paraId="07D6693D" w14:textId="77777777" w:rsidR="000947A7" w:rsidRDefault="000947A7" w:rsidP="00771A8B"/>
        </w:tc>
      </w:tr>
      <w:tr w:rsidR="008910AA" w14:paraId="193B5F8E" w14:textId="77777777" w:rsidTr="00470616">
        <w:trPr>
          <w:cantSplit/>
          <w:jc w:val="center"/>
        </w:trPr>
        <w:tc>
          <w:tcPr>
            <w:tcW w:w="571" w:type="dxa"/>
            <w:vMerge/>
          </w:tcPr>
          <w:p w14:paraId="7CE6C7D6" w14:textId="77777777" w:rsidR="008910AA" w:rsidRDefault="008910AA">
            <w:pPr>
              <w:jc w:val="center"/>
              <w:rPr>
                <w:sz w:val="16"/>
              </w:rPr>
            </w:pPr>
          </w:p>
        </w:tc>
        <w:tc>
          <w:tcPr>
            <w:tcW w:w="738" w:type="dxa"/>
            <w:tcBorders>
              <w:top w:val="nil"/>
              <w:right w:val="nil"/>
            </w:tcBorders>
          </w:tcPr>
          <w:p w14:paraId="3C8D5839" w14:textId="77777777" w:rsidR="008910AA" w:rsidRDefault="000947A7" w:rsidP="00771A8B">
            <w:pPr>
              <w:jc w:val="right"/>
              <w:rPr>
                <w:u w:val="single"/>
              </w:rPr>
            </w:pPr>
            <w:r>
              <w:rPr>
                <w:sz w:val="16"/>
              </w:rPr>
              <w:t>e</w:t>
            </w:r>
            <w:r w:rsidR="008910AA">
              <w:rPr>
                <w:sz w:val="16"/>
              </w:rPr>
              <w:t xml:space="preserve"> </w:t>
            </w:r>
            <w:r w:rsidR="008910AA">
              <w:rPr>
                <w:b/>
              </w:rPr>
              <w:sym w:font="Wingdings" w:char="F06F"/>
            </w:r>
          </w:p>
        </w:tc>
        <w:tc>
          <w:tcPr>
            <w:tcW w:w="8483" w:type="dxa"/>
            <w:tcBorders>
              <w:top w:val="nil"/>
              <w:left w:val="nil"/>
            </w:tcBorders>
          </w:tcPr>
          <w:p w14:paraId="157E69BD" w14:textId="77777777" w:rsidR="008910AA" w:rsidRDefault="008910AA" w:rsidP="00771A8B">
            <w:r>
              <w:t xml:space="preserve">assessed the organizational need for rapid response systems and any associated training. (p.97) </w:t>
            </w:r>
          </w:p>
          <w:p w14:paraId="2DAB21C5" w14:textId="77777777" w:rsidR="008910AA" w:rsidRDefault="008910AA" w:rsidP="00771A8B"/>
        </w:tc>
      </w:tr>
      <w:tr w:rsidR="008910AA" w14:paraId="335BED1A" w14:textId="77777777" w:rsidTr="00470616">
        <w:trPr>
          <w:cantSplit/>
          <w:jc w:val="center"/>
        </w:trPr>
        <w:tc>
          <w:tcPr>
            <w:tcW w:w="571" w:type="dxa"/>
            <w:tcBorders>
              <w:bottom w:val="nil"/>
            </w:tcBorders>
          </w:tcPr>
          <w:p w14:paraId="15CD8E06" w14:textId="77777777" w:rsidR="008910AA" w:rsidRDefault="008910AA">
            <w:pPr>
              <w:jc w:val="center"/>
            </w:pPr>
            <w:r>
              <w:rPr>
                <w:sz w:val="16"/>
              </w:rPr>
              <w:t>3.2</w:t>
            </w:r>
          </w:p>
        </w:tc>
        <w:tc>
          <w:tcPr>
            <w:tcW w:w="9221" w:type="dxa"/>
            <w:gridSpan w:val="2"/>
            <w:tcBorders>
              <w:bottom w:val="nil"/>
            </w:tcBorders>
          </w:tcPr>
          <w:p w14:paraId="09CE41F1" w14:textId="77777777" w:rsidR="008910AA" w:rsidRDefault="008910AA" w:rsidP="00771A8B">
            <w:pPr>
              <w:rPr>
                <w:b/>
              </w:rPr>
            </w:pPr>
            <w:r>
              <w:rPr>
                <w:b/>
              </w:rPr>
              <w:t>In regard to leadership being held accountable for the demonstration of teamwork skills in the organization, our organization has done the following within the last 12 months:</w:t>
            </w:r>
          </w:p>
          <w:p w14:paraId="48C47226" w14:textId="77777777" w:rsidR="008910AA" w:rsidRDefault="008910AA" w:rsidP="00771A8B">
            <w:pPr>
              <w:rPr>
                <w:b/>
              </w:rPr>
            </w:pPr>
          </w:p>
        </w:tc>
      </w:tr>
      <w:tr w:rsidR="008910AA" w14:paraId="0F857F2B" w14:textId="77777777" w:rsidTr="00470616">
        <w:trPr>
          <w:cantSplit/>
          <w:jc w:val="center"/>
        </w:trPr>
        <w:tc>
          <w:tcPr>
            <w:tcW w:w="571" w:type="dxa"/>
            <w:vMerge w:val="restart"/>
            <w:tcBorders>
              <w:top w:val="nil"/>
            </w:tcBorders>
            <w:textDirection w:val="btLr"/>
          </w:tcPr>
          <w:p w14:paraId="68A3DB5B"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712314E3"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9E538B5" w14:textId="77777777" w:rsidR="008910AA" w:rsidRDefault="008910AA" w:rsidP="00771A8B">
            <w:r>
              <w:t>determined, through a literature review or an assessment, a set of targeted units or service lines for detailed teamwork training and effective teamwork skill building. These units/lines were identified by the CEO to the Board (governance), senior managers, and medical staff. (p.97)</w:t>
            </w:r>
          </w:p>
          <w:p w14:paraId="19BD557E" w14:textId="77777777" w:rsidR="00771A8B" w:rsidRDefault="00771A8B" w:rsidP="00771A8B"/>
        </w:tc>
      </w:tr>
      <w:tr w:rsidR="008910AA" w14:paraId="05CA8820" w14:textId="77777777" w:rsidTr="00470616">
        <w:trPr>
          <w:cantSplit/>
          <w:jc w:val="center"/>
        </w:trPr>
        <w:tc>
          <w:tcPr>
            <w:tcW w:w="571" w:type="dxa"/>
            <w:vMerge/>
          </w:tcPr>
          <w:p w14:paraId="0F6C5789" w14:textId="77777777" w:rsidR="008910AA" w:rsidRDefault="008910AA">
            <w:pPr>
              <w:jc w:val="center"/>
              <w:rPr>
                <w:sz w:val="16"/>
              </w:rPr>
            </w:pPr>
          </w:p>
        </w:tc>
        <w:tc>
          <w:tcPr>
            <w:tcW w:w="738" w:type="dxa"/>
            <w:tcBorders>
              <w:top w:val="nil"/>
              <w:right w:val="nil"/>
            </w:tcBorders>
          </w:tcPr>
          <w:p w14:paraId="4A66DE1D" w14:textId="77777777" w:rsidR="008910AA" w:rsidRDefault="008910AA" w:rsidP="00771A8B">
            <w:pPr>
              <w:jc w:val="right"/>
              <w:rPr>
                <w:u w:val="single"/>
              </w:rPr>
            </w:pPr>
            <w:r>
              <w:rPr>
                <w:sz w:val="16"/>
              </w:rPr>
              <w:t xml:space="preserve">b </w:t>
            </w:r>
            <w:r>
              <w:rPr>
                <w:b/>
              </w:rPr>
              <w:sym w:font="Wingdings" w:char="F06F"/>
            </w:r>
          </w:p>
        </w:tc>
        <w:tc>
          <w:tcPr>
            <w:tcW w:w="8483" w:type="dxa"/>
            <w:tcBorders>
              <w:top w:val="nil"/>
              <w:left w:val="nil"/>
            </w:tcBorders>
          </w:tcPr>
          <w:p w14:paraId="6763D2FA" w14:textId="77777777" w:rsidR="008910AA" w:rsidRDefault="008910AA" w:rsidP="00771A8B">
            <w:r w:rsidRPr="004E15D1">
              <w:t xml:space="preserve">provided basic </w:t>
            </w:r>
            <w:hyperlink w:anchor="Endnote36" w:history="1">
              <w:r w:rsidRPr="00A94159">
                <w:rPr>
                  <w:rStyle w:val="Hyperlink"/>
                </w:rPr>
                <w:t>teamwork training</w:t>
              </w:r>
            </w:hyperlink>
            <w:r w:rsidRPr="00CA641B">
              <w:rPr>
                <w:rStyle w:val="EndnoteReference"/>
              </w:rPr>
              <w:endnoteReference w:id="37"/>
            </w:r>
            <w:r w:rsidRPr="004E15D1">
              <w:t xml:space="preserve"> to the Board (governance), senior managers, medical staff, mid-level management, and frontline nurses on communication hand-offs and team failures leading to patient harm. Training was documented in personnel </w:t>
            </w:r>
            <w:r w:rsidR="00D741B6" w:rsidRPr="004E15D1">
              <w:t xml:space="preserve">or administrative </w:t>
            </w:r>
            <w:r w:rsidRPr="004E15D1">
              <w:t>records. (p.96)</w:t>
            </w:r>
          </w:p>
          <w:p w14:paraId="7BA1B5DB" w14:textId="77777777" w:rsidR="008910AA" w:rsidRDefault="008910AA" w:rsidP="00771A8B"/>
        </w:tc>
      </w:tr>
      <w:tr w:rsidR="008910AA" w14:paraId="33B76EB4" w14:textId="77777777" w:rsidTr="00470616">
        <w:trPr>
          <w:cantSplit/>
          <w:jc w:val="center"/>
        </w:trPr>
        <w:tc>
          <w:tcPr>
            <w:tcW w:w="571" w:type="dxa"/>
            <w:tcBorders>
              <w:bottom w:val="nil"/>
            </w:tcBorders>
          </w:tcPr>
          <w:p w14:paraId="45D4E6F3" w14:textId="77777777" w:rsidR="008910AA" w:rsidRDefault="008910AA">
            <w:pPr>
              <w:jc w:val="center"/>
            </w:pPr>
            <w:r>
              <w:rPr>
                <w:sz w:val="16"/>
              </w:rPr>
              <w:t>3.3</w:t>
            </w:r>
          </w:p>
        </w:tc>
        <w:tc>
          <w:tcPr>
            <w:tcW w:w="9221" w:type="dxa"/>
            <w:gridSpan w:val="2"/>
            <w:tcBorders>
              <w:bottom w:val="nil"/>
            </w:tcBorders>
          </w:tcPr>
          <w:p w14:paraId="13ACE261" w14:textId="77777777" w:rsidR="008910AA" w:rsidRDefault="008910AA" w:rsidP="00771A8B">
            <w:pPr>
              <w:rPr>
                <w:b/>
              </w:rPr>
            </w:pPr>
            <w:r>
              <w:rPr>
                <w:b/>
              </w:rPr>
              <w:t>In regard to effective teamwork training and skill building, our organization has done the following within the last 12 months:</w:t>
            </w:r>
          </w:p>
          <w:p w14:paraId="6A755E81" w14:textId="77777777" w:rsidR="008910AA" w:rsidRDefault="008910AA" w:rsidP="00771A8B">
            <w:pPr>
              <w:rPr>
                <w:b/>
              </w:rPr>
            </w:pPr>
          </w:p>
        </w:tc>
      </w:tr>
      <w:tr w:rsidR="008910AA" w14:paraId="4941200D" w14:textId="77777777" w:rsidTr="00470616">
        <w:trPr>
          <w:cantSplit/>
          <w:jc w:val="center"/>
        </w:trPr>
        <w:tc>
          <w:tcPr>
            <w:tcW w:w="571" w:type="dxa"/>
            <w:vMerge w:val="restart"/>
            <w:tcBorders>
              <w:top w:val="nil"/>
            </w:tcBorders>
            <w:textDirection w:val="btLr"/>
          </w:tcPr>
          <w:p w14:paraId="1F1EC230"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7A0C7A42"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BBB397A" w14:textId="77777777" w:rsidR="008910AA" w:rsidRDefault="008910AA" w:rsidP="00771A8B">
            <w:r w:rsidRPr="00304B64">
              <w:t>resourced patient safety program budgets to support the assessment of need and team training activities.</w:t>
            </w:r>
          </w:p>
          <w:p w14:paraId="6898CEC4" w14:textId="77777777" w:rsidR="00771A8B" w:rsidRPr="00304B64" w:rsidRDefault="00771A8B" w:rsidP="00771A8B"/>
        </w:tc>
      </w:tr>
      <w:tr w:rsidR="008910AA" w14:paraId="03B850C0" w14:textId="77777777" w:rsidTr="00470616">
        <w:trPr>
          <w:cantSplit/>
          <w:trHeight w:val="485"/>
          <w:jc w:val="center"/>
        </w:trPr>
        <w:tc>
          <w:tcPr>
            <w:tcW w:w="571" w:type="dxa"/>
            <w:vMerge/>
          </w:tcPr>
          <w:p w14:paraId="62776D4F" w14:textId="77777777" w:rsidR="008910AA" w:rsidRDefault="008910AA">
            <w:pPr>
              <w:jc w:val="center"/>
              <w:rPr>
                <w:sz w:val="16"/>
              </w:rPr>
            </w:pPr>
          </w:p>
        </w:tc>
        <w:tc>
          <w:tcPr>
            <w:tcW w:w="738" w:type="dxa"/>
            <w:tcBorders>
              <w:top w:val="nil"/>
              <w:right w:val="nil"/>
            </w:tcBorders>
          </w:tcPr>
          <w:p w14:paraId="1AA960B2" w14:textId="77777777" w:rsidR="008910AA" w:rsidRDefault="008910AA" w:rsidP="00771A8B">
            <w:pPr>
              <w:jc w:val="right"/>
              <w:rPr>
                <w:sz w:val="16"/>
              </w:rPr>
            </w:pPr>
            <w:r>
              <w:rPr>
                <w:sz w:val="16"/>
              </w:rPr>
              <w:t xml:space="preserve">b </w:t>
            </w:r>
            <w:r>
              <w:rPr>
                <w:b/>
              </w:rPr>
              <w:sym w:font="Wingdings" w:char="F06F"/>
            </w:r>
          </w:p>
        </w:tc>
        <w:tc>
          <w:tcPr>
            <w:tcW w:w="8483" w:type="dxa"/>
            <w:tcBorders>
              <w:top w:val="nil"/>
              <w:left w:val="nil"/>
            </w:tcBorders>
          </w:tcPr>
          <w:p w14:paraId="6EEF3CD7" w14:textId="77777777" w:rsidR="008910AA" w:rsidRDefault="008910AA" w:rsidP="00771A8B">
            <w:r w:rsidRPr="00304B64">
              <w:t xml:space="preserve">provided clinical staff and licensed independent practitioners in the hospital-targeted units detailed teamwork training and skill building. Participation was documented. (p.96) </w:t>
            </w:r>
          </w:p>
          <w:p w14:paraId="6AFDFC70" w14:textId="77777777" w:rsidR="006856B3" w:rsidRDefault="006856B3" w:rsidP="00771A8B"/>
          <w:p w14:paraId="2CCA4A1A" w14:textId="77777777" w:rsidR="006856B3" w:rsidRDefault="006856B3" w:rsidP="00771A8B"/>
          <w:p w14:paraId="67899332" w14:textId="77777777" w:rsidR="006856B3" w:rsidRPr="00304B64" w:rsidRDefault="006856B3" w:rsidP="00771A8B"/>
          <w:p w14:paraId="23E0D782" w14:textId="77777777" w:rsidR="006856B3" w:rsidRPr="00304B64" w:rsidRDefault="006856B3" w:rsidP="00771A8B"/>
        </w:tc>
      </w:tr>
      <w:tr w:rsidR="008910AA" w14:paraId="2EFEFB57" w14:textId="77777777" w:rsidTr="00470616">
        <w:trPr>
          <w:cantSplit/>
          <w:jc w:val="center"/>
        </w:trPr>
        <w:tc>
          <w:tcPr>
            <w:tcW w:w="571" w:type="dxa"/>
            <w:tcBorders>
              <w:bottom w:val="nil"/>
            </w:tcBorders>
          </w:tcPr>
          <w:p w14:paraId="50FE83E8" w14:textId="77777777" w:rsidR="008910AA" w:rsidRDefault="008910AA">
            <w:pPr>
              <w:jc w:val="center"/>
            </w:pPr>
            <w:r>
              <w:rPr>
                <w:sz w:val="16"/>
              </w:rPr>
              <w:lastRenderedPageBreak/>
              <w:t>3.4</w:t>
            </w:r>
          </w:p>
        </w:tc>
        <w:tc>
          <w:tcPr>
            <w:tcW w:w="9221" w:type="dxa"/>
            <w:gridSpan w:val="2"/>
            <w:tcBorders>
              <w:bottom w:val="nil"/>
            </w:tcBorders>
          </w:tcPr>
          <w:p w14:paraId="4F1730EC" w14:textId="77777777" w:rsidR="008910AA" w:rsidRDefault="008910AA" w:rsidP="00771A8B">
            <w:pPr>
              <w:rPr>
                <w:b/>
              </w:rPr>
            </w:pPr>
            <w:r>
              <w:rPr>
                <w:b/>
              </w:rPr>
              <w:t xml:space="preserve">Effective team-centered interventions were either in place or were initiated in the past 12 months, as evidenced by: </w:t>
            </w:r>
          </w:p>
          <w:p w14:paraId="47BCBF2D" w14:textId="77777777" w:rsidR="008910AA" w:rsidRDefault="008910AA" w:rsidP="00771A8B">
            <w:pPr>
              <w:rPr>
                <w:b/>
              </w:rPr>
            </w:pPr>
          </w:p>
        </w:tc>
      </w:tr>
      <w:tr w:rsidR="008910AA" w14:paraId="1B4E4642" w14:textId="77777777" w:rsidTr="00470616">
        <w:trPr>
          <w:cantSplit/>
          <w:jc w:val="center"/>
        </w:trPr>
        <w:tc>
          <w:tcPr>
            <w:tcW w:w="571" w:type="dxa"/>
            <w:vMerge w:val="restart"/>
            <w:tcBorders>
              <w:top w:val="nil"/>
            </w:tcBorders>
            <w:textDirection w:val="btLr"/>
          </w:tcPr>
          <w:p w14:paraId="06FCF1DB" w14:textId="77777777" w:rsidR="008910AA" w:rsidRDefault="008910AA" w:rsidP="004400AA">
            <w:pPr>
              <w:spacing w:before="120"/>
              <w:ind w:left="115" w:right="115"/>
              <w:jc w:val="center"/>
              <w:rPr>
                <w:sz w:val="16"/>
              </w:rPr>
            </w:pPr>
            <w:r>
              <w:rPr>
                <w:sz w:val="16"/>
              </w:rPr>
              <w:t>ACTION</w:t>
            </w:r>
          </w:p>
        </w:tc>
        <w:tc>
          <w:tcPr>
            <w:tcW w:w="738" w:type="dxa"/>
            <w:tcBorders>
              <w:top w:val="nil"/>
              <w:bottom w:val="nil"/>
              <w:right w:val="nil"/>
            </w:tcBorders>
          </w:tcPr>
          <w:p w14:paraId="30D70958"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48E43F1" w14:textId="77777777" w:rsidR="008910AA" w:rsidRDefault="008910AA" w:rsidP="00771A8B">
            <w:r>
              <w:t>notation in board minutes documenting that the performance improvement targets in identified units were being addressed. (p.97)</w:t>
            </w:r>
          </w:p>
          <w:p w14:paraId="20D15FA0" w14:textId="77777777" w:rsidR="00771A8B" w:rsidRDefault="00771A8B" w:rsidP="00771A8B"/>
        </w:tc>
      </w:tr>
      <w:tr w:rsidR="008910AA" w14:paraId="6E8D9389" w14:textId="77777777" w:rsidTr="000E29BC">
        <w:trPr>
          <w:cantSplit/>
          <w:jc w:val="center"/>
        </w:trPr>
        <w:tc>
          <w:tcPr>
            <w:tcW w:w="571" w:type="dxa"/>
            <w:vMerge/>
          </w:tcPr>
          <w:p w14:paraId="24EA103E" w14:textId="77777777" w:rsidR="008910AA" w:rsidRDefault="008910AA">
            <w:pPr>
              <w:jc w:val="center"/>
              <w:rPr>
                <w:sz w:val="16"/>
              </w:rPr>
            </w:pPr>
          </w:p>
        </w:tc>
        <w:tc>
          <w:tcPr>
            <w:tcW w:w="738" w:type="dxa"/>
            <w:tcBorders>
              <w:top w:val="nil"/>
              <w:bottom w:val="single" w:sz="4" w:space="0" w:color="auto"/>
              <w:right w:val="nil"/>
            </w:tcBorders>
          </w:tcPr>
          <w:p w14:paraId="427DF231" w14:textId="77777777" w:rsidR="008910AA" w:rsidRDefault="008910AA" w:rsidP="00771A8B">
            <w:pPr>
              <w:jc w:val="right"/>
              <w:rPr>
                <w:u w:val="single"/>
              </w:rPr>
            </w:pPr>
            <w:r>
              <w:rPr>
                <w:sz w:val="16"/>
              </w:rPr>
              <w:t xml:space="preserve">b </w:t>
            </w:r>
            <w:r>
              <w:rPr>
                <w:b/>
              </w:rPr>
              <w:sym w:font="Wingdings" w:char="F06F"/>
            </w:r>
          </w:p>
        </w:tc>
        <w:tc>
          <w:tcPr>
            <w:tcW w:w="8483" w:type="dxa"/>
            <w:tcBorders>
              <w:top w:val="nil"/>
              <w:left w:val="nil"/>
              <w:bottom w:val="single" w:sz="4" w:space="0" w:color="auto"/>
            </w:tcBorders>
          </w:tcPr>
          <w:p w14:paraId="74C10934" w14:textId="77777777" w:rsidR="008910AA" w:rsidRDefault="008910AA" w:rsidP="00771A8B">
            <w:r>
              <w:t xml:space="preserve">evaluation or documentation of unit or service line results for teams that had received the detailed team training intervention during the past 12 months. (pp.97-98) </w:t>
            </w:r>
          </w:p>
          <w:p w14:paraId="2C8B1411" w14:textId="77777777" w:rsidR="008910AA" w:rsidRDefault="008910AA" w:rsidP="00771A8B"/>
        </w:tc>
      </w:tr>
      <w:tr w:rsidR="00470616" w14:paraId="00DD42ED" w14:textId="77777777" w:rsidTr="000E29BC">
        <w:trPr>
          <w:cantSplit/>
          <w:jc w:val="center"/>
        </w:trPr>
        <w:tc>
          <w:tcPr>
            <w:tcW w:w="571" w:type="dxa"/>
          </w:tcPr>
          <w:p w14:paraId="4861D3EC" w14:textId="77777777" w:rsidR="00470616" w:rsidRDefault="00470616">
            <w:pPr>
              <w:jc w:val="center"/>
              <w:rPr>
                <w:sz w:val="16"/>
              </w:rPr>
            </w:pPr>
            <w:r>
              <w:rPr>
                <w:sz w:val="16"/>
              </w:rPr>
              <w:t>3.5</w:t>
            </w:r>
          </w:p>
        </w:tc>
        <w:tc>
          <w:tcPr>
            <w:tcW w:w="738" w:type="dxa"/>
            <w:tcBorders>
              <w:top w:val="single" w:sz="4" w:space="0" w:color="auto"/>
              <w:right w:val="nil"/>
            </w:tcBorders>
          </w:tcPr>
          <w:p w14:paraId="6C0BE6F7" w14:textId="77777777" w:rsidR="00470616" w:rsidRDefault="00470616" w:rsidP="00771A8B">
            <w:pPr>
              <w:jc w:val="right"/>
              <w:rPr>
                <w:sz w:val="16"/>
              </w:rPr>
            </w:pPr>
            <w:r>
              <w:rPr>
                <w:b/>
              </w:rPr>
              <w:sym w:font="Wingdings" w:char="F06F"/>
            </w:r>
          </w:p>
        </w:tc>
        <w:tc>
          <w:tcPr>
            <w:tcW w:w="8483" w:type="dxa"/>
            <w:tcBorders>
              <w:top w:val="single" w:sz="4" w:space="0" w:color="auto"/>
              <w:left w:val="nil"/>
            </w:tcBorders>
          </w:tcPr>
          <w:p w14:paraId="1FA87098" w14:textId="77777777" w:rsidR="00470616" w:rsidRDefault="00470616" w:rsidP="00536A38">
            <w:r>
              <w:t>Review of this safe practice is complete.</w:t>
            </w:r>
          </w:p>
          <w:p w14:paraId="1BF42933" w14:textId="77777777" w:rsidR="00470616" w:rsidRDefault="00470616" w:rsidP="00771A8B">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435D36D2" w14:textId="77777777" w:rsidR="008910AA" w:rsidRDefault="008910AA"/>
    <w:p w14:paraId="6A0CDD05" w14:textId="77777777" w:rsidR="008910AA" w:rsidRPr="00F01A72" w:rsidRDefault="008910AA" w:rsidP="00954B73">
      <w:pPr>
        <w:pStyle w:val="Heading2"/>
        <w:rPr>
          <w:snapToGrid w:val="0"/>
        </w:rPr>
      </w:pPr>
      <w:r>
        <w:rPr>
          <w:bCs/>
        </w:rPr>
        <w:br w:type="page"/>
      </w:r>
      <w:bookmarkStart w:id="255" w:name="SP4"/>
      <w:bookmarkStart w:id="256" w:name="_Toc447195050"/>
      <w:r w:rsidR="00D65253">
        <w:rPr>
          <w:snapToGrid w:val="0"/>
        </w:rPr>
        <w:lastRenderedPageBreak/>
        <w:t xml:space="preserve">6D: </w:t>
      </w:r>
      <w:r w:rsidR="00F01A72">
        <w:rPr>
          <w:snapToGrid w:val="0"/>
        </w:rPr>
        <w:t xml:space="preserve">Practice #4 - </w:t>
      </w:r>
      <w:r w:rsidRPr="00F01A72">
        <w:rPr>
          <w:snapToGrid w:val="0"/>
        </w:rPr>
        <w:t>Risks and Hazards</w:t>
      </w:r>
      <w:bookmarkEnd w:id="255"/>
      <w:bookmarkEnd w:id="256"/>
    </w:p>
    <w:p w14:paraId="0A88001B" w14:textId="77777777" w:rsidR="008910AA" w:rsidRDefault="008910AA" w:rsidP="005A41AD">
      <w:pPr>
        <w:rPr>
          <w:i/>
        </w:rPr>
      </w:pPr>
      <w:r>
        <w:rPr>
          <w:i/>
        </w:rPr>
        <w:t>(</w:t>
      </w:r>
      <w:r w:rsidR="00F01A72">
        <w:rPr>
          <w:i/>
        </w:rPr>
        <w:t>P</w:t>
      </w:r>
      <w:r>
        <w:rPr>
          <w:i/>
        </w:rPr>
        <w:t>age numbers reference NQF Safe Practices for Better Healthcare – 2010 Update report)</w:t>
      </w:r>
    </w:p>
    <w:p w14:paraId="1E78C5E1" w14:textId="77777777" w:rsidR="008910AA" w:rsidRDefault="008910AA">
      <w:pPr>
        <w:rPr>
          <w:i/>
        </w:rPr>
      </w:pPr>
    </w:p>
    <w:p w14:paraId="1A4C19D0" w14:textId="77777777" w:rsidR="008910AA" w:rsidRDefault="008910AA">
      <w:pPr>
        <w:rPr>
          <w:i/>
        </w:rPr>
      </w:pPr>
      <w:r>
        <w:rPr>
          <w:bCs/>
          <w:i/>
        </w:rPr>
        <w:t>Check all boxes that apply.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2F63A76E" w14:textId="77777777" w:rsidTr="00470616">
        <w:trPr>
          <w:cantSplit/>
        </w:trPr>
        <w:tc>
          <w:tcPr>
            <w:tcW w:w="571" w:type="dxa"/>
            <w:tcBorders>
              <w:bottom w:val="nil"/>
            </w:tcBorders>
          </w:tcPr>
          <w:p w14:paraId="74870891" w14:textId="77777777" w:rsidR="008910AA" w:rsidRDefault="008910AA">
            <w:pPr>
              <w:jc w:val="center"/>
              <w:rPr>
                <w:sz w:val="16"/>
              </w:rPr>
            </w:pPr>
            <w:r>
              <w:rPr>
                <w:sz w:val="16"/>
              </w:rPr>
              <w:t>4.1</w:t>
            </w:r>
          </w:p>
        </w:tc>
        <w:tc>
          <w:tcPr>
            <w:tcW w:w="9221" w:type="dxa"/>
            <w:gridSpan w:val="2"/>
            <w:tcBorders>
              <w:bottom w:val="nil"/>
            </w:tcBorders>
          </w:tcPr>
          <w:p w14:paraId="7B6091DE" w14:textId="77777777" w:rsidR="008910AA" w:rsidRDefault="008910AA">
            <w:pPr>
              <w:rPr>
                <w:b/>
              </w:rPr>
            </w:pPr>
            <w:r>
              <w:rPr>
                <w:b/>
              </w:rPr>
              <w:t>Within the last 12 months our organization has done the following:</w:t>
            </w:r>
          </w:p>
          <w:p w14:paraId="42C8E0C4" w14:textId="77777777" w:rsidR="008910AA" w:rsidRDefault="008910AA" w:rsidP="00E31A00">
            <w:pPr>
              <w:rPr>
                <w:b/>
              </w:rPr>
            </w:pPr>
          </w:p>
        </w:tc>
      </w:tr>
      <w:tr w:rsidR="008910AA" w14:paraId="2195F2E5" w14:textId="77777777" w:rsidTr="00470616">
        <w:trPr>
          <w:cantSplit/>
        </w:trPr>
        <w:tc>
          <w:tcPr>
            <w:tcW w:w="571" w:type="dxa"/>
            <w:vMerge w:val="restart"/>
            <w:tcBorders>
              <w:top w:val="nil"/>
            </w:tcBorders>
            <w:textDirection w:val="btLr"/>
          </w:tcPr>
          <w:p w14:paraId="1D1AF3D7" w14:textId="77777777" w:rsidR="008910AA" w:rsidRDefault="008910AA" w:rsidP="0098794C">
            <w:pPr>
              <w:jc w:val="center"/>
              <w:rPr>
                <w:sz w:val="16"/>
              </w:rPr>
            </w:pPr>
            <w:r>
              <w:rPr>
                <w:sz w:val="16"/>
              </w:rPr>
              <w:t>AWARENESS</w:t>
            </w:r>
          </w:p>
        </w:tc>
        <w:tc>
          <w:tcPr>
            <w:tcW w:w="738" w:type="dxa"/>
            <w:tcBorders>
              <w:top w:val="nil"/>
              <w:bottom w:val="nil"/>
              <w:right w:val="nil"/>
            </w:tcBorders>
          </w:tcPr>
          <w:p w14:paraId="2E094085" w14:textId="77777777" w:rsidR="008910AA" w:rsidRDefault="008910AA"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33FCF7BF" w14:textId="77777777" w:rsidR="008910AA" w:rsidRDefault="008910AA" w:rsidP="0098794C">
            <w:r>
              <w:t xml:space="preserve">assessed risks and hazards to patients by reviewing </w:t>
            </w:r>
            <w:r w:rsidR="0098794C">
              <w:t xml:space="preserve">multiple </w:t>
            </w:r>
            <w:r>
              <w:t xml:space="preserve">retrospective sources, such as:  </w:t>
            </w:r>
          </w:p>
          <w:p w14:paraId="0AB93487" w14:textId="77777777" w:rsidR="008910AA" w:rsidRDefault="008910AA" w:rsidP="00ED58C1">
            <w:pPr>
              <w:pStyle w:val="ListParagraph"/>
              <w:numPr>
                <w:ilvl w:val="0"/>
                <w:numId w:val="96"/>
              </w:numPr>
            </w:pPr>
            <w:r>
              <w:t xml:space="preserve">serious and sentinel event reporting; </w:t>
            </w:r>
          </w:p>
          <w:p w14:paraId="7E20E639" w14:textId="77777777" w:rsidR="008910AA" w:rsidRDefault="008910AA" w:rsidP="00ED58C1">
            <w:pPr>
              <w:pStyle w:val="ListParagraph"/>
              <w:numPr>
                <w:ilvl w:val="0"/>
                <w:numId w:val="21"/>
              </w:numPr>
            </w:pPr>
            <w:r>
              <w:t xml:space="preserve">root cause analyses for adverse events; </w:t>
            </w:r>
          </w:p>
          <w:p w14:paraId="4F2D07FA" w14:textId="77777777" w:rsidR="008910AA" w:rsidRDefault="008910AA" w:rsidP="00ED58C1">
            <w:pPr>
              <w:pStyle w:val="ListParagraph"/>
              <w:numPr>
                <w:ilvl w:val="0"/>
                <w:numId w:val="21"/>
              </w:numPr>
            </w:pPr>
            <w:r>
              <w:t xml:space="preserve">independent comparative mortality and morbidity information with the hospital’s performance; </w:t>
            </w:r>
          </w:p>
          <w:p w14:paraId="0D97D19F" w14:textId="77777777" w:rsidR="008910AA" w:rsidRDefault="008910AA" w:rsidP="00ED58C1">
            <w:pPr>
              <w:pStyle w:val="ListParagraph"/>
              <w:numPr>
                <w:ilvl w:val="0"/>
                <w:numId w:val="21"/>
              </w:numPr>
            </w:pPr>
            <w:r>
              <w:t xml:space="preserve">patient safety indicators; </w:t>
            </w:r>
          </w:p>
          <w:p w14:paraId="14518566" w14:textId="77777777" w:rsidR="008910AA" w:rsidRDefault="008910AA" w:rsidP="00ED58C1">
            <w:pPr>
              <w:pStyle w:val="ListParagraph"/>
              <w:numPr>
                <w:ilvl w:val="0"/>
                <w:numId w:val="21"/>
              </w:numPr>
            </w:pPr>
            <w:r>
              <w:t xml:space="preserve">trigger tools; </w:t>
            </w:r>
          </w:p>
          <w:p w14:paraId="16775C38" w14:textId="77777777" w:rsidR="008910AA" w:rsidRDefault="008910AA" w:rsidP="00ED58C1">
            <w:pPr>
              <w:pStyle w:val="ListParagraph"/>
              <w:numPr>
                <w:ilvl w:val="0"/>
                <w:numId w:val="21"/>
              </w:numPr>
            </w:pPr>
            <w:r>
              <w:t xml:space="preserve">hospital accreditation surveys; </w:t>
            </w:r>
          </w:p>
          <w:p w14:paraId="7C1992BA" w14:textId="77777777" w:rsidR="008910AA" w:rsidRDefault="008910AA" w:rsidP="00ED58C1">
            <w:pPr>
              <w:pStyle w:val="ListParagraph"/>
              <w:numPr>
                <w:ilvl w:val="0"/>
                <w:numId w:val="21"/>
              </w:numPr>
            </w:pPr>
            <w:r>
              <w:t xml:space="preserve">risk management and filed litigation; </w:t>
            </w:r>
          </w:p>
          <w:p w14:paraId="7C1EE739" w14:textId="77777777" w:rsidR="008910AA" w:rsidRDefault="008910AA" w:rsidP="00ED58C1">
            <w:pPr>
              <w:pStyle w:val="ListParagraph"/>
              <w:numPr>
                <w:ilvl w:val="0"/>
                <w:numId w:val="21"/>
              </w:numPr>
            </w:pPr>
            <w:r>
              <w:t>anonymous internal complaints, including complaints of abusive and disruptive caregiver behavior; and</w:t>
            </w:r>
          </w:p>
          <w:p w14:paraId="48996713" w14:textId="77777777" w:rsidR="008910AA" w:rsidRDefault="008910AA" w:rsidP="00ED58C1">
            <w:pPr>
              <w:pStyle w:val="ListParagraph"/>
              <w:numPr>
                <w:ilvl w:val="0"/>
                <w:numId w:val="21"/>
              </w:numPr>
            </w:pPr>
            <w:r>
              <w:t>complaints filed with state/federal authorities;</w:t>
            </w:r>
          </w:p>
          <w:p w14:paraId="40141700" w14:textId="77777777" w:rsidR="008910AA" w:rsidRDefault="008910AA" w:rsidP="0098794C">
            <w:r>
              <w:t>and based on those findings, documented recommendations for improvement. (p.105)</w:t>
            </w:r>
          </w:p>
          <w:p w14:paraId="5DC31F55" w14:textId="77777777" w:rsidR="0098794C" w:rsidRDefault="0098794C" w:rsidP="0098794C"/>
        </w:tc>
      </w:tr>
      <w:tr w:rsidR="008910AA" w14:paraId="3A4174FD" w14:textId="77777777" w:rsidTr="00470616">
        <w:trPr>
          <w:cantSplit/>
        </w:trPr>
        <w:tc>
          <w:tcPr>
            <w:tcW w:w="571" w:type="dxa"/>
            <w:vMerge/>
          </w:tcPr>
          <w:p w14:paraId="10940E11" w14:textId="77777777" w:rsidR="008910AA" w:rsidRDefault="008910AA" w:rsidP="0098794C">
            <w:pPr>
              <w:jc w:val="center"/>
              <w:rPr>
                <w:sz w:val="16"/>
              </w:rPr>
            </w:pPr>
          </w:p>
        </w:tc>
        <w:tc>
          <w:tcPr>
            <w:tcW w:w="738" w:type="dxa"/>
            <w:tcBorders>
              <w:top w:val="nil"/>
              <w:bottom w:val="nil"/>
              <w:right w:val="nil"/>
            </w:tcBorders>
          </w:tcPr>
          <w:p w14:paraId="1AEC519C" w14:textId="77777777" w:rsidR="008910AA" w:rsidRDefault="008910AA" w:rsidP="0098794C">
            <w:pPr>
              <w:jc w:val="right"/>
              <w:rPr>
                <w:sz w:val="16"/>
              </w:rPr>
            </w:pPr>
            <w:r>
              <w:rPr>
                <w:sz w:val="16"/>
              </w:rPr>
              <w:t xml:space="preserve">b </w:t>
            </w:r>
            <w:r>
              <w:rPr>
                <w:b/>
              </w:rPr>
              <w:sym w:font="Wingdings" w:char="F06F"/>
            </w:r>
          </w:p>
        </w:tc>
        <w:tc>
          <w:tcPr>
            <w:tcW w:w="8483" w:type="dxa"/>
            <w:tcBorders>
              <w:top w:val="nil"/>
              <w:left w:val="nil"/>
              <w:bottom w:val="nil"/>
            </w:tcBorders>
          </w:tcPr>
          <w:p w14:paraId="77038052" w14:textId="77777777" w:rsidR="008910AA" w:rsidRDefault="008910AA" w:rsidP="0098794C">
            <w:r>
              <w:t xml:space="preserve">assessed risks and hazards to patients using prospective identification </w:t>
            </w:r>
            <w:r w:rsidR="00CD4E13">
              <w:t>methods</w:t>
            </w:r>
            <w:r>
              <w:t>:  Failure Modes and Effects Analysis (FMEA) and/or Probabilistic Risk Assessment, and has documented recommendations for improvement. (p.106)</w:t>
            </w:r>
          </w:p>
          <w:p w14:paraId="5C5EC1E6" w14:textId="77777777" w:rsidR="0098794C" w:rsidRDefault="0098794C" w:rsidP="0098794C"/>
        </w:tc>
      </w:tr>
      <w:tr w:rsidR="008910AA" w14:paraId="5814BE2A" w14:textId="77777777" w:rsidTr="00470616">
        <w:trPr>
          <w:cantSplit/>
        </w:trPr>
        <w:tc>
          <w:tcPr>
            <w:tcW w:w="571" w:type="dxa"/>
            <w:vMerge/>
          </w:tcPr>
          <w:p w14:paraId="7C31DEFB" w14:textId="77777777" w:rsidR="008910AA" w:rsidRDefault="008910AA" w:rsidP="0098794C">
            <w:pPr>
              <w:jc w:val="center"/>
              <w:rPr>
                <w:sz w:val="16"/>
              </w:rPr>
            </w:pPr>
          </w:p>
        </w:tc>
        <w:tc>
          <w:tcPr>
            <w:tcW w:w="738" w:type="dxa"/>
            <w:tcBorders>
              <w:top w:val="nil"/>
              <w:bottom w:val="nil"/>
              <w:right w:val="nil"/>
            </w:tcBorders>
          </w:tcPr>
          <w:p w14:paraId="2044318E" w14:textId="77777777" w:rsidR="008910AA" w:rsidRDefault="008910AA" w:rsidP="0098794C">
            <w:pPr>
              <w:jc w:val="right"/>
              <w:rPr>
                <w:sz w:val="16"/>
              </w:rPr>
            </w:pPr>
            <w:r>
              <w:rPr>
                <w:sz w:val="16"/>
              </w:rPr>
              <w:t xml:space="preserve">c </w:t>
            </w:r>
            <w:r>
              <w:rPr>
                <w:b/>
              </w:rPr>
              <w:sym w:font="Wingdings" w:char="F06F"/>
            </w:r>
          </w:p>
        </w:tc>
        <w:tc>
          <w:tcPr>
            <w:tcW w:w="8483" w:type="dxa"/>
            <w:tcBorders>
              <w:top w:val="nil"/>
              <w:left w:val="nil"/>
              <w:bottom w:val="nil"/>
            </w:tcBorders>
          </w:tcPr>
          <w:p w14:paraId="732DDD7D" w14:textId="77777777" w:rsidR="008910AA" w:rsidRDefault="00CD4E13" w:rsidP="0098794C">
            <w:r>
              <w:t>combined results of (a) and (b) above to develop</w:t>
            </w:r>
            <w:r w:rsidR="008910AA">
              <w:t xml:space="preserve"> their risk </w:t>
            </w:r>
            <w:r>
              <w:t xml:space="preserve">profile, and used that profile to identify priorities and develop risk </w:t>
            </w:r>
            <w:r w:rsidR="008910AA">
              <w:t xml:space="preserve">mitigation </w:t>
            </w:r>
            <w:r w:rsidR="008D38D4">
              <w:t>plan</w:t>
            </w:r>
            <w:r>
              <w:t xml:space="preserve">s. </w:t>
            </w:r>
            <w:r w:rsidR="008910AA">
              <w:t xml:space="preserve">(p.107) </w:t>
            </w:r>
          </w:p>
          <w:p w14:paraId="4196FA7F" w14:textId="77777777" w:rsidR="0098794C" w:rsidRDefault="0098794C" w:rsidP="0098794C"/>
        </w:tc>
      </w:tr>
      <w:tr w:rsidR="008910AA" w14:paraId="33FBD0AB" w14:textId="77777777" w:rsidTr="00470616">
        <w:trPr>
          <w:cantSplit/>
        </w:trPr>
        <w:tc>
          <w:tcPr>
            <w:tcW w:w="571" w:type="dxa"/>
            <w:vMerge/>
          </w:tcPr>
          <w:p w14:paraId="2ED03DE8" w14:textId="77777777" w:rsidR="008910AA" w:rsidRDefault="008910AA" w:rsidP="0098794C">
            <w:pPr>
              <w:jc w:val="center"/>
              <w:rPr>
                <w:sz w:val="16"/>
              </w:rPr>
            </w:pPr>
          </w:p>
        </w:tc>
        <w:tc>
          <w:tcPr>
            <w:tcW w:w="738" w:type="dxa"/>
            <w:tcBorders>
              <w:top w:val="nil"/>
              <w:right w:val="nil"/>
            </w:tcBorders>
          </w:tcPr>
          <w:p w14:paraId="05E3AF4C" w14:textId="77777777" w:rsidR="008910AA" w:rsidRDefault="008910AA" w:rsidP="0098794C">
            <w:pPr>
              <w:jc w:val="right"/>
              <w:rPr>
                <w:u w:val="single"/>
              </w:rPr>
            </w:pPr>
            <w:r>
              <w:rPr>
                <w:sz w:val="16"/>
              </w:rPr>
              <w:t xml:space="preserve">d </w:t>
            </w:r>
            <w:r>
              <w:rPr>
                <w:b/>
              </w:rPr>
              <w:sym w:font="Wingdings" w:char="F06F"/>
            </w:r>
          </w:p>
        </w:tc>
        <w:tc>
          <w:tcPr>
            <w:tcW w:w="8483" w:type="dxa"/>
            <w:tcBorders>
              <w:top w:val="nil"/>
              <w:left w:val="nil"/>
            </w:tcBorders>
          </w:tcPr>
          <w:p w14:paraId="0AC8AB10" w14:textId="77777777" w:rsidR="0098794C" w:rsidRPr="00E61F97" w:rsidRDefault="00332706" w:rsidP="0098794C">
            <w:r w:rsidRPr="00E61F97">
              <w:t>s</w:t>
            </w:r>
            <w:r w:rsidR="00287D66" w:rsidRPr="00E61F97">
              <w:t xml:space="preserve">hared </w:t>
            </w:r>
            <w:r w:rsidR="008910AA" w:rsidRPr="00E61F97">
              <w:t>results from the t</w:t>
            </w:r>
            <w:r w:rsidR="00807241" w:rsidRPr="00E61F97">
              <w:t>wo</w:t>
            </w:r>
            <w:r w:rsidR="008910AA" w:rsidRPr="00E61F97">
              <w:t xml:space="preserve"> assessments, noted in (a), (b)</w:t>
            </w:r>
            <w:r w:rsidR="00287D66" w:rsidRPr="00E61F97">
              <w:t xml:space="preserve">, and the risk mitigation plan noted in </w:t>
            </w:r>
            <w:r w:rsidR="008910AA" w:rsidRPr="00E61F97">
              <w:t xml:space="preserve">(c) above widely across the organization, from the Board (governance) to front-line caregivers. (p.107) </w:t>
            </w:r>
          </w:p>
          <w:p w14:paraId="4F573DFB" w14:textId="77777777" w:rsidR="008910AA" w:rsidRPr="00E61F97" w:rsidRDefault="008910AA" w:rsidP="0098794C">
            <w:r w:rsidRPr="00E61F97">
              <w:rPr>
                <w:b/>
                <w:i/>
                <w:color w:val="FF0000"/>
              </w:rPr>
              <w:t>This item may not be checked unless all items 4.1a, b, c are checked.</w:t>
            </w:r>
            <w:r w:rsidRPr="00E61F97">
              <w:rPr>
                <w:i/>
              </w:rPr>
              <w:t xml:space="preserve"> </w:t>
            </w:r>
          </w:p>
          <w:p w14:paraId="60F1B6B9" w14:textId="77777777" w:rsidR="008910AA" w:rsidRPr="00E61F97" w:rsidRDefault="008910AA" w:rsidP="0098794C"/>
        </w:tc>
      </w:tr>
      <w:tr w:rsidR="008910AA" w14:paraId="09AEB337" w14:textId="77777777" w:rsidTr="00470616">
        <w:trPr>
          <w:cantSplit/>
        </w:trPr>
        <w:tc>
          <w:tcPr>
            <w:tcW w:w="571" w:type="dxa"/>
            <w:tcBorders>
              <w:bottom w:val="nil"/>
            </w:tcBorders>
          </w:tcPr>
          <w:p w14:paraId="5E80F474" w14:textId="77777777" w:rsidR="008910AA" w:rsidRDefault="008910AA" w:rsidP="0098794C">
            <w:pPr>
              <w:jc w:val="center"/>
            </w:pPr>
            <w:r>
              <w:rPr>
                <w:sz w:val="16"/>
              </w:rPr>
              <w:t>4.2</w:t>
            </w:r>
          </w:p>
        </w:tc>
        <w:tc>
          <w:tcPr>
            <w:tcW w:w="9221" w:type="dxa"/>
            <w:gridSpan w:val="2"/>
            <w:tcBorders>
              <w:bottom w:val="nil"/>
            </w:tcBorders>
          </w:tcPr>
          <w:p w14:paraId="142EF929" w14:textId="77777777" w:rsidR="008910AA" w:rsidRDefault="008910AA" w:rsidP="0098794C">
            <w:pPr>
              <w:rPr>
                <w:b/>
              </w:rPr>
            </w:pPr>
            <w:r>
              <w:rPr>
                <w:b/>
              </w:rPr>
              <w:t>Leadership is accountable for identification of risks</w:t>
            </w:r>
            <w:r w:rsidR="005B0DED">
              <w:rPr>
                <w:b/>
              </w:rPr>
              <w:t xml:space="preserve"> and </w:t>
            </w:r>
            <w:r>
              <w:rPr>
                <w:b/>
              </w:rPr>
              <w:t>hazards</w:t>
            </w:r>
            <w:r w:rsidR="005B0DED">
              <w:rPr>
                <w:b/>
              </w:rPr>
              <w:t xml:space="preserve"> to patients,</w:t>
            </w:r>
            <w:r>
              <w:rPr>
                <w:b/>
              </w:rPr>
              <w:t xml:space="preserve"> and mitigation efforts in the past year, as evidenced by:</w:t>
            </w:r>
          </w:p>
          <w:p w14:paraId="69194666" w14:textId="77777777" w:rsidR="008910AA" w:rsidRDefault="008910AA" w:rsidP="0098794C">
            <w:pPr>
              <w:rPr>
                <w:b/>
              </w:rPr>
            </w:pPr>
          </w:p>
        </w:tc>
      </w:tr>
      <w:tr w:rsidR="008910AA" w14:paraId="2DF9F83C" w14:textId="77777777" w:rsidTr="00470616">
        <w:trPr>
          <w:cantSplit/>
        </w:trPr>
        <w:tc>
          <w:tcPr>
            <w:tcW w:w="571" w:type="dxa"/>
            <w:vMerge w:val="restart"/>
            <w:tcBorders>
              <w:top w:val="nil"/>
            </w:tcBorders>
            <w:textDirection w:val="btLr"/>
          </w:tcPr>
          <w:p w14:paraId="0E1DF7A3" w14:textId="77777777" w:rsidR="008910AA" w:rsidRDefault="008910AA" w:rsidP="0098794C">
            <w:pPr>
              <w:jc w:val="center"/>
              <w:rPr>
                <w:sz w:val="16"/>
              </w:rPr>
            </w:pPr>
            <w:r>
              <w:rPr>
                <w:sz w:val="16"/>
              </w:rPr>
              <w:t>ACCOUNTABILITY</w:t>
            </w:r>
          </w:p>
        </w:tc>
        <w:tc>
          <w:tcPr>
            <w:tcW w:w="738" w:type="dxa"/>
            <w:tcBorders>
              <w:top w:val="nil"/>
              <w:bottom w:val="nil"/>
              <w:right w:val="nil"/>
            </w:tcBorders>
          </w:tcPr>
          <w:p w14:paraId="2EB1D39A" w14:textId="77777777" w:rsidR="008910AA" w:rsidRDefault="008910AA"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770F74F0" w14:textId="77777777" w:rsidR="008910AA" w:rsidRDefault="008910AA" w:rsidP="0098794C">
            <w:r>
              <w:t xml:space="preserve">approval of an action plan by the CEO and the Board (governance) for undertaking the assessments of risk, hazards and for the mitigation of risk for patients. (p.106) </w:t>
            </w:r>
          </w:p>
          <w:p w14:paraId="27060BA8" w14:textId="77777777" w:rsidR="0098794C" w:rsidRDefault="0098794C" w:rsidP="0098794C"/>
        </w:tc>
      </w:tr>
      <w:tr w:rsidR="008910AA" w14:paraId="141001FE" w14:textId="77777777" w:rsidTr="00470616">
        <w:trPr>
          <w:cantSplit/>
        </w:trPr>
        <w:tc>
          <w:tcPr>
            <w:tcW w:w="571" w:type="dxa"/>
            <w:vMerge/>
          </w:tcPr>
          <w:p w14:paraId="69B4E538" w14:textId="77777777" w:rsidR="008910AA" w:rsidRDefault="008910AA" w:rsidP="0098794C">
            <w:pPr>
              <w:jc w:val="center"/>
              <w:rPr>
                <w:sz w:val="16"/>
              </w:rPr>
            </w:pPr>
          </w:p>
        </w:tc>
        <w:tc>
          <w:tcPr>
            <w:tcW w:w="738" w:type="dxa"/>
            <w:tcBorders>
              <w:top w:val="nil"/>
              <w:right w:val="nil"/>
            </w:tcBorders>
          </w:tcPr>
          <w:p w14:paraId="5BCA83DD" w14:textId="77777777" w:rsidR="008910AA" w:rsidRDefault="008910AA" w:rsidP="0098794C">
            <w:pPr>
              <w:jc w:val="right"/>
              <w:rPr>
                <w:u w:val="single"/>
              </w:rPr>
            </w:pPr>
            <w:r>
              <w:rPr>
                <w:sz w:val="16"/>
              </w:rPr>
              <w:t xml:space="preserve">b </w:t>
            </w:r>
            <w:r>
              <w:rPr>
                <w:b/>
              </w:rPr>
              <w:sym w:font="Wingdings" w:char="F06F"/>
            </w:r>
          </w:p>
        </w:tc>
        <w:tc>
          <w:tcPr>
            <w:tcW w:w="8483" w:type="dxa"/>
            <w:tcBorders>
              <w:top w:val="nil"/>
              <w:left w:val="nil"/>
            </w:tcBorders>
          </w:tcPr>
          <w:p w14:paraId="03318C0E" w14:textId="77777777" w:rsidR="008910AA" w:rsidRDefault="008910AA" w:rsidP="0098794C">
            <w:r>
              <w:t>incorporation of the identification and mitigation of</w:t>
            </w:r>
            <w:r w:rsidR="00A03078">
              <w:t xml:space="preserve"> risks into performance reviews</w:t>
            </w:r>
            <w:r>
              <w:t xml:space="preserve"> </w:t>
            </w:r>
          </w:p>
          <w:p w14:paraId="1ED6B59A" w14:textId="77777777" w:rsidR="008910AA" w:rsidRDefault="008910AA" w:rsidP="0098794C">
            <w:pPr>
              <w:rPr>
                <w:b/>
              </w:rPr>
            </w:pPr>
            <w:r>
              <w:rPr>
                <w:b/>
              </w:rPr>
              <w:t>OR</w:t>
            </w:r>
          </w:p>
          <w:p w14:paraId="2E01977C" w14:textId="77777777" w:rsidR="00676937" w:rsidRDefault="008910AA" w:rsidP="0098794C">
            <w:r>
              <w:t>outlined financial incentives for leadership and the Patient Safety Officer for identifying and mitigating risks to patients as identified in the approved action plan.</w:t>
            </w:r>
          </w:p>
          <w:p w14:paraId="0E1D45EB" w14:textId="77777777" w:rsidR="008910AA" w:rsidRDefault="008910AA" w:rsidP="0098794C"/>
        </w:tc>
      </w:tr>
      <w:tr w:rsidR="008910AA" w14:paraId="4EDA361D" w14:textId="77777777" w:rsidTr="00470616">
        <w:trPr>
          <w:cantSplit/>
        </w:trPr>
        <w:tc>
          <w:tcPr>
            <w:tcW w:w="571" w:type="dxa"/>
            <w:tcBorders>
              <w:bottom w:val="nil"/>
            </w:tcBorders>
          </w:tcPr>
          <w:p w14:paraId="45293AE6" w14:textId="77777777" w:rsidR="008910AA" w:rsidRDefault="008910AA" w:rsidP="0098794C">
            <w:pPr>
              <w:jc w:val="center"/>
            </w:pPr>
            <w:r>
              <w:rPr>
                <w:sz w:val="16"/>
              </w:rPr>
              <w:t>4.3</w:t>
            </w:r>
          </w:p>
        </w:tc>
        <w:tc>
          <w:tcPr>
            <w:tcW w:w="9221" w:type="dxa"/>
            <w:gridSpan w:val="2"/>
            <w:tcBorders>
              <w:bottom w:val="nil"/>
            </w:tcBorders>
          </w:tcPr>
          <w:p w14:paraId="59C56A49" w14:textId="77777777" w:rsidR="008910AA" w:rsidRDefault="008910AA" w:rsidP="0098794C">
            <w:pPr>
              <w:rPr>
                <w:b/>
              </w:rPr>
            </w:pPr>
            <w:r>
              <w:rPr>
                <w:b/>
              </w:rPr>
              <w:t>In regard to developing the ability to appropriately assess risk and hazards</w:t>
            </w:r>
            <w:r w:rsidR="005B0DED">
              <w:rPr>
                <w:b/>
              </w:rPr>
              <w:t xml:space="preserve"> to patients</w:t>
            </w:r>
            <w:r>
              <w:rPr>
                <w:b/>
              </w:rPr>
              <w:t>, the organization has done the following or had in place during the last 12 months:</w:t>
            </w:r>
          </w:p>
          <w:p w14:paraId="058B5F78" w14:textId="77777777" w:rsidR="008910AA" w:rsidRDefault="008910AA" w:rsidP="0098794C">
            <w:pPr>
              <w:rPr>
                <w:b/>
              </w:rPr>
            </w:pPr>
          </w:p>
        </w:tc>
      </w:tr>
      <w:tr w:rsidR="00676937" w14:paraId="79EFA49D" w14:textId="77777777" w:rsidTr="00470616">
        <w:trPr>
          <w:cantSplit/>
        </w:trPr>
        <w:tc>
          <w:tcPr>
            <w:tcW w:w="571" w:type="dxa"/>
            <w:vMerge w:val="restart"/>
            <w:tcBorders>
              <w:top w:val="nil"/>
            </w:tcBorders>
            <w:textDirection w:val="btLr"/>
          </w:tcPr>
          <w:p w14:paraId="245AE73B" w14:textId="77777777" w:rsidR="00676937" w:rsidRDefault="00676937" w:rsidP="0098794C">
            <w:pPr>
              <w:jc w:val="center"/>
              <w:rPr>
                <w:sz w:val="16"/>
              </w:rPr>
            </w:pPr>
            <w:r>
              <w:rPr>
                <w:sz w:val="16"/>
              </w:rPr>
              <w:t>ABILITY</w:t>
            </w:r>
          </w:p>
        </w:tc>
        <w:tc>
          <w:tcPr>
            <w:tcW w:w="738" w:type="dxa"/>
            <w:tcBorders>
              <w:top w:val="nil"/>
              <w:bottom w:val="nil"/>
              <w:right w:val="nil"/>
            </w:tcBorders>
          </w:tcPr>
          <w:p w14:paraId="4E657D1A" w14:textId="77777777" w:rsidR="00676937" w:rsidRDefault="00676937"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67D30E7" w14:textId="77777777" w:rsidR="00676937" w:rsidRDefault="00676937" w:rsidP="0098794C">
            <w:r>
              <w:t xml:space="preserve">resourced patient safety program budgets sufficiently to support ongoing risk and hazard assessments and programs for reduction of risk. </w:t>
            </w:r>
          </w:p>
          <w:p w14:paraId="2BC9DB52" w14:textId="77777777" w:rsidR="00676937" w:rsidRDefault="00676937" w:rsidP="0098794C"/>
        </w:tc>
      </w:tr>
      <w:tr w:rsidR="00676937" w14:paraId="20C06AA6" w14:textId="77777777" w:rsidTr="00470616">
        <w:trPr>
          <w:cantSplit/>
          <w:trHeight w:val="485"/>
        </w:trPr>
        <w:tc>
          <w:tcPr>
            <w:tcW w:w="571" w:type="dxa"/>
            <w:vMerge/>
          </w:tcPr>
          <w:p w14:paraId="798B1457" w14:textId="77777777" w:rsidR="00676937" w:rsidRDefault="00676937" w:rsidP="0098794C">
            <w:pPr>
              <w:jc w:val="center"/>
              <w:rPr>
                <w:sz w:val="16"/>
              </w:rPr>
            </w:pPr>
          </w:p>
        </w:tc>
        <w:tc>
          <w:tcPr>
            <w:tcW w:w="738" w:type="dxa"/>
            <w:tcBorders>
              <w:top w:val="nil"/>
              <w:bottom w:val="nil"/>
              <w:right w:val="nil"/>
            </w:tcBorders>
          </w:tcPr>
          <w:p w14:paraId="679850CE" w14:textId="77777777" w:rsidR="00676937" w:rsidRDefault="00676937" w:rsidP="0098794C">
            <w:pPr>
              <w:jc w:val="right"/>
              <w:rPr>
                <w:sz w:val="16"/>
              </w:rPr>
            </w:pPr>
            <w:r>
              <w:rPr>
                <w:sz w:val="16"/>
              </w:rPr>
              <w:t xml:space="preserve">b </w:t>
            </w:r>
            <w:r>
              <w:rPr>
                <w:b/>
              </w:rPr>
              <w:sym w:font="Wingdings" w:char="F06F"/>
            </w:r>
          </w:p>
        </w:tc>
        <w:tc>
          <w:tcPr>
            <w:tcW w:w="8483" w:type="dxa"/>
            <w:tcBorders>
              <w:top w:val="nil"/>
              <w:left w:val="nil"/>
              <w:bottom w:val="nil"/>
            </w:tcBorders>
          </w:tcPr>
          <w:p w14:paraId="5960CAC6" w14:textId="77777777" w:rsidR="00676937" w:rsidRDefault="00676937" w:rsidP="0098794C">
            <w:r>
              <w:t>provided managers at all levels with training on the prospective identification tools for monitoring risk in their areas. Training was documented. (pp.107-108)</w:t>
            </w:r>
          </w:p>
          <w:p w14:paraId="714FE2E5" w14:textId="77777777" w:rsidR="00676937" w:rsidRDefault="00676937" w:rsidP="0098794C"/>
        </w:tc>
      </w:tr>
      <w:tr w:rsidR="00676937" w14:paraId="54A5C7D0" w14:textId="77777777" w:rsidTr="00470616">
        <w:trPr>
          <w:cantSplit/>
          <w:trHeight w:val="485"/>
        </w:trPr>
        <w:tc>
          <w:tcPr>
            <w:tcW w:w="571" w:type="dxa"/>
            <w:vMerge/>
            <w:tcBorders>
              <w:bottom w:val="single" w:sz="4" w:space="0" w:color="auto"/>
            </w:tcBorders>
          </w:tcPr>
          <w:p w14:paraId="10C814BC" w14:textId="77777777" w:rsidR="00676937" w:rsidRDefault="00676937" w:rsidP="0098794C">
            <w:pPr>
              <w:jc w:val="center"/>
              <w:rPr>
                <w:sz w:val="16"/>
              </w:rPr>
            </w:pPr>
          </w:p>
        </w:tc>
        <w:tc>
          <w:tcPr>
            <w:tcW w:w="738" w:type="dxa"/>
            <w:tcBorders>
              <w:top w:val="nil"/>
              <w:bottom w:val="single" w:sz="4" w:space="0" w:color="auto"/>
              <w:right w:val="nil"/>
            </w:tcBorders>
          </w:tcPr>
          <w:p w14:paraId="66D02D23" w14:textId="77777777" w:rsidR="00676937" w:rsidRDefault="00676937" w:rsidP="0098794C">
            <w:pPr>
              <w:jc w:val="right"/>
              <w:rPr>
                <w:sz w:val="16"/>
              </w:rPr>
            </w:pPr>
            <w:r>
              <w:rPr>
                <w:sz w:val="16"/>
              </w:rPr>
              <w:t xml:space="preserve">c </w:t>
            </w:r>
            <w:r>
              <w:rPr>
                <w:b/>
              </w:rPr>
              <w:sym w:font="Wingdings" w:char="F06F"/>
            </w:r>
          </w:p>
        </w:tc>
        <w:tc>
          <w:tcPr>
            <w:tcW w:w="8483" w:type="dxa"/>
            <w:tcBorders>
              <w:top w:val="nil"/>
              <w:left w:val="nil"/>
              <w:bottom w:val="single" w:sz="4" w:space="0" w:color="auto"/>
            </w:tcBorders>
          </w:tcPr>
          <w:p w14:paraId="5B60846F" w14:textId="77777777" w:rsidR="00676937" w:rsidRDefault="00676937" w:rsidP="0098794C">
            <w:r>
              <w:t>senior managers have received training in the integration of risk and hazard information across the organization. Training was documented. (pp. 107-108)</w:t>
            </w:r>
          </w:p>
          <w:p w14:paraId="20C585AB" w14:textId="77777777" w:rsidR="00676937" w:rsidRDefault="00676937" w:rsidP="0098794C"/>
        </w:tc>
      </w:tr>
      <w:tr w:rsidR="00D51075" w14:paraId="43B785E8" w14:textId="77777777" w:rsidTr="00470616">
        <w:trPr>
          <w:cantSplit/>
          <w:trHeight w:val="485"/>
        </w:trPr>
        <w:tc>
          <w:tcPr>
            <w:tcW w:w="571" w:type="dxa"/>
            <w:tcBorders>
              <w:bottom w:val="nil"/>
            </w:tcBorders>
          </w:tcPr>
          <w:p w14:paraId="76EF5678" w14:textId="77777777" w:rsidR="00D51075" w:rsidRDefault="00D51075" w:rsidP="0098794C">
            <w:pPr>
              <w:jc w:val="center"/>
              <w:rPr>
                <w:sz w:val="16"/>
              </w:rPr>
            </w:pPr>
            <w:r>
              <w:rPr>
                <w:sz w:val="16"/>
              </w:rPr>
              <w:lastRenderedPageBreak/>
              <w:t>4.4</w:t>
            </w:r>
          </w:p>
        </w:tc>
        <w:tc>
          <w:tcPr>
            <w:tcW w:w="9221" w:type="dxa"/>
            <w:gridSpan w:val="2"/>
            <w:tcBorders>
              <w:top w:val="single" w:sz="4" w:space="0" w:color="auto"/>
              <w:bottom w:val="nil"/>
            </w:tcBorders>
          </w:tcPr>
          <w:p w14:paraId="56D5269D" w14:textId="77777777" w:rsidR="00D51075" w:rsidRDefault="00D51075" w:rsidP="00D51075">
            <w:pPr>
              <w:rPr>
                <w:b/>
              </w:rPr>
            </w:pPr>
            <w:r>
              <w:rPr>
                <w:b/>
              </w:rPr>
              <w:t>Structures and systems for assuring that direct and specific actions have taken place to mitigate risks to patients for the past 12 months, include:</w:t>
            </w:r>
          </w:p>
          <w:p w14:paraId="4A3739F7" w14:textId="77777777" w:rsidR="00D51075" w:rsidRDefault="00D51075" w:rsidP="0098794C"/>
        </w:tc>
      </w:tr>
      <w:tr w:rsidR="00D51075" w14:paraId="43AE92DA" w14:textId="77777777" w:rsidTr="00470616">
        <w:trPr>
          <w:cantSplit/>
          <w:trHeight w:val="485"/>
        </w:trPr>
        <w:tc>
          <w:tcPr>
            <w:tcW w:w="571" w:type="dxa"/>
            <w:vMerge w:val="restart"/>
            <w:tcBorders>
              <w:top w:val="nil"/>
            </w:tcBorders>
            <w:textDirection w:val="btLr"/>
          </w:tcPr>
          <w:p w14:paraId="7298F290" w14:textId="77777777" w:rsidR="00D51075" w:rsidRDefault="00D51075" w:rsidP="004753A5">
            <w:pPr>
              <w:ind w:left="113" w:right="113"/>
              <w:jc w:val="center"/>
              <w:rPr>
                <w:sz w:val="16"/>
              </w:rPr>
            </w:pPr>
            <w:r>
              <w:rPr>
                <w:sz w:val="16"/>
              </w:rPr>
              <w:t>ACTION</w:t>
            </w:r>
          </w:p>
        </w:tc>
        <w:tc>
          <w:tcPr>
            <w:tcW w:w="738" w:type="dxa"/>
            <w:tcBorders>
              <w:top w:val="nil"/>
              <w:bottom w:val="nil"/>
              <w:right w:val="nil"/>
            </w:tcBorders>
          </w:tcPr>
          <w:p w14:paraId="709E83FB" w14:textId="77777777" w:rsidR="00D51075" w:rsidRDefault="00D51075" w:rsidP="004753A5">
            <w:pPr>
              <w:jc w:val="right"/>
              <w:rPr>
                <w:sz w:val="16"/>
              </w:rPr>
            </w:pPr>
            <w:r>
              <w:rPr>
                <w:sz w:val="16"/>
              </w:rPr>
              <w:t xml:space="preserve">a </w:t>
            </w:r>
            <w:r>
              <w:rPr>
                <w:b/>
              </w:rPr>
              <w:sym w:font="Wingdings" w:char="F06F"/>
            </w:r>
            <w:r>
              <w:rPr>
                <w:b/>
              </w:rPr>
              <w:t xml:space="preserve"> </w:t>
            </w:r>
          </w:p>
        </w:tc>
        <w:tc>
          <w:tcPr>
            <w:tcW w:w="8483" w:type="dxa"/>
            <w:tcBorders>
              <w:top w:val="nil"/>
              <w:left w:val="nil"/>
              <w:bottom w:val="nil"/>
            </w:tcBorders>
          </w:tcPr>
          <w:p w14:paraId="0C3A3630" w14:textId="77777777" w:rsidR="00D51075" w:rsidRDefault="00D51075" w:rsidP="004753A5">
            <w:r>
              <w:t>provided risk identification training to the management and staff in high risk patient safety units such as: emergency department, labor and delivery, ICUs, and operating rooms. (p.106)</w:t>
            </w:r>
          </w:p>
          <w:p w14:paraId="303D889C" w14:textId="77777777" w:rsidR="00D51075" w:rsidRDefault="00D51075" w:rsidP="004753A5"/>
        </w:tc>
      </w:tr>
      <w:tr w:rsidR="00D51075" w14:paraId="61EDFCFC" w14:textId="77777777" w:rsidTr="00470616">
        <w:trPr>
          <w:cantSplit/>
          <w:trHeight w:val="485"/>
        </w:trPr>
        <w:tc>
          <w:tcPr>
            <w:tcW w:w="571" w:type="dxa"/>
            <w:vMerge/>
          </w:tcPr>
          <w:p w14:paraId="1B44884B" w14:textId="77777777" w:rsidR="00D51075" w:rsidRDefault="00D51075" w:rsidP="004753A5">
            <w:pPr>
              <w:jc w:val="center"/>
              <w:rPr>
                <w:sz w:val="16"/>
              </w:rPr>
            </w:pPr>
          </w:p>
        </w:tc>
        <w:tc>
          <w:tcPr>
            <w:tcW w:w="738" w:type="dxa"/>
            <w:tcBorders>
              <w:top w:val="nil"/>
              <w:bottom w:val="nil"/>
              <w:right w:val="nil"/>
            </w:tcBorders>
          </w:tcPr>
          <w:p w14:paraId="2F2D6995" w14:textId="77777777" w:rsidR="00D51075" w:rsidRDefault="00D51075" w:rsidP="004753A5">
            <w:pPr>
              <w:jc w:val="right"/>
              <w:rPr>
                <w:sz w:val="16"/>
              </w:rPr>
            </w:pPr>
            <w:r>
              <w:rPr>
                <w:sz w:val="16"/>
              </w:rPr>
              <w:t xml:space="preserve">b </w:t>
            </w:r>
            <w:r>
              <w:rPr>
                <w:b/>
              </w:rPr>
              <w:sym w:font="Wingdings" w:char="F06F"/>
            </w:r>
          </w:p>
        </w:tc>
        <w:tc>
          <w:tcPr>
            <w:tcW w:w="8483" w:type="dxa"/>
            <w:tcBorders>
              <w:top w:val="nil"/>
              <w:left w:val="nil"/>
              <w:bottom w:val="nil"/>
            </w:tcBorders>
          </w:tcPr>
          <w:p w14:paraId="7C3845C7" w14:textId="77777777" w:rsidR="00D51075" w:rsidRDefault="00D51075" w:rsidP="004753A5">
            <w:r>
              <w:t>established or already had in place a structure, developed by the CEO and senior leadership, for gathering all information related to risks, hazards and mitigation efforts within the organization with input from all levels of staff within the organization and from patients and their families. (p.110)</w:t>
            </w:r>
          </w:p>
          <w:p w14:paraId="15D9DC88" w14:textId="77777777" w:rsidR="00D51075" w:rsidRDefault="00D51075" w:rsidP="004753A5"/>
        </w:tc>
      </w:tr>
      <w:tr w:rsidR="00D51075" w14:paraId="19A19F65" w14:textId="77777777" w:rsidTr="00F01A72">
        <w:trPr>
          <w:cantSplit/>
          <w:trHeight w:val="70"/>
        </w:trPr>
        <w:tc>
          <w:tcPr>
            <w:tcW w:w="571" w:type="dxa"/>
            <w:vMerge/>
            <w:tcBorders>
              <w:bottom w:val="single" w:sz="4" w:space="0" w:color="auto"/>
            </w:tcBorders>
          </w:tcPr>
          <w:p w14:paraId="020F3681" w14:textId="77777777" w:rsidR="00D51075" w:rsidRDefault="00D51075" w:rsidP="004753A5">
            <w:pPr>
              <w:jc w:val="center"/>
              <w:rPr>
                <w:sz w:val="16"/>
              </w:rPr>
            </w:pPr>
          </w:p>
        </w:tc>
        <w:tc>
          <w:tcPr>
            <w:tcW w:w="738" w:type="dxa"/>
            <w:tcBorders>
              <w:top w:val="nil"/>
              <w:bottom w:val="single" w:sz="4" w:space="0" w:color="auto"/>
              <w:right w:val="nil"/>
            </w:tcBorders>
          </w:tcPr>
          <w:p w14:paraId="1CAA9602" w14:textId="77777777" w:rsidR="00D51075" w:rsidRDefault="00D51075" w:rsidP="004753A5">
            <w:pPr>
              <w:jc w:val="right"/>
              <w:rPr>
                <w:sz w:val="16"/>
              </w:rPr>
            </w:pPr>
            <w:r>
              <w:rPr>
                <w:sz w:val="16"/>
              </w:rPr>
              <w:t xml:space="preserve">c </w:t>
            </w:r>
            <w:r>
              <w:rPr>
                <w:b/>
              </w:rPr>
              <w:sym w:font="Wingdings" w:char="F06F"/>
            </w:r>
          </w:p>
        </w:tc>
        <w:tc>
          <w:tcPr>
            <w:tcW w:w="8483" w:type="dxa"/>
            <w:tcBorders>
              <w:top w:val="nil"/>
              <w:left w:val="nil"/>
              <w:bottom w:val="single" w:sz="4" w:space="0" w:color="auto"/>
            </w:tcBorders>
          </w:tcPr>
          <w:p w14:paraId="57498579" w14:textId="77777777" w:rsidR="00D51075" w:rsidRDefault="00D51075" w:rsidP="004753A5">
            <w:r>
              <w:t>evidence of high-performance or actions taken for the following four patient safety risk areas: falls, malnutrition, aspiration, and workforce fatigue (p.108)</w:t>
            </w:r>
          </w:p>
          <w:p w14:paraId="3A924D06" w14:textId="77777777" w:rsidR="00D51075" w:rsidRDefault="00D51075" w:rsidP="004753A5"/>
        </w:tc>
      </w:tr>
      <w:tr w:rsidR="00470616" w14:paraId="29BC88A3" w14:textId="77777777" w:rsidTr="00F01A72">
        <w:trPr>
          <w:cantSplit/>
          <w:trHeight w:val="70"/>
        </w:trPr>
        <w:tc>
          <w:tcPr>
            <w:tcW w:w="571" w:type="dxa"/>
            <w:tcBorders>
              <w:top w:val="single" w:sz="4" w:space="0" w:color="auto"/>
            </w:tcBorders>
          </w:tcPr>
          <w:p w14:paraId="686CB2B7" w14:textId="77777777" w:rsidR="00470616" w:rsidRDefault="00470616" w:rsidP="004753A5">
            <w:pPr>
              <w:jc w:val="center"/>
              <w:rPr>
                <w:sz w:val="16"/>
              </w:rPr>
            </w:pPr>
            <w:r>
              <w:rPr>
                <w:sz w:val="16"/>
              </w:rPr>
              <w:t>4.5</w:t>
            </w:r>
          </w:p>
        </w:tc>
        <w:tc>
          <w:tcPr>
            <w:tcW w:w="738" w:type="dxa"/>
            <w:tcBorders>
              <w:top w:val="single" w:sz="4" w:space="0" w:color="auto"/>
              <w:right w:val="nil"/>
            </w:tcBorders>
          </w:tcPr>
          <w:p w14:paraId="2D110C32" w14:textId="77777777" w:rsidR="00470616" w:rsidRDefault="00470616" w:rsidP="004753A5">
            <w:pPr>
              <w:jc w:val="right"/>
              <w:rPr>
                <w:sz w:val="16"/>
              </w:rPr>
            </w:pPr>
            <w:r>
              <w:rPr>
                <w:b/>
              </w:rPr>
              <w:sym w:font="Wingdings" w:char="F06F"/>
            </w:r>
          </w:p>
        </w:tc>
        <w:tc>
          <w:tcPr>
            <w:tcW w:w="8483" w:type="dxa"/>
            <w:tcBorders>
              <w:top w:val="single" w:sz="4" w:space="0" w:color="auto"/>
              <w:left w:val="nil"/>
            </w:tcBorders>
          </w:tcPr>
          <w:p w14:paraId="020D9B5B" w14:textId="77777777" w:rsidR="00470616" w:rsidRDefault="00470616" w:rsidP="00536A38">
            <w:r>
              <w:t>Review of this safe practice is complete.</w:t>
            </w:r>
          </w:p>
          <w:p w14:paraId="5F0DA695" w14:textId="77777777" w:rsidR="00470616" w:rsidRDefault="00470616" w:rsidP="004753A5">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40D28BEA" w14:textId="77777777" w:rsidR="008910AA" w:rsidRDefault="008910AA" w:rsidP="0098794C">
      <w:r>
        <w:br w:type="page"/>
      </w:r>
    </w:p>
    <w:p w14:paraId="684E5A69" w14:textId="77777777" w:rsidR="008910AA" w:rsidRPr="00F01A72" w:rsidRDefault="00D65253" w:rsidP="00954B73">
      <w:pPr>
        <w:pStyle w:val="Heading2"/>
        <w:rPr>
          <w:snapToGrid w:val="0"/>
        </w:rPr>
      </w:pPr>
      <w:bookmarkStart w:id="257" w:name="SP9"/>
      <w:bookmarkStart w:id="258" w:name="_Toc447195051"/>
      <w:r w:rsidRPr="00F01A72">
        <w:rPr>
          <w:snapToGrid w:val="0"/>
        </w:rPr>
        <w:lastRenderedPageBreak/>
        <w:t xml:space="preserve">6E: </w:t>
      </w:r>
      <w:r w:rsidR="00F01A72">
        <w:rPr>
          <w:snapToGrid w:val="0"/>
        </w:rPr>
        <w:t xml:space="preserve">Practice #9 - </w:t>
      </w:r>
      <w:r w:rsidR="008910AA" w:rsidRPr="00F01A72">
        <w:rPr>
          <w:snapToGrid w:val="0"/>
        </w:rPr>
        <w:t>Nursing Workforce</w:t>
      </w:r>
      <w:bookmarkEnd w:id="257"/>
      <w:bookmarkEnd w:id="258"/>
    </w:p>
    <w:p w14:paraId="20EF5626" w14:textId="77777777" w:rsidR="008910AA" w:rsidRDefault="008910AA" w:rsidP="005A41AD">
      <w:pPr>
        <w:rPr>
          <w:i/>
        </w:rPr>
      </w:pPr>
      <w:r>
        <w:rPr>
          <w:i/>
        </w:rPr>
        <w:t>(</w:t>
      </w:r>
      <w:r w:rsidR="00F01A72">
        <w:rPr>
          <w:i/>
        </w:rPr>
        <w:t>P</w:t>
      </w:r>
      <w:r>
        <w:rPr>
          <w:i/>
        </w:rPr>
        <w:t>age numbers reference NQF Safe Practices for Better Healthcare – 2010 Update report)</w:t>
      </w:r>
    </w:p>
    <w:p w14:paraId="18C8A7C7" w14:textId="77777777" w:rsidR="008910AA" w:rsidRDefault="008910AA">
      <w:pPr>
        <w:rPr>
          <w:i/>
        </w:rPr>
      </w:pPr>
    </w:p>
    <w:p w14:paraId="64D94B11" w14:textId="77777777" w:rsidR="008910AA" w:rsidRDefault="008910AA">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42"/>
        <w:gridCol w:w="8474"/>
      </w:tblGrid>
      <w:tr w:rsidR="00E03E77" w14:paraId="21F6267A" w14:textId="77777777" w:rsidTr="00470616">
        <w:trPr>
          <w:cantSplit/>
          <w:jc w:val="center"/>
        </w:trPr>
        <w:tc>
          <w:tcPr>
            <w:tcW w:w="576" w:type="dxa"/>
            <w:tcBorders>
              <w:bottom w:val="nil"/>
            </w:tcBorders>
          </w:tcPr>
          <w:p w14:paraId="7F21B9D7" w14:textId="77777777" w:rsidR="00E03E77" w:rsidRDefault="00E03E77">
            <w:pPr>
              <w:jc w:val="center"/>
              <w:rPr>
                <w:sz w:val="16"/>
              </w:rPr>
            </w:pPr>
            <w:r>
              <w:rPr>
                <w:sz w:val="16"/>
              </w:rPr>
              <w:t>9</w:t>
            </w:r>
          </w:p>
        </w:tc>
        <w:tc>
          <w:tcPr>
            <w:tcW w:w="9216" w:type="dxa"/>
            <w:gridSpan w:val="2"/>
            <w:tcBorders>
              <w:bottom w:val="nil"/>
            </w:tcBorders>
          </w:tcPr>
          <w:p w14:paraId="4BE3782C" w14:textId="77777777" w:rsidR="00F01A72" w:rsidRDefault="00E03E77" w:rsidP="00E03E77">
            <w:pPr>
              <w:rPr>
                <w:bCs/>
              </w:rPr>
            </w:pPr>
            <w:r>
              <w:rPr>
                <w:bCs/>
              </w:rPr>
              <w:t xml:space="preserve">Is your hospital currently recognized as an </w:t>
            </w:r>
            <w:hyperlink w:anchor="Endnote37" w:history="1">
              <w:r w:rsidRPr="00A94159">
                <w:rPr>
                  <w:rStyle w:val="Hyperlink"/>
                  <w:bCs/>
                </w:rPr>
                <w:t>American Nurses Credentialing Center (ANCC) Magnet</w:t>
              </w:r>
              <w:r w:rsidRPr="00A94159">
                <w:rPr>
                  <w:rStyle w:val="Hyperlink"/>
                  <w:bCs/>
                  <w:vertAlign w:val="superscript"/>
                </w:rPr>
                <w:t>®</w:t>
              </w:r>
              <w:r w:rsidRPr="00A94159">
                <w:rPr>
                  <w:rStyle w:val="Hyperlink"/>
                  <w:bCs/>
                </w:rPr>
                <w:t xml:space="preserve"> organization</w:t>
              </w:r>
            </w:hyperlink>
            <w:r w:rsidRPr="00611BD6">
              <w:rPr>
                <w:rStyle w:val="EndnoteReference"/>
                <w:bCs/>
              </w:rPr>
              <w:endnoteReference w:id="38"/>
            </w:r>
            <w:r w:rsidR="00A94159">
              <w:rPr>
                <w:bCs/>
              </w:rPr>
              <w:t>?</w:t>
            </w:r>
            <w:r>
              <w:rPr>
                <w:bCs/>
              </w:rPr>
              <w:t xml:space="preserve"> </w:t>
            </w:r>
          </w:p>
          <w:p w14:paraId="70860E9E" w14:textId="77777777" w:rsidR="00E03E77" w:rsidRDefault="00E03E77" w:rsidP="00E03E77">
            <w:pPr>
              <w:rPr>
                <w:bCs/>
              </w:rPr>
            </w:pPr>
          </w:p>
          <w:p w14:paraId="61EBAD0C" w14:textId="77777777" w:rsidR="00E03E77" w:rsidRDefault="00E03E77" w:rsidP="00E03E77">
            <w:pPr>
              <w:rPr>
                <w:b/>
              </w:rPr>
            </w:pPr>
            <w:r>
              <w:rPr>
                <w:b/>
              </w:rPr>
              <w:t xml:space="preserve">    </w:t>
            </w:r>
            <w:r>
              <w:rPr>
                <w:b/>
              </w:rPr>
              <w:sym w:font="Wingdings" w:char="F06F"/>
            </w:r>
            <w:r>
              <w:rPr>
                <w:b/>
              </w:rPr>
              <w:t xml:space="preserve"> </w:t>
            </w:r>
            <w:r w:rsidRPr="00F01A72">
              <w:t>Yes</w:t>
            </w:r>
          </w:p>
          <w:p w14:paraId="295A83B2" w14:textId="77777777" w:rsidR="00E03E77" w:rsidRPr="00F01A72" w:rsidRDefault="00E03E77" w:rsidP="00E03E77">
            <w:pPr>
              <w:rPr>
                <w:b/>
              </w:rPr>
            </w:pPr>
            <w:r>
              <w:rPr>
                <w:b/>
              </w:rPr>
              <w:t xml:space="preserve">    </w:t>
            </w:r>
            <w:r>
              <w:rPr>
                <w:b/>
              </w:rPr>
              <w:sym w:font="Wingdings" w:char="F06F"/>
            </w:r>
            <w:r w:rsidRPr="00F01A72">
              <w:t xml:space="preserve"> No</w:t>
            </w:r>
          </w:p>
          <w:p w14:paraId="107B1171" w14:textId="77777777" w:rsidR="00E03E77" w:rsidRDefault="00E03E77">
            <w:pPr>
              <w:rPr>
                <w:b/>
              </w:rPr>
            </w:pPr>
          </w:p>
          <w:p w14:paraId="5C58E45B" w14:textId="77777777" w:rsidR="00F01A72" w:rsidRDefault="00F01A72" w:rsidP="00F01A72">
            <w:pPr>
              <w:rPr>
                <w:i/>
              </w:rPr>
            </w:pPr>
            <w:r>
              <w:rPr>
                <w:bCs/>
                <w:i/>
              </w:rPr>
              <w:t>If “yes,” your hospital will receive full credit for this Safe Practice and no additional boxes need to be checked. If “no,” please check all of the boxes that apply.</w:t>
            </w:r>
          </w:p>
          <w:p w14:paraId="593D5BC3" w14:textId="77777777" w:rsidR="00F01A72" w:rsidRDefault="00F01A72">
            <w:pPr>
              <w:rPr>
                <w:b/>
              </w:rPr>
            </w:pPr>
          </w:p>
        </w:tc>
      </w:tr>
      <w:tr w:rsidR="008910AA" w14:paraId="66CB873D" w14:textId="77777777" w:rsidTr="00470616">
        <w:trPr>
          <w:cantSplit/>
          <w:jc w:val="center"/>
        </w:trPr>
        <w:tc>
          <w:tcPr>
            <w:tcW w:w="576" w:type="dxa"/>
            <w:tcBorders>
              <w:bottom w:val="nil"/>
            </w:tcBorders>
          </w:tcPr>
          <w:p w14:paraId="7B2ED99A" w14:textId="77777777" w:rsidR="008910AA" w:rsidRDefault="008910AA">
            <w:pPr>
              <w:jc w:val="center"/>
              <w:rPr>
                <w:sz w:val="16"/>
              </w:rPr>
            </w:pPr>
            <w:r>
              <w:rPr>
                <w:sz w:val="16"/>
              </w:rPr>
              <w:t>9.1</w:t>
            </w:r>
          </w:p>
        </w:tc>
        <w:tc>
          <w:tcPr>
            <w:tcW w:w="9216" w:type="dxa"/>
            <w:gridSpan w:val="2"/>
            <w:tcBorders>
              <w:bottom w:val="nil"/>
            </w:tcBorders>
          </w:tcPr>
          <w:p w14:paraId="4F5EED7E" w14:textId="77777777" w:rsidR="008910AA" w:rsidRDefault="008910AA">
            <w:pPr>
              <w:rPr>
                <w:b/>
              </w:rPr>
            </w:pPr>
            <w:r>
              <w:rPr>
                <w:b/>
              </w:rPr>
              <w:t>In regard to ensuring adequate and competent nursing staff service and nursing leadership at all levels, our organization has done the following or has had the following in place within the last 12 months:</w:t>
            </w:r>
          </w:p>
          <w:p w14:paraId="07C9E10E" w14:textId="77777777" w:rsidR="008910AA" w:rsidRDefault="008910AA">
            <w:pPr>
              <w:rPr>
                <w:b/>
              </w:rPr>
            </w:pPr>
          </w:p>
        </w:tc>
      </w:tr>
      <w:tr w:rsidR="008910AA" w14:paraId="4C4DF538" w14:textId="77777777" w:rsidTr="00470616">
        <w:trPr>
          <w:cantSplit/>
          <w:jc w:val="center"/>
        </w:trPr>
        <w:tc>
          <w:tcPr>
            <w:tcW w:w="576" w:type="dxa"/>
            <w:vMerge w:val="restart"/>
            <w:tcBorders>
              <w:top w:val="nil"/>
            </w:tcBorders>
            <w:textDirection w:val="btLr"/>
          </w:tcPr>
          <w:p w14:paraId="29100EFF" w14:textId="77777777" w:rsidR="008910AA" w:rsidRDefault="008910AA">
            <w:pPr>
              <w:spacing w:before="120"/>
              <w:ind w:left="115" w:right="115"/>
              <w:jc w:val="center"/>
              <w:rPr>
                <w:sz w:val="16"/>
              </w:rPr>
            </w:pPr>
            <w:r>
              <w:rPr>
                <w:sz w:val="16"/>
              </w:rPr>
              <w:t>AWARENESS</w:t>
            </w:r>
          </w:p>
        </w:tc>
        <w:tc>
          <w:tcPr>
            <w:tcW w:w="742" w:type="dxa"/>
            <w:tcBorders>
              <w:top w:val="nil"/>
              <w:bottom w:val="nil"/>
              <w:right w:val="nil"/>
            </w:tcBorders>
          </w:tcPr>
          <w:p w14:paraId="681C0C53"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711B521" w14:textId="77777777" w:rsidR="008910AA" w:rsidRDefault="008910AA" w:rsidP="0094185F">
            <w:r>
              <w:t xml:space="preserve">held at least one educational meeting for clinicians, senior management, mid-level management, and line management specifically related to the areas of patient safety and adequate nurse staffing effectiveness. (p.155) </w:t>
            </w:r>
          </w:p>
          <w:p w14:paraId="1D5E78D3" w14:textId="77777777" w:rsidR="0094185F" w:rsidRDefault="0094185F" w:rsidP="0094185F"/>
        </w:tc>
      </w:tr>
      <w:tr w:rsidR="008910AA" w14:paraId="17FA9FB6" w14:textId="77777777" w:rsidTr="00470616">
        <w:trPr>
          <w:cantSplit/>
          <w:jc w:val="center"/>
        </w:trPr>
        <w:tc>
          <w:tcPr>
            <w:tcW w:w="576" w:type="dxa"/>
            <w:vMerge/>
          </w:tcPr>
          <w:p w14:paraId="65C53285" w14:textId="77777777" w:rsidR="008910AA" w:rsidRDefault="008910AA">
            <w:pPr>
              <w:jc w:val="center"/>
              <w:rPr>
                <w:sz w:val="16"/>
              </w:rPr>
            </w:pPr>
          </w:p>
        </w:tc>
        <w:tc>
          <w:tcPr>
            <w:tcW w:w="742" w:type="dxa"/>
            <w:tcBorders>
              <w:top w:val="nil"/>
              <w:bottom w:val="nil"/>
              <w:right w:val="nil"/>
            </w:tcBorders>
          </w:tcPr>
          <w:p w14:paraId="592FF59A"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1FEDF442" w14:textId="77777777" w:rsidR="008910AA" w:rsidRDefault="008910AA" w:rsidP="0094185F">
            <w:r>
              <w:t xml:space="preserve">performed a risk assessment </w:t>
            </w:r>
            <w:r w:rsidR="0094185F">
              <w:t>that includes</w:t>
            </w:r>
            <w:r>
              <w:t xml:space="preserve"> an evaluation of the frequency and severity of adverse events that can be related to nurse staffing. (p.155) </w:t>
            </w:r>
          </w:p>
          <w:p w14:paraId="06C03D41" w14:textId="77777777" w:rsidR="0094185F" w:rsidRDefault="0094185F" w:rsidP="0094185F"/>
        </w:tc>
      </w:tr>
      <w:tr w:rsidR="008910AA" w14:paraId="621D1A47" w14:textId="77777777" w:rsidTr="00470616">
        <w:trPr>
          <w:cantSplit/>
          <w:jc w:val="center"/>
        </w:trPr>
        <w:tc>
          <w:tcPr>
            <w:tcW w:w="576" w:type="dxa"/>
            <w:vMerge/>
          </w:tcPr>
          <w:p w14:paraId="04CDCC55" w14:textId="77777777" w:rsidR="008910AA" w:rsidRDefault="008910AA">
            <w:pPr>
              <w:jc w:val="center"/>
              <w:rPr>
                <w:sz w:val="16"/>
              </w:rPr>
            </w:pPr>
          </w:p>
        </w:tc>
        <w:tc>
          <w:tcPr>
            <w:tcW w:w="742" w:type="dxa"/>
            <w:tcBorders>
              <w:top w:val="nil"/>
              <w:bottom w:val="nil"/>
              <w:right w:val="nil"/>
            </w:tcBorders>
          </w:tcPr>
          <w:p w14:paraId="662489BB"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22C4B542" w14:textId="77777777" w:rsidR="008910AA" w:rsidRDefault="008910AA" w:rsidP="0094185F">
            <w:r>
              <w:t xml:space="preserve">submitted a report to the Board (governance) with recommendations for measurable improvement targets. (p.155) </w:t>
            </w:r>
          </w:p>
          <w:p w14:paraId="6F6A7526" w14:textId="77777777" w:rsidR="0094185F" w:rsidRDefault="0094185F" w:rsidP="0094185F"/>
        </w:tc>
      </w:tr>
      <w:tr w:rsidR="008910AA" w14:paraId="04043E1B" w14:textId="77777777" w:rsidTr="00470616">
        <w:trPr>
          <w:cantSplit/>
          <w:jc w:val="center"/>
        </w:trPr>
        <w:tc>
          <w:tcPr>
            <w:tcW w:w="576" w:type="dxa"/>
            <w:vMerge/>
          </w:tcPr>
          <w:p w14:paraId="11861027" w14:textId="77777777" w:rsidR="008910AA" w:rsidRDefault="008910AA">
            <w:pPr>
              <w:jc w:val="center"/>
              <w:rPr>
                <w:sz w:val="16"/>
              </w:rPr>
            </w:pPr>
          </w:p>
        </w:tc>
        <w:tc>
          <w:tcPr>
            <w:tcW w:w="742" w:type="dxa"/>
            <w:tcBorders>
              <w:top w:val="nil"/>
              <w:bottom w:val="nil"/>
              <w:right w:val="nil"/>
            </w:tcBorders>
          </w:tcPr>
          <w:p w14:paraId="5F267365" w14:textId="77777777" w:rsidR="008910AA" w:rsidRDefault="008910AA">
            <w:pPr>
              <w:jc w:val="right"/>
              <w:rPr>
                <w:sz w:val="16"/>
              </w:rPr>
            </w:pPr>
            <w:r>
              <w:rPr>
                <w:sz w:val="16"/>
              </w:rPr>
              <w:t xml:space="preserve">d </w:t>
            </w:r>
            <w:r>
              <w:rPr>
                <w:b/>
              </w:rPr>
              <w:sym w:font="Wingdings" w:char="F06F"/>
            </w:r>
          </w:p>
        </w:tc>
        <w:tc>
          <w:tcPr>
            <w:tcW w:w="8474" w:type="dxa"/>
            <w:tcBorders>
              <w:top w:val="nil"/>
              <w:left w:val="nil"/>
              <w:bottom w:val="nil"/>
            </w:tcBorders>
          </w:tcPr>
          <w:p w14:paraId="6125D19E" w14:textId="77777777" w:rsidR="008910AA" w:rsidRDefault="008910AA" w:rsidP="0094185F">
            <w:r>
              <w:t>collected and analyzed data of actual unit-specific nurse staffing levels on a quarterly basis to identify and address potential patient safety-related staffing issues. (p.155)</w:t>
            </w:r>
          </w:p>
          <w:p w14:paraId="02E771C5" w14:textId="77777777" w:rsidR="0094185F" w:rsidRDefault="0094185F" w:rsidP="0094185F"/>
        </w:tc>
      </w:tr>
      <w:tr w:rsidR="008910AA" w14:paraId="56C80E80" w14:textId="77777777" w:rsidTr="00470616">
        <w:trPr>
          <w:cantSplit/>
          <w:jc w:val="center"/>
        </w:trPr>
        <w:tc>
          <w:tcPr>
            <w:tcW w:w="576" w:type="dxa"/>
            <w:vMerge/>
          </w:tcPr>
          <w:p w14:paraId="31CF3361" w14:textId="77777777" w:rsidR="008910AA" w:rsidRDefault="008910AA">
            <w:pPr>
              <w:jc w:val="center"/>
              <w:rPr>
                <w:sz w:val="16"/>
              </w:rPr>
            </w:pPr>
          </w:p>
        </w:tc>
        <w:tc>
          <w:tcPr>
            <w:tcW w:w="742" w:type="dxa"/>
            <w:tcBorders>
              <w:top w:val="nil"/>
              <w:bottom w:val="nil"/>
              <w:right w:val="nil"/>
            </w:tcBorders>
          </w:tcPr>
          <w:p w14:paraId="74F2E917" w14:textId="77777777" w:rsidR="008910AA" w:rsidRDefault="008910AA">
            <w:pPr>
              <w:jc w:val="right"/>
              <w:rPr>
                <w:sz w:val="16"/>
              </w:rPr>
            </w:pPr>
            <w:r>
              <w:rPr>
                <w:sz w:val="16"/>
              </w:rPr>
              <w:t xml:space="preserve">e </w:t>
            </w:r>
            <w:r>
              <w:rPr>
                <w:b/>
              </w:rPr>
              <w:sym w:font="Wingdings" w:char="F06F"/>
            </w:r>
          </w:p>
        </w:tc>
        <w:tc>
          <w:tcPr>
            <w:tcW w:w="8474" w:type="dxa"/>
            <w:tcBorders>
              <w:top w:val="nil"/>
              <w:left w:val="nil"/>
              <w:bottom w:val="nil"/>
            </w:tcBorders>
          </w:tcPr>
          <w:p w14:paraId="25E518A5" w14:textId="77777777" w:rsidR="008910AA" w:rsidRDefault="008910AA" w:rsidP="0094185F">
            <w:r>
              <w:t>provided unit-specific reports of potential patient safety-related staffing issues to senior administrative leadership and the Board (governance) at least quarterly. (p.155)</w:t>
            </w:r>
          </w:p>
          <w:p w14:paraId="60EF48C8" w14:textId="77777777" w:rsidR="00E31A00" w:rsidRDefault="00E31A00" w:rsidP="0094185F"/>
        </w:tc>
      </w:tr>
      <w:tr w:rsidR="008910AA" w14:paraId="508188FA" w14:textId="77777777" w:rsidTr="00470616">
        <w:trPr>
          <w:cantSplit/>
          <w:jc w:val="center"/>
        </w:trPr>
        <w:tc>
          <w:tcPr>
            <w:tcW w:w="576" w:type="dxa"/>
            <w:tcBorders>
              <w:bottom w:val="nil"/>
            </w:tcBorders>
          </w:tcPr>
          <w:p w14:paraId="53E12947" w14:textId="77777777" w:rsidR="008910AA" w:rsidRDefault="008910AA">
            <w:pPr>
              <w:jc w:val="center"/>
            </w:pPr>
            <w:r>
              <w:rPr>
                <w:sz w:val="16"/>
              </w:rPr>
              <w:t>9.2</w:t>
            </w:r>
          </w:p>
        </w:tc>
        <w:tc>
          <w:tcPr>
            <w:tcW w:w="9216" w:type="dxa"/>
            <w:gridSpan w:val="2"/>
            <w:tcBorders>
              <w:bottom w:val="nil"/>
            </w:tcBorders>
          </w:tcPr>
          <w:p w14:paraId="7FF96E64" w14:textId="77777777" w:rsidR="008910AA" w:rsidRDefault="008910AA" w:rsidP="0094185F">
            <w:pPr>
              <w:rPr>
                <w:b/>
              </w:rPr>
            </w:pPr>
            <w:r>
              <w:rPr>
                <w:b/>
              </w:rPr>
              <w:t>In regard to ensuring adequate and competent nursing staff service and nursing leadership at all levels, our organization has done the following or has had the following in place within the last 12 months:</w:t>
            </w:r>
          </w:p>
          <w:p w14:paraId="1F0CFE39" w14:textId="77777777" w:rsidR="008910AA" w:rsidRDefault="008910AA" w:rsidP="0094185F">
            <w:pPr>
              <w:rPr>
                <w:b/>
              </w:rPr>
            </w:pPr>
          </w:p>
        </w:tc>
      </w:tr>
      <w:tr w:rsidR="008910AA" w14:paraId="62D89287" w14:textId="77777777" w:rsidTr="00470616">
        <w:trPr>
          <w:cantSplit/>
          <w:jc w:val="center"/>
        </w:trPr>
        <w:tc>
          <w:tcPr>
            <w:tcW w:w="576" w:type="dxa"/>
            <w:vMerge w:val="restart"/>
            <w:tcBorders>
              <w:top w:val="nil"/>
            </w:tcBorders>
            <w:textDirection w:val="btLr"/>
          </w:tcPr>
          <w:p w14:paraId="1470C879" w14:textId="77777777" w:rsidR="008910AA" w:rsidRDefault="008910AA">
            <w:pPr>
              <w:spacing w:before="120"/>
              <w:ind w:left="115" w:right="115"/>
              <w:jc w:val="center"/>
              <w:rPr>
                <w:sz w:val="16"/>
              </w:rPr>
            </w:pPr>
            <w:r>
              <w:rPr>
                <w:sz w:val="16"/>
              </w:rPr>
              <w:t>ACCOUNTABILITY</w:t>
            </w:r>
          </w:p>
        </w:tc>
        <w:tc>
          <w:tcPr>
            <w:tcW w:w="742" w:type="dxa"/>
            <w:tcBorders>
              <w:top w:val="nil"/>
              <w:bottom w:val="nil"/>
              <w:right w:val="nil"/>
            </w:tcBorders>
          </w:tcPr>
          <w:p w14:paraId="45C781C7"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1CA9580" w14:textId="77777777" w:rsidR="008910AA" w:rsidRDefault="008910AA" w:rsidP="0094185F">
            <w:r>
              <w:t xml:space="preserve">held departmental/clinical leadership directly accountable for improvements in performance through performance reviews or compensation. (p.155) </w:t>
            </w:r>
          </w:p>
          <w:p w14:paraId="23D5F9B0" w14:textId="77777777" w:rsidR="0094185F" w:rsidRDefault="0094185F" w:rsidP="0094185F"/>
        </w:tc>
      </w:tr>
      <w:tr w:rsidR="008910AA" w14:paraId="33F95F82" w14:textId="77777777" w:rsidTr="00470616">
        <w:trPr>
          <w:cantSplit/>
          <w:jc w:val="center"/>
        </w:trPr>
        <w:tc>
          <w:tcPr>
            <w:tcW w:w="576" w:type="dxa"/>
            <w:vMerge/>
          </w:tcPr>
          <w:p w14:paraId="297A2AB9" w14:textId="77777777" w:rsidR="008910AA" w:rsidRDefault="008910AA">
            <w:pPr>
              <w:jc w:val="center"/>
              <w:rPr>
                <w:sz w:val="16"/>
              </w:rPr>
            </w:pPr>
          </w:p>
        </w:tc>
        <w:tc>
          <w:tcPr>
            <w:tcW w:w="742" w:type="dxa"/>
            <w:tcBorders>
              <w:top w:val="nil"/>
              <w:bottom w:val="nil"/>
              <w:right w:val="nil"/>
            </w:tcBorders>
          </w:tcPr>
          <w:p w14:paraId="4EC5C157"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1397010C" w14:textId="77777777" w:rsidR="008910AA" w:rsidRDefault="008910AA" w:rsidP="0094185F">
            <w:r>
              <w:t xml:space="preserve">included senior nursing leadership as part of the hospital senior management team. (p.155) </w:t>
            </w:r>
          </w:p>
          <w:p w14:paraId="230FE60E" w14:textId="77777777" w:rsidR="0094185F" w:rsidRDefault="0094185F" w:rsidP="0094185F"/>
        </w:tc>
      </w:tr>
      <w:tr w:rsidR="008910AA" w14:paraId="63AD0854" w14:textId="77777777" w:rsidTr="00470616">
        <w:trPr>
          <w:cantSplit/>
          <w:jc w:val="center"/>
        </w:trPr>
        <w:tc>
          <w:tcPr>
            <w:tcW w:w="576" w:type="dxa"/>
            <w:vMerge/>
          </w:tcPr>
          <w:p w14:paraId="00D1CF74" w14:textId="77777777" w:rsidR="008910AA" w:rsidRDefault="008910AA">
            <w:pPr>
              <w:jc w:val="center"/>
              <w:rPr>
                <w:sz w:val="16"/>
              </w:rPr>
            </w:pPr>
          </w:p>
        </w:tc>
        <w:tc>
          <w:tcPr>
            <w:tcW w:w="742" w:type="dxa"/>
            <w:tcBorders>
              <w:top w:val="nil"/>
              <w:bottom w:val="nil"/>
              <w:right w:val="nil"/>
            </w:tcBorders>
          </w:tcPr>
          <w:p w14:paraId="0C1044B9"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67292DCB" w14:textId="77777777" w:rsidR="008910AA" w:rsidRDefault="008910AA" w:rsidP="0094185F">
            <w:r>
              <w:t xml:space="preserve">reported performance metrics related to this </w:t>
            </w:r>
            <w:r w:rsidR="0094185F">
              <w:t>Safe Practice</w:t>
            </w:r>
            <w:r>
              <w:t xml:space="preserve"> to the Board (governance). (p.155) </w:t>
            </w:r>
          </w:p>
          <w:p w14:paraId="31CEC01E" w14:textId="77777777" w:rsidR="0094185F" w:rsidRDefault="0094185F" w:rsidP="0094185F"/>
        </w:tc>
      </w:tr>
      <w:tr w:rsidR="008910AA" w14:paraId="22E952A3" w14:textId="77777777" w:rsidTr="00470616">
        <w:trPr>
          <w:cantSplit/>
          <w:jc w:val="center"/>
        </w:trPr>
        <w:tc>
          <w:tcPr>
            <w:tcW w:w="576" w:type="dxa"/>
            <w:vMerge/>
            <w:tcBorders>
              <w:bottom w:val="single" w:sz="4" w:space="0" w:color="auto"/>
            </w:tcBorders>
          </w:tcPr>
          <w:p w14:paraId="002558A9" w14:textId="77777777" w:rsidR="008910AA" w:rsidRDefault="008910AA">
            <w:pPr>
              <w:jc w:val="center"/>
              <w:rPr>
                <w:sz w:val="16"/>
              </w:rPr>
            </w:pPr>
          </w:p>
        </w:tc>
        <w:tc>
          <w:tcPr>
            <w:tcW w:w="742" w:type="dxa"/>
            <w:tcBorders>
              <w:top w:val="nil"/>
              <w:bottom w:val="single" w:sz="4" w:space="0" w:color="auto"/>
              <w:right w:val="nil"/>
            </w:tcBorders>
          </w:tcPr>
          <w:p w14:paraId="33C6EC37" w14:textId="77777777" w:rsidR="008910AA" w:rsidRDefault="00BA3240">
            <w:pPr>
              <w:jc w:val="right"/>
              <w:rPr>
                <w:sz w:val="16"/>
              </w:rPr>
            </w:pPr>
            <w:r>
              <w:rPr>
                <w:sz w:val="16"/>
              </w:rPr>
              <w:t>d</w:t>
            </w:r>
            <w:r w:rsidR="008910AA">
              <w:rPr>
                <w:sz w:val="16"/>
              </w:rPr>
              <w:t xml:space="preserve"> </w:t>
            </w:r>
            <w:r w:rsidR="008910AA">
              <w:rPr>
                <w:b/>
              </w:rPr>
              <w:sym w:font="Wingdings" w:char="F06F"/>
            </w:r>
          </w:p>
        </w:tc>
        <w:tc>
          <w:tcPr>
            <w:tcW w:w="8474" w:type="dxa"/>
            <w:tcBorders>
              <w:top w:val="nil"/>
              <w:left w:val="nil"/>
              <w:bottom w:val="single" w:sz="4" w:space="0" w:color="auto"/>
            </w:tcBorders>
          </w:tcPr>
          <w:p w14:paraId="7160C2E2" w14:textId="77777777" w:rsidR="008910AA" w:rsidRDefault="008910AA" w:rsidP="0094185F">
            <w:r>
              <w:t xml:space="preserve">held the Board (governance) and senior administrative leadership accountable for the provision of financial resources </w:t>
            </w:r>
            <w:r w:rsidR="00BA3240">
              <w:t>to ensure adequate nurse staffing levels</w:t>
            </w:r>
            <w:r>
              <w:t>. (p.155)</w:t>
            </w:r>
          </w:p>
          <w:p w14:paraId="640432F0" w14:textId="77777777" w:rsidR="00E17C54" w:rsidRDefault="00E17C54" w:rsidP="0094185F"/>
          <w:p w14:paraId="10230E10" w14:textId="77777777" w:rsidR="00A2693E" w:rsidRDefault="00A2693E" w:rsidP="0094185F"/>
          <w:p w14:paraId="2BDF2C5E" w14:textId="77777777" w:rsidR="00A2693E" w:rsidRDefault="00A2693E" w:rsidP="0094185F"/>
          <w:p w14:paraId="2BB5E09A" w14:textId="77777777" w:rsidR="00A2693E" w:rsidRDefault="00A2693E" w:rsidP="0094185F"/>
          <w:p w14:paraId="7B762E3C" w14:textId="77777777" w:rsidR="00A2693E" w:rsidRDefault="00A2693E" w:rsidP="0094185F"/>
          <w:p w14:paraId="7FD8C022" w14:textId="77777777" w:rsidR="00A2693E" w:rsidRDefault="00A2693E" w:rsidP="0094185F"/>
          <w:p w14:paraId="394FE0CC" w14:textId="77777777" w:rsidR="00A2693E" w:rsidRDefault="00A2693E" w:rsidP="0094185F"/>
          <w:p w14:paraId="28215C94" w14:textId="77777777" w:rsidR="00A2693E" w:rsidRDefault="00A2693E" w:rsidP="0094185F"/>
        </w:tc>
      </w:tr>
      <w:tr w:rsidR="001A44F1" w14:paraId="72DFC2C0" w14:textId="77777777" w:rsidTr="00470616">
        <w:trPr>
          <w:cantSplit/>
          <w:jc w:val="center"/>
        </w:trPr>
        <w:tc>
          <w:tcPr>
            <w:tcW w:w="576" w:type="dxa"/>
            <w:tcBorders>
              <w:bottom w:val="nil"/>
            </w:tcBorders>
          </w:tcPr>
          <w:p w14:paraId="6C140BE2" w14:textId="77777777" w:rsidR="001A44F1" w:rsidRDefault="001A44F1">
            <w:pPr>
              <w:jc w:val="center"/>
              <w:rPr>
                <w:sz w:val="16"/>
              </w:rPr>
            </w:pPr>
            <w:r>
              <w:rPr>
                <w:sz w:val="16"/>
              </w:rPr>
              <w:lastRenderedPageBreak/>
              <w:t>9.3</w:t>
            </w:r>
          </w:p>
        </w:tc>
        <w:tc>
          <w:tcPr>
            <w:tcW w:w="9216" w:type="dxa"/>
            <w:gridSpan w:val="2"/>
            <w:tcBorders>
              <w:top w:val="single" w:sz="4" w:space="0" w:color="auto"/>
              <w:bottom w:val="nil"/>
            </w:tcBorders>
          </w:tcPr>
          <w:p w14:paraId="5818C0AE" w14:textId="77777777" w:rsidR="001A44F1" w:rsidRDefault="001A44F1" w:rsidP="001A44F1">
            <w:pPr>
              <w:rPr>
                <w:b/>
              </w:rPr>
            </w:pPr>
            <w:r>
              <w:rPr>
                <w:b/>
              </w:rPr>
              <w:t>In regard to ensuring adequate and competent nursing staff service and nursing leadership at all levels, our organization has done the following or has had the following in place within the last 12 months:</w:t>
            </w:r>
          </w:p>
          <w:p w14:paraId="48A4BC7C" w14:textId="77777777" w:rsidR="001A44F1" w:rsidRDefault="001A44F1" w:rsidP="009C6B6F"/>
        </w:tc>
      </w:tr>
      <w:tr w:rsidR="001A44F1" w14:paraId="62426E89" w14:textId="77777777" w:rsidTr="00470616">
        <w:trPr>
          <w:cantSplit/>
          <w:jc w:val="center"/>
        </w:trPr>
        <w:tc>
          <w:tcPr>
            <w:tcW w:w="576" w:type="dxa"/>
            <w:vMerge w:val="restart"/>
            <w:tcBorders>
              <w:top w:val="nil"/>
            </w:tcBorders>
            <w:textDirection w:val="btLr"/>
          </w:tcPr>
          <w:p w14:paraId="0D3F3A90" w14:textId="77777777" w:rsidR="001A44F1" w:rsidRDefault="001A44F1" w:rsidP="001A44F1">
            <w:pPr>
              <w:ind w:left="113" w:right="113"/>
              <w:jc w:val="center"/>
              <w:rPr>
                <w:sz w:val="16"/>
              </w:rPr>
            </w:pPr>
            <w:r>
              <w:rPr>
                <w:sz w:val="16"/>
              </w:rPr>
              <w:t>ABILITY</w:t>
            </w:r>
          </w:p>
        </w:tc>
        <w:tc>
          <w:tcPr>
            <w:tcW w:w="742" w:type="dxa"/>
            <w:tcBorders>
              <w:top w:val="nil"/>
              <w:bottom w:val="nil"/>
              <w:right w:val="nil"/>
            </w:tcBorders>
          </w:tcPr>
          <w:p w14:paraId="4DB64EB3" w14:textId="77777777" w:rsidR="001A44F1" w:rsidRDefault="001A44F1" w:rsidP="001A44F1">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tcBorders>
          </w:tcPr>
          <w:p w14:paraId="65F5FF31" w14:textId="77777777" w:rsidR="001A44F1" w:rsidRDefault="001A44F1" w:rsidP="001A44F1">
            <w:r>
              <w:t xml:space="preserve">conducted staff education on maintaining and improving competencies specific to assigned job duties related to the safety of the patient, with attendance documented. (p.155) </w:t>
            </w:r>
          </w:p>
          <w:p w14:paraId="294BF6A9" w14:textId="77777777" w:rsidR="001A44F1" w:rsidRDefault="001A44F1" w:rsidP="001A44F1"/>
        </w:tc>
      </w:tr>
      <w:tr w:rsidR="001A44F1" w14:paraId="4100D263" w14:textId="77777777" w:rsidTr="00470616">
        <w:trPr>
          <w:cantSplit/>
          <w:jc w:val="center"/>
        </w:trPr>
        <w:tc>
          <w:tcPr>
            <w:tcW w:w="576" w:type="dxa"/>
            <w:vMerge/>
          </w:tcPr>
          <w:p w14:paraId="29976001" w14:textId="77777777" w:rsidR="001A44F1" w:rsidRDefault="001A44F1" w:rsidP="001A44F1">
            <w:pPr>
              <w:jc w:val="center"/>
              <w:rPr>
                <w:sz w:val="16"/>
              </w:rPr>
            </w:pPr>
          </w:p>
        </w:tc>
        <w:tc>
          <w:tcPr>
            <w:tcW w:w="742" w:type="dxa"/>
            <w:tcBorders>
              <w:top w:val="nil"/>
              <w:bottom w:val="nil"/>
              <w:right w:val="nil"/>
            </w:tcBorders>
          </w:tcPr>
          <w:p w14:paraId="2F4ABEDC" w14:textId="77777777" w:rsidR="001A44F1" w:rsidRDefault="001A44F1" w:rsidP="001A44F1">
            <w:pPr>
              <w:jc w:val="right"/>
              <w:rPr>
                <w:sz w:val="16"/>
              </w:rPr>
            </w:pPr>
            <w:r>
              <w:rPr>
                <w:sz w:val="16"/>
              </w:rPr>
              <w:t xml:space="preserve">b </w:t>
            </w:r>
            <w:r>
              <w:rPr>
                <w:b/>
              </w:rPr>
              <w:sym w:font="Wingdings" w:char="F06F"/>
            </w:r>
          </w:p>
        </w:tc>
        <w:tc>
          <w:tcPr>
            <w:tcW w:w="8474" w:type="dxa"/>
            <w:tcBorders>
              <w:top w:val="nil"/>
              <w:left w:val="nil"/>
              <w:bottom w:val="nil"/>
            </w:tcBorders>
          </w:tcPr>
          <w:p w14:paraId="6188D61C" w14:textId="77777777" w:rsidR="001A44F1" w:rsidRDefault="001A44F1" w:rsidP="001A44F1">
            <w:r>
              <w:t xml:space="preserve">allocated </w:t>
            </w:r>
            <w:r w:rsidR="008B075C">
              <w:t xml:space="preserve">protected time for direct care staff and managers </w:t>
            </w:r>
            <w:r>
              <w:t xml:space="preserve">to reduce adverse events related to staffing levels or competency issues. </w:t>
            </w:r>
          </w:p>
          <w:p w14:paraId="598AE85B" w14:textId="77777777" w:rsidR="001A44F1" w:rsidRDefault="001A44F1" w:rsidP="001A44F1"/>
        </w:tc>
      </w:tr>
      <w:tr w:rsidR="001A44F1" w14:paraId="3DE63118" w14:textId="77777777" w:rsidTr="00470616">
        <w:trPr>
          <w:cantSplit/>
          <w:jc w:val="center"/>
        </w:trPr>
        <w:tc>
          <w:tcPr>
            <w:tcW w:w="576" w:type="dxa"/>
            <w:vMerge/>
          </w:tcPr>
          <w:p w14:paraId="5793E5F2" w14:textId="77777777" w:rsidR="001A44F1" w:rsidRDefault="001A44F1" w:rsidP="001A44F1">
            <w:pPr>
              <w:jc w:val="center"/>
              <w:rPr>
                <w:sz w:val="16"/>
              </w:rPr>
            </w:pPr>
          </w:p>
        </w:tc>
        <w:tc>
          <w:tcPr>
            <w:tcW w:w="742" w:type="dxa"/>
            <w:tcBorders>
              <w:top w:val="nil"/>
              <w:bottom w:val="nil"/>
              <w:right w:val="nil"/>
            </w:tcBorders>
          </w:tcPr>
          <w:p w14:paraId="5FE967C7" w14:textId="77777777" w:rsidR="001A44F1" w:rsidRDefault="001A44F1" w:rsidP="001A44F1">
            <w:pPr>
              <w:jc w:val="right"/>
              <w:rPr>
                <w:sz w:val="16"/>
              </w:rPr>
            </w:pPr>
            <w:r>
              <w:rPr>
                <w:sz w:val="16"/>
              </w:rPr>
              <w:t xml:space="preserve">c </w:t>
            </w:r>
            <w:r>
              <w:rPr>
                <w:b/>
              </w:rPr>
              <w:sym w:font="Wingdings" w:char="F06F"/>
            </w:r>
          </w:p>
        </w:tc>
        <w:tc>
          <w:tcPr>
            <w:tcW w:w="8474" w:type="dxa"/>
            <w:tcBorders>
              <w:top w:val="nil"/>
              <w:left w:val="nil"/>
              <w:bottom w:val="nil"/>
            </w:tcBorders>
          </w:tcPr>
          <w:p w14:paraId="183F2898" w14:textId="77777777" w:rsidR="001A44F1" w:rsidRDefault="001A44F1" w:rsidP="001A44F1">
            <w:r>
              <w:t xml:space="preserve">documented expenses incurred during the past year tied to </w:t>
            </w:r>
            <w:r w:rsidR="008B075C">
              <w:t>quality improvement efforts around this Safe Practice.</w:t>
            </w:r>
          </w:p>
          <w:p w14:paraId="4A0506E4" w14:textId="77777777" w:rsidR="001A44F1" w:rsidRDefault="001A44F1" w:rsidP="001A44F1"/>
        </w:tc>
      </w:tr>
      <w:tr w:rsidR="001A44F1" w14:paraId="2387D427" w14:textId="77777777" w:rsidTr="00470616">
        <w:trPr>
          <w:cantSplit/>
          <w:jc w:val="center"/>
        </w:trPr>
        <w:tc>
          <w:tcPr>
            <w:tcW w:w="576" w:type="dxa"/>
            <w:vMerge/>
          </w:tcPr>
          <w:p w14:paraId="42F63E82" w14:textId="77777777" w:rsidR="001A44F1" w:rsidRDefault="001A44F1" w:rsidP="001A44F1">
            <w:pPr>
              <w:jc w:val="center"/>
              <w:rPr>
                <w:sz w:val="16"/>
              </w:rPr>
            </w:pPr>
          </w:p>
        </w:tc>
        <w:tc>
          <w:tcPr>
            <w:tcW w:w="742" w:type="dxa"/>
            <w:tcBorders>
              <w:top w:val="nil"/>
              <w:bottom w:val="nil"/>
              <w:right w:val="nil"/>
            </w:tcBorders>
          </w:tcPr>
          <w:p w14:paraId="7BC8E46E" w14:textId="77777777" w:rsidR="001A44F1" w:rsidRDefault="001A44F1" w:rsidP="001A44F1">
            <w:pPr>
              <w:jc w:val="right"/>
              <w:rPr>
                <w:sz w:val="16"/>
              </w:rPr>
            </w:pPr>
            <w:r>
              <w:rPr>
                <w:sz w:val="16"/>
              </w:rPr>
              <w:t xml:space="preserve">d </w:t>
            </w:r>
            <w:r>
              <w:rPr>
                <w:b/>
              </w:rPr>
              <w:sym w:font="Wingdings" w:char="F06F"/>
            </w:r>
          </w:p>
        </w:tc>
        <w:tc>
          <w:tcPr>
            <w:tcW w:w="8474" w:type="dxa"/>
            <w:tcBorders>
              <w:top w:val="nil"/>
              <w:left w:val="nil"/>
              <w:bottom w:val="nil"/>
            </w:tcBorders>
          </w:tcPr>
          <w:p w14:paraId="64F03CAE" w14:textId="77777777" w:rsidR="001A44F1" w:rsidRDefault="001A44F1" w:rsidP="001A44F1">
            <w:r>
              <w:t xml:space="preserve">budgeted financial resources for balancing staffing levels and skill levels to improve performance. (p.155) </w:t>
            </w:r>
          </w:p>
          <w:p w14:paraId="6F54CEA0" w14:textId="77777777" w:rsidR="001A44F1" w:rsidRDefault="001A44F1" w:rsidP="001A44F1"/>
        </w:tc>
      </w:tr>
      <w:tr w:rsidR="001A44F1" w14:paraId="65CE85BC" w14:textId="77777777" w:rsidTr="00470616">
        <w:trPr>
          <w:cantSplit/>
          <w:jc w:val="center"/>
        </w:trPr>
        <w:tc>
          <w:tcPr>
            <w:tcW w:w="576" w:type="dxa"/>
            <w:vMerge/>
            <w:tcBorders>
              <w:bottom w:val="single" w:sz="4" w:space="0" w:color="auto"/>
            </w:tcBorders>
          </w:tcPr>
          <w:p w14:paraId="2CE291BE" w14:textId="77777777" w:rsidR="001A44F1" w:rsidRDefault="001A44F1" w:rsidP="001A44F1">
            <w:pPr>
              <w:jc w:val="center"/>
              <w:rPr>
                <w:sz w:val="16"/>
              </w:rPr>
            </w:pPr>
          </w:p>
        </w:tc>
        <w:tc>
          <w:tcPr>
            <w:tcW w:w="742" w:type="dxa"/>
            <w:tcBorders>
              <w:top w:val="nil"/>
              <w:bottom w:val="single" w:sz="4" w:space="0" w:color="auto"/>
              <w:right w:val="nil"/>
            </w:tcBorders>
          </w:tcPr>
          <w:p w14:paraId="0AFDFAFF" w14:textId="77777777" w:rsidR="001A44F1" w:rsidRDefault="001A44F1" w:rsidP="001A44F1">
            <w:pPr>
              <w:jc w:val="right"/>
              <w:rPr>
                <w:sz w:val="16"/>
              </w:rPr>
            </w:pPr>
            <w:r>
              <w:rPr>
                <w:sz w:val="16"/>
              </w:rPr>
              <w:t xml:space="preserve">e </w:t>
            </w:r>
            <w:r>
              <w:rPr>
                <w:b/>
              </w:rPr>
              <w:sym w:font="Wingdings" w:char="F06F"/>
            </w:r>
          </w:p>
        </w:tc>
        <w:tc>
          <w:tcPr>
            <w:tcW w:w="8474" w:type="dxa"/>
            <w:tcBorders>
              <w:top w:val="nil"/>
              <w:left w:val="nil"/>
              <w:bottom w:val="single" w:sz="4" w:space="0" w:color="auto"/>
            </w:tcBorders>
          </w:tcPr>
          <w:p w14:paraId="4C92BB5D" w14:textId="77777777" w:rsidR="001A44F1" w:rsidRDefault="001A44F1" w:rsidP="001A44F1">
            <w:r>
              <w:t>governance has approved a budget for reaching optimal nurse staffing. (p.155)</w:t>
            </w:r>
          </w:p>
          <w:p w14:paraId="342AB780" w14:textId="77777777" w:rsidR="001A44F1" w:rsidRDefault="001A44F1" w:rsidP="001A44F1"/>
        </w:tc>
      </w:tr>
      <w:tr w:rsidR="001A44F1" w14:paraId="67407588" w14:textId="77777777" w:rsidTr="00470616">
        <w:trPr>
          <w:cantSplit/>
          <w:jc w:val="center"/>
        </w:trPr>
        <w:tc>
          <w:tcPr>
            <w:tcW w:w="576" w:type="dxa"/>
            <w:tcBorders>
              <w:bottom w:val="nil"/>
            </w:tcBorders>
          </w:tcPr>
          <w:p w14:paraId="3EED6E24" w14:textId="77777777" w:rsidR="001A44F1" w:rsidRDefault="001A44F1" w:rsidP="001A44F1">
            <w:pPr>
              <w:jc w:val="center"/>
              <w:rPr>
                <w:sz w:val="16"/>
              </w:rPr>
            </w:pPr>
            <w:r>
              <w:rPr>
                <w:sz w:val="16"/>
              </w:rPr>
              <w:t>9.4</w:t>
            </w:r>
          </w:p>
        </w:tc>
        <w:tc>
          <w:tcPr>
            <w:tcW w:w="9216" w:type="dxa"/>
            <w:gridSpan w:val="2"/>
            <w:tcBorders>
              <w:top w:val="single" w:sz="4" w:space="0" w:color="auto"/>
              <w:bottom w:val="nil"/>
            </w:tcBorders>
          </w:tcPr>
          <w:p w14:paraId="35A723AF" w14:textId="77777777" w:rsidR="001A44F1" w:rsidRDefault="001A44F1" w:rsidP="001A44F1">
            <w:pPr>
              <w:rPr>
                <w:b/>
              </w:rPr>
            </w:pPr>
            <w:r>
              <w:rPr>
                <w:b/>
              </w:rPr>
              <w:t>In regard to ensuring adequate and competent nursing staff service and nursing leadership at all levels, our organization has done the following within the last 12 months or has had the following in place during the last 12 months and updates are made regularly:</w:t>
            </w:r>
          </w:p>
          <w:p w14:paraId="6810CAC9" w14:textId="77777777" w:rsidR="001A44F1" w:rsidRDefault="001A44F1" w:rsidP="001A44F1"/>
        </w:tc>
      </w:tr>
      <w:tr w:rsidR="001A44F1" w14:paraId="0266AD73" w14:textId="77777777" w:rsidTr="00470616">
        <w:trPr>
          <w:cantSplit/>
          <w:jc w:val="center"/>
        </w:trPr>
        <w:tc>
          <w:tcPr>
            <w:tcW w:w="576" w:type="dxa"/>
            <w:vMerge w:val="restart"/>
            <w:tcBorders>
              <w:top w:val="nil"/>
              <w:right w:val="single" w:sz="4" w:space="0" w:color="auto"/>
            </w:tcBorders>
            <w:textDirection w:val="btLr"/>
          </w:tcPr>
          <w:p w14:paraId="2EE9CD8E" w14:textId="77777777" w:rsidR="001A44F1" w:rsidRDefault="001A44F1" w:rsidP="001A44F1">
            <w:pPr>
              <w:ind w:left="113" w:right="113"/>
              <w:jc w:val="center"/>
              <w:rPr>
                <w:sz w:val="16"/>
              </w:rPr>
            </w:pPr>
            <w:r>
              <w:rPr>
                <w:sz w:val="16"/>
              </w:rPr>
              <w:t>ACTION</w:t>
            </w:r>
          </w:p>
        </w:tc>
        <w:tc>
          <w:tcPr>
            <w:tcW w:w="742" w:type="dxa"/>
            <w:tcBorders>
              <w:top w:val="nil"/>
              <w:left w:val="single" w:sz="4" w:space="0" w:color="auto"/>
              <w:bottom w:val="nil"/>
              <w:right w:val="nil"/>
            </w:tcBorders>
          </w:tcPr>
          <w:p w14:paraId="5A7F90AF" w14:textId="77777777" w:rsidR="001A44F1" w:rsidRDefault="001A44F1" w:rsidP="001A44F1">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right w:val="single" w:sz="4" w:space="0" w:color="auto"/>
            </w:tcBorders>
          </w:tcPr>
          <w:p w14:paraId="6ADE6A14" w14:textId="77777777" w:rsidR="001A44F1" w:rsidRDefault="001A44F1" w:rsidP="001A44F1">
            <w:r>
              <w:t xml:space="preserve">implemented </w:t>
            </w:r>
            <w:r w:rsidR="008B075C">
              <w:t xml:space="preserve">a staffing plan, </w:t>
            </w:r>
            <w:r>
              <w:t>with input from nurses, to ensure that adequate nursing staff-to-patient ratios are achieved. (p.154)</w:t>
            </w:r>
          </w:p>
          <w:p w14:paraId="71987FAB" w14:textId="77777777" w:rsidR="001A44F1" w:rsidRDefault="001A44F1" w:rsidP="001A44F1"/>
        </w:tc>
      </w:tr>
      <w:tr w:rsidR="001A44F1" w14:paraId="13C73FF8" w14:textId="77777777" w:rsidTr="00470616">
        <w:trPr>
          <w:cantSplit/>
          <w:jc w:val="center"/>
        </w:trPr>
        <w:tc>
          <w:tcPr>
            <w:tcW w:w="576" w:type="dxa"/>
            <w:vMerge/>
            <w:tcBorders>
              <w:right w:val="single" w:sz="4" w:space="0" w:color="auto"/>
            </w:tcBorders>
          </w:tcPr>
          <w:p w14:paraId="3818BEAA" w14:textId="77777777" w:rsidR="001A44F1" w:rsidRDefault="001A44F1" w:rsidP="001A44F1">
            <w:pPr>
              <w:jc w:val="center"/>
              <w:rPr>
                <w:sz w:val="16"/>
              </w:rPr>
            </w:pPr>
          </w:p>
        </w:tc>
        <w:tc>
          <w:tcPr>
            <w:tcW w:w="742" w:type="dxa"/>
            <w:tcBorders>
              <w:top w:val="nil"/>
              <w:left w:val="single" w:sz="4" w:space="0" w:color="auto"/>
              <w:bottom w:val="nil"/>
              <w:right w:val="nil"/>
            </w:tcBorders>
          </w:tcPr>
          <w:p w14:paraId="285747D8" w14:textId="77777777" w:rsidR="001A44F1" w:rsidRDefault="001A44F1" w:rsidP="001A44F1">
            <w:pPr>
              <w:jc w:val="right"/>
              <w:rPr>
                <w:sz w:val="16"/>
              </w:rPr>
            </w:pPr>
            <w:r>
              <w:rPr>
                <w:sz w:val="16"/>
              </w:rPr>
              <w:t xml:space="preserve">b </w:t>
            </w:r>
            <w:r>
              <w:rPr>
                <w:b/>
              </w:rPr>
              <w:sym w:font="Wingdings" w:char="F06F"/>
            </w:r>
          </w:p>
        </w:tc>
        <w:tc>
          <w:tcPr>
            <w:tcW w:w="8474" w:type="dxa"/>
            <w:tcBorders>
              <w:top w:val="nil"/>
              <w:left w:val="nil"/>
              <w:bottom w:val="nil"/>
              <w:right w:val="single" w:sz="4" w:space="0" w:color="auto"/>
            </w:tcBorders>
          </w:tcPr>
          <w:p w14:paraId="376BE9E8" w14:textId="77777777" w:rsidR="001A44F1" w:rsidRDefault="001A44F1" w:rsidP="001A44F1">
            <w:r>
              <w:t>developed policies and procedures for effective staffing targets that specify number, competency and skill mix of nursing staff. (p.155)</w:t>
            </w:r>
          </w:p>
          <w:p w14:paraId="41F94B36" w14:textId="77777777" w:rsidR="001A44F1" w:rsidRDefault="001A44F1" w:rsidP="001A44F1"/>
        </w:tc>
      </w:tr>
      <w:tr w:rsidR="001A44F1" w14:paraId="76F4E8DD" w14:textId="77777777" w:rsidTr="00470616">
        <w:trPr>
          <w:cantSplit/>
          <w:jc w:val="center"/>
        </w:trPr>
        <w:tc>
          <w:tcPr>
            <w:tcW w:w="576" w:type="dxa"/>
            <w:vMerge/>
            <w:tcBorders>
              <w:right w:val="single" w:sz="4" w:space="0" w:color="auto"/>
            </w:tcBorders>
          </w:tcPr>
          <w:p w14:paraId="5DEDCF67" w14:textId="77777777" w:rsidR="001A44F1" w:rsidRDefault="001A44F1" w:rsidP="001A44F1">
            <w:pPr>
              <w:jc w:val="center"/>
              <w:rPr>
                <w:sz w:val="16"/>
              </w:rPr>
            </w:pPr>
          </w:p>
        </w:tc>
        <w:tc>
          <w:tcPr>
            <w:tcW w:w="742" w:type="dxa"/>
            <w:tcBorders>
              <w:top w:val="nil"/>
              <w:left w:val="single" w:sz="4" w:space="0" w:color="auto"/>
              <w:bottom w:val="nil"/>
              <w:right w:val="nil"/>
            </w:tcBorders>
          </w:tcPr>
          <w:p w14:paraId="073A991C" w14:textId="77777777" w:rsidR="001A44F1" w:rsidRDefault="001A44F1" w:rsidP="001A44F1">
            <w:pPr>
              <w:jc w:val="right"/>
              <w:rPr>
                <w:sz w:val="16"/>
              </w:rPr>
            </w:pPr>
            <w:r>
              <w:rPr>
                <w:sz w:val="16"/>
              </w:rPr>
              <w:t xml:space="preserve">c </w:t>
            </w:r>
            <w:r>
              <w:rPr>
                <w:b/>
              </w:rPr>
              <w:sym w:font="Wingdings" w:char="F06F"/>
            </w:r>
          </w:p>
        </w:tc>
        <w:tc>
          <w:tcPr>
            <w:tcW w:w="8474" w:type="dxa"/>
            <w:tcBorders>
              <w:top w:val="nil"/>
              <w:left w:val="nil"/>
              <w:bottom w:val="nil"/>
              <w:right w:val="single" w:sz="4" w:space="0" w:color="auto"/>
            </w:tcBorders>
          </w:tcPr>
          <w:p w14:paraId="6E106FDB" w14:textId="77777777" w:rsidR="001A44F1" w:rsidRDefault="001A44F1" w:rsidP="001A44F1">
            <w:r>
              <w:t>implemented a performance improvement project that minimizes the risk to patients from less than optimal staffing levels. (p.155)</w:t>
            </w:r>
          </w:p>
          <w:p w14:paraId="07A0169A" w14:textId="77777777" w:rsidR="001A44F1" w:rsidRDefault="001A44F1" w:rsidP="001A44F1">
            <w:pPr>
              <w:rPr>
                <w:b/>
              </w:rPr>
            </w:pPr>
            <w:r>
              <w:rPr>
                <w:b/>
              </w:rPr>
              <w:t>OR</w:t>
            </w:r>
          </w:p>
          <w:p w14:paraId="238FD71B" w14:textId="77777777" w:rsidR="001A44F1" w:rsidRDefault="001A44F1" w:rsidP="001A44F1">
            <w:r>
              <w:t xml:space="preserve">monitored a previously implemented hospital-wide performance improvement program that measures, and demonstrates full achievement of, the impact of this specific Safe Practice. (p.155) </w:t>
            </w:r>
          </w:p>
          <w:p w14:paraId="603BF362" w14:textId="77777777" w:rsidR="001A44F1" w:rsidRDefault="001A44F1" w:rsidP="001A44F1"/>
        </w:tc>
      </w:tr>
      <w:tr w:rsidR="00470616" w14:paraId="3BEC96D6" w14:textId="77777777" w:rsidTr="00F01A72">
        <w:trPr>
          <w:cantSplit/>
          <w:jc w:val="center"/>
        </w:trPr>
        <w:tc>
          <w:tcPr>
            <w:tcW w:w="576" w:type="dxa"/>
            <w:tcBorders>
              <w:right w:val="single" w:sz="4" w:space="0" w:color="auto"/>
            </w:tcBorders>
          </w:tcPr>
          <w:p w14:paraId="571B1D1E" w14:textId="77777777" w:rsidR="00470616" w:rsidRDefault="00470616" w:rsidP="001A44F1">
            <w:pPr>
              <w:jc w:val="center"/>
              <w:rPr>
                <w:sz w:val="16"/>
              </w:rPr>
            </w:pPr>
            <w:r>
              <w:rPr>
                <w:sz w:val="16"/>
              </w:rPr>
              <w:t>9.5</w:t>
            </w:r>
          </w:p>
        </w:tc>
        <w:tc>
          <w:tcPr>
            <w:tcW w:w="742" w:type="dxa"/>
            <w:tcBorders>
              <w:top w:val="single" w:sz="4" w:space="0" w:color="auto"/>
              <w:left w:val="single" w:sz="4" w:space="0" w:color="auto"/>
              <w:bottom w:val="single" w:sz="4" w:space="0" w:color="auto"/>
              <w:right w:val="nil"/>
            </w:tcBorders>
          </w:tcPr>
          <w:p w14:paraId="4638E5A2" w14:textId="77777777" w:rsidR="00470616" w:rsidRDefault="00470616" w:rsidP="00D734C8">
            <w:pPr>
              <w:rPr>
                <w:sz w:val="16"/>
              </w:rPr>
            </w:pPr>
            <w:r>
              <w:rPr>
                <w:b/>
              </w:rPr>
              <w:sym w:font="Wingdings" w:char="F06F"/>
            </w:r>
          </w:p>
        </w:tc>
        <w:tc>
          <w:tcPr>
            <w:tcW w:w="8474" w:type="dxa"/>
            <w:tcBorders>
              <w:top w:val="single" w:sz="4" w:space="0" w:color="auto"/>
              <w:left w:val="nil"/>
              <w:bottom w:val="single" w:sz="4" w:space="0" w:color="auto"/>
              <w:right w:val="single" w:sz="4" w:space="0" w:color="auto"/>
            </w:tcBorders>
          </w:tcPr>
          <w:p w14:paraId="0FCE5A9C" w14:textId="77777777" w:rsidR="00470616" w:rsidRDefault="00470616" w:rsidP="00536A38">
            <w:r>
              <w:t>Review of this safe practice is complete.</w:t>
            </w:r>
          </w:p>
          <w:p w14:paraId="7A76D594" w14:textId="77777777" w:rsidR="00470616" w:rsidRDefault="00470616" w:rsidP="001A44F1">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E63642F" w14:textId="77777777" w:rsidR="008910AA" w:rsidRDefault="008910AA">
      <w:r>
        <w:br w:type="page"/>
      </w:r>
    </w:p>
    <w:p w14:paraId="4607541D" w14:textId="77777777" w:rsidR="008910AA" w:rsidRPr="00F01A72" w:rsidRDefault="00D65253" w:rsidP="007A44CB">
      <w:pPr>
        <w:pStyle w:val="Heading3"/>
        <w:rPr>
          <w:i w:val="0"/>
          <w:snapToGrid w:val="0"/>
          <w:sz w:val="28"/>
          <w:szCs w:val="20"/>
          <w:u w:val="single"/>
        </w:rPr>
      </w:pPr>
      <w:bookmarkStart w:id="260" w:name="SP17"/>
      <w:bookmarkStart w:id="261" w:name="_Toc447195052"/>
      <w:r w:rsidRPr="00F01A72">
        <w:rPr>
          <w:i w:val="0"/>
          <w:snapToGrid w:val="0"/>
          <w:sz w:val="28"/>
          <w:szCs w:val="20"/>
          <w:u w:val="single"/>
        </w:rPr>
        <w:lastRenderedPageBreak/>
        <w:t xml:space="preserve">6F: </w:t>
      </w:r>
      <w:r w:rsidR="00F01A72">
        <w:rPr>
          <w:i w:val="0"/>
          <w:snapToGrid w:val="0"/>
          <w:sz w:val="28"/>
          <w:szCs w:val="20"/>
          <w:u w:val="single"/>
        </w:rPr>
        <w:t xml:space="preserve">Practice #17 - </w:t>
      </w:r>
      <w:r w:rsidR="008910AA" w:rsidRPr="00F01A72">
        <w:rPr>
          <w:i w:val="0"/>
          <w:snapToGrid w:val="0"/>
          <w:sz w:val="28"/>
          <w:szCs w:val="20"/>
          <w:u w:val="single"/>
        </w:rPr>
        <w:t>Medication Reconciliation</w:t>
      </w:r>
      <w:bookmarkEnd w:id="260"/>
      <w:bookmarkEnd w:id="261"/>
    </w:p>
    <w:p w14:paraId="2232ABE3" w14:textId="77777777" w:rsidR="008910AA" w:rsidRDefault="00F01A72" w:rsidP="005A41AD">
      <w:pPr>
        <w:rPr>
          <w:i/>
        </w:rPr>
      </w:pPr>
      <w:r>
        <w:rPr>
          <w:i/>
        </w:rPr>
        <w:t>(P</w:t>
      </w:r>
      <w:r w:rsidR="008910AA">
        <w:rPr>
          <w:i/>
        </w:rPr>
        <w:t>age numbers reference NQF Safe Practices for Better Healthcare – 2010 Update report)</w:t>
      </w:r>
    </w:p>
    <w:p w14:paraId="0CF8E4A8" w14:textId="77777777" w:rsidR="008910AA" w:rsidRDefault="008910AA">
      <w:pPr>
        <w:rPr>
          <w:i/>
        </w:rPr>
      </w:pPr>
    </w:p>
    <w:p w14:paraId="4368B58E" w14:textId="77777777" w:rsidR="008910AA" w:rsidRPr="00CA1206" w:rsidRDefault="008910AA">
      <w:pPr>
        <w:rPr>
          <w:b/>
          <w:bCs/>
          <w:i/>
        </w:rPr>
      </w:pPr>
      <w:r w:rsidRPr="00CA1206">
        <w:rPr>
          <w:b/>
          <w:bCs/>
          <w:i/>
        </w:rPr>
        <w:t>Check all boxes that apply.</w:t>
      </w:r>
    </w:p>
    <w:p w14:paraId="2309EF17" w14:textId="77777777" w:rsidR="00CA1206" w:rsidRDefault="00CA1206">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42"/>
        <w:gridCol w:w="8474"/>
      </w:tblGrid>
      <w:tr w:rsidR="008910AA" w14:paraId="51CE320C" w14:textId="77777777" w:rsidTr="00792957">
        <w:trPr>
          <w:cantSplit/>
          <w:jc w:val="center"/>
        </w:trPr>
        <w:tc>
          <w:tcPr>
            <w:tcW w:w="576" w:type="dxa"/>
            <w:tcBorders>
              <w:bottom w:val="nil"/>
            </w:tcBorders>
          </w:tcPr>
          <w:p w14:paraId="4F260B6A" w14:textId="77777777" w:rsidR="008910AA" w:rsidRDefault="008910AA">
            <w:pPr>
              <w:jc w:val="center"/>
              <w:rPr>
                <w:sz w:val="16"/>
              </w:rPr>
            </w:pPr>
            <w:r>
              <w:rPr>
                <w:sz w:val="16"/>
              </w:rPr>
              <w:t>17.1</w:t>
            </w:r>
          </w:p>
        </w:tc>
        <w:tc>
          <w:tcPr>
            <w:tcW w:w="9216" w:type="dxa"/>
            <w:gridSpan w:val="2"/>
            <w:tcBorders>
              <w:bottom w:val="nil"/>
            </w:tcBorders>
          </w:tcPr>
          <w:p w14:paraId="0190B4FB" w14:textId="77777777" w:rsidR="008910AA" w:rsidRDefault="008910AA">
            <w:pPr>
              <w:rPr>
                <w:b/>
              </w:rPr>
            </w:pPr>
            <w:r>
              <w:rPr>
                <w:b/>
              </w:rPr>
              <w:t>In regard to adverse drug events and the medication reconciliation process, our organization has done the following or has had the following in place within the last 12 months:</w:t>
            </w:r>
          </w:p>
          <w:p w14:paraId="277BC200" w14:textId="77777777" w:rsidR="008910AA" w:rsidRDefault="008910AA">
            <w:pPr>
              <w:rPr>
                <w:b/>
              </w:rPr>
            </w:pPr>
          </w:p>
        </w:tc>
      </w:tr>
      <w:tr w:rsidR="008910AA" w14:paraId="3D8FB744" w14:textId="77777777" w:rsidTr="00792957">
        <w:trPr>
          <w:cantSplit/>
          <w:jc w:val="center"/>
        </w:trPr>
        <w:tc>
          <w:tcPr>
            <w:tcW w:w="576" w:type="dxa"/>
            <w:vMerge w:val="restart"/>
            <w:tcBorders>
              <w:top w:val="nil"/>
            </w:tcBorders>
            <w:textDirection w:val="btLr"/>
          </w:tcPr>
          <w:p w14:paraId="6E62D69A" w14:textId="77777777" w:rsidR="008910AA" w:rsidRDefault="008910AA">
            <w:pPr>
              <w:spacing w:before="120"/>
              <w:ind w:left="115" w:right="115"/>
              <w:jc w:val="center"/>
              <w:rPr>
                <w:sz w:val="16"/>
              </w:rPr>
            </w:pPr>
            <w:r>
              <w:rPr>
                <w:sz w:val="16"/>
              </w:rPr>
              <w:t>AWARENESS</w:t>
            </w:r>
          </w:p>
        </w:tc>
        <w:tc>
          <w:tcPr>
            <w:tcW w:w="742" w:type="dxa"/>
            <w:tcBorders>
              <w:top w:val="nil"/>
              <w:bottom w:val="nil"/>
              <w:right w:val="nil"/>
            </w:tcBorders>
          </w:tcPr>
          <w:p w14:paraId="60CFCB2D"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EB279A8" w14:textId="77777777" w:rsidR="008910AA" w:rsidRDefault="008910AA" w:rsidP="00374112">
            <w:r>
              <w:t>completed a review of the literature and identified specific</w:t>
            </w:r>
            <w:r w:rsidR="00CA1206">
              <w:t xml:space="preserve">, evidence-based </w:t>
            </w:r>
            <w:r>
              <w:t>best practices for process redesign. (pp.225-228)</w:t>
            </w:r>
          </w:p>
          <w:p w14:paraId="3FF1E29F" w14:textId="77777777" w:rsidR="00374112" w:rsidRDefault="00374112" w:rsidP="00374112"/>
        </w:tc>
      </w:tr>
      <w:tr w:rsidR="008910AA" w14:paraId="0FA3DCF9" w14:textId="77777777" w:rsidTr="00792957">
        <w:trPr>
          <w:cantSplit/>
          <w:jc w:val="center"/>
        </w:trPr>
        <w:tc>
          <w:tcPr>
            <w:tcW w:w="576" w:type="dxa"/>
            <w:vMerge/>
          </w:tcPr>
          <w:p w14:paraId="4D768CCF" w14:textId="77777777" w:rsidR="008910AA" w:rsidRDefault="008910AA">
            <w:pPr>
              <w:jc w:val="center"/>
              <w:rPr>
                <w:sz w:val="16"/>
              </w:rPr>
            </w:pPr>
          </w:p>
        </w:tc>
        <w:tc>
          <w:tcPr>
            <w:tcW w:w="742" w:type="dxa"/>
            <w:tcBorders>
              <w:top w:val="nil"/>
              <w:bottom w:val="nil"/>
              <w:right w:val="nil"/>
            </w:tcBorders>
          </w:tcPr>
          <w:p w14:paraId="5804CA9F"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4ADE2568" w14:textId="77777777" w:rsidR="008910AA" w:rsidRDefault="004673E0" w:rsidP="00374112">
            <w:r>
              <w:t xml:space="preserve">conducted </w:t>
            </w:r>
            <w:r w:rsidR="008910AA">
              <w:t xml:space="preserve">a hospital-wide evaluation of the frequency and severity of adverse drug events associated with medication reconciliation in our patient population. </w:t>
            </w:r>
          </w:p>
          <w:p w14:paraId="474DD2FC" w14:textId="77777777" w:rsidR="00374112" w:rsidRDefault="00374112" w:rsidP="00374112"/>
        </w:tc>
      </w:tr>
      <w:tr w:rsidR="008910AA" w14:paraId="4EC98BA9" w14:textId="77777777" w:rsidTr="00792957">
        <w:trPr>
          <w:cantSplit/>
          <w:jc w:val="center"/>
        </w:trPr>
        <w:tc>
          <w:tcPr>
            <w:tcW w:w="576" w:type="dxa"/>
            <w:vMerge/>
          </w:tcPr>
          <w:p w14:paraId="1C61049E" w14:textId="77777777" w:rsidR="008910AA" w:rsidRDefault="008910AA">
            <w:pPr>
              <w:jc w:val="center"/>
              <w:rPr>
                <w:sz w:val="16"/>
              </w:rPr>
            </w:pPr>
          </w:p>
        </w:tc>
        <w:tc>
          <w:tcPr>
            <w:tcW w:w="742" w:type="dxa"/>
            <w:tcBorders>
              <w:top w:val="nil"/>
              <w:bottom w:val="nil"/>
              <w:right w:val="nil"/>
            </w:tcBorders>
          </w:tcPr>
          <w:p w14:paraId="50FAD1CD"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414F8C59" w14:textId="77777777" w:rsidR="008910AA" w:rsidRDefault="008910AA" w:rsidP="00374112">
            <w:r>
              <w:t xml:space="preserve">submitted a report to the Board (governance) with recommendations for measurable improvement targets. (p.224) </w:t>
            </w:r>
          </w:p>
          <w:p w14:paraId="23C81B3C" w14:textId="77777777" w:rsidR="00224D39" w:rsidRDefault="00224D39" w:rsidP="00374112"/>
        </w:tc>
      </w:tr>
      <w:tr w:rsidR="008910AA" w14:paraId="30B211F0" w14:textId="77777777" w:rsidTr="00792957">
        <w:trPr>
          <w:cantSplit/>
          <w:jc w:val="center"/>
        </w:trPr>
        <w:tc>
          <w:tcPr>
            <w:tcW w:w="576" w:type="dxa"/>
            <w:tcBorders>
              <w:bottom w:val="nil"/>
            </w:tcBorders>
          </w:tcPr>
          <w:p w14:paraId="24FFBB72" w14:textId="77777777" w:rsidR="008910AA" w:rsidRDefault="008910AA">
            <w:pPr>
              <w:jc w:val="center"/>
            </w:pPr>
            <w:r>
              <w:rPr>
                <w:sz w:val="16"/>
              </w:rPr>
              <w:t>17.2</w:t>
            </w:r>
          </w:p>
        </w:tc>
        <w:tc>
          <w:tcPr>
            <w:tcW w:w="9216" w:type="dxa"/>
            <w:gridSpan w:val="2"/>
            <w:tcBorders>
              <w:bottom w:val="nil"/>
            </w:tcBorders>
          </w:tcPr>
          <w:p w14:paraId="01C6D138" w14:textId="77777777" w:rsidR="008910AA" w:rsidRDefault="008910AA" w:rsidP="00374112">
            <w:pPr>
              <w:rPr>
                <w:b/>
              </w:rPr>
            </w:pPr>
            <w:r>
              <w:rPr>
                <w:b/>
              </w:rPr>
              <w:t>In regard to adverse drug events and the medication reconciliation process, our organization has done the following or has had the following in place within the last 12 months:</w:t>
            </w:r>
          </w:p>
          <w:p w14:paraId="43550BCA" w14:textId="77777777" w:rsidR="008910AA" w:rsidRDefault="008910AA" w:rsidP="00374112">
            <w:pPr>
              <w:rPr>
                <w:b/>
              </w:rPr>
            </w:pPr>
          </w:p>
        </w:tc>
      </w:tr>
      <w:tr w:rsidR="008910AA" w14:paraId="55913566" w14:textId="77777777" w:rsidTr="00792957">
        <w:trPr>
          <w:cantSplit/>
          <w:jc w:val="center"/>
        </w:trPr>
        <w:tc>
          <w:tcPr>
            <w:tcW w:w="576" w:type="dxa"/>
            <w:vMerge w:val="restart"/>
            <w:tcBorders>
              <w:top w:val="nil"/>
            </w:tcBorders>
            <w:textDirection w:val="btLr"/>
          </w:tcPr>
          <w:p w14:paraId="3A66EE98" w14:textId="77777777" w:rsidR="008910AA" w:rsidRDefault="008910AA">
            <w:pPr>
              <w:spacing w:before="120"/>
              <w:ind w:left="115" w:right="115"/>
              <w:jc w:val="center"/>
              <w:rPr>
                <w:sz w:val="16"/>
              </w:rPr>
            </w:pPr>
            <w:r>
              <w:rPr>
                <w:sz w:val="16"/>
              </w:rPr>
              <w:t>ACCOUNTABILITY</w:t>
            </w:r>
          </w:p>
        </w:tc>
        <w:tc>
          <w:tcPr>
            <w:tcW w:w="742" w:type="dxa"/>
            <w:tcBorders>
              <w:top w:val="nil"/>
              <w:bottom w:val="nil"/>
              <w:right w:val="nil"/>
            </w:tcBorders>
          </w:tcPr>
          <w:p w14:paraId="19DBFEDC"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27CCF5E5" w14:textId="77777777" w:rsidR="008910AA" w:rsidRDefault="008910AA" w:rsidP="00374112">
            <w:r>
              <w:t>held senior administrative leadership directly accountable for performance</w:t>
            </w:r>
            <w:r w:rsidR="004673E0">
              <w:t xml:space="preserve"> in this patient safety area</w:t>
            </w:r>
            <w:r>
              <w:t xml:space="preserve"> through performance reviews or compensation.</w:t>
            </w:r>
          </w:p>
          <w:p w14:paraId="7D021FF7" w14:textId="77777777" w:rsidR="00374112" w:rsidRDefault="00374112" w:rsidP="00374112"/>
        </w:tc>
      </w:tr>
      <w:tr w:rsidR="008910AA" w14:paraId="038BD388" w14:textId="77777777" w:rsidTr="00792957">
        <w:trPr>
          <w:cantSplit/>
          <w:jc w:val="center"/>
        </w:trPr>
        <w:tc>
          <w:tcPr>
            <w:tcW w:w="576" w:type="dxa"/>
            <w:vMerge/>
          </w:tcPr>
          <w:p w14:paraId="3EBA6ED5" w14:textId="77777777" w:rsidR="008910AA" w:rsidRDefault="008910AA">
            <w:pPr>
              <w:jc w:val="center"/>
              <w:rPr>
                <w:sz w:val="16"/>
              </w:rPr>
            </w:pPr>
          </w:p>
        </w:tc>
        <w:tc>
          <w:tcPr>
            <w:tcW w:w="742" w:type="dxa"/>
            <w:tcBorders>
              <w:top w:val="nil"/>
              <w:bottom w:val="nil"/>
              <w:right w:val="nil"/>
            </w:tcBorders>
          </w:tcPr>
          <w:p w14:paraId="113AC6FC" w14:textId="77777777" w:rsidR="008910AA" w:rsidRDefault="008910AA">
            <w:pPr>
              <w:jc w:val="right"/>
              <w:rPr>
                <w:u w:val="single"/>
              </w:rPr>
            </w:pPr>
            <w:r>
              <w:rPr>
                <w:sz w:val="16"/>
              </w:rPr>
              <w:t xml:space="preserve">b </w:t>
            </w:r>
            <w:r>
              <w:rPr>
                <w:b/>
              </w:rPr>
              <w:sym w:font="Wingdings" w:char="F06F"/>
            </w:r>
          </w:p>
        </w:tc>
        <w:tc>
          <w:tcPr>
            <w:tcW w:w="8474" w:type="dxa"/>
            <w:tcBorders>
              <w:top w:val="nil"/>
              <w:left w:val="nil"/>
              <w:bottom w:val="nil"/>
            </w:tcBorders>
          </w:tcPr>
          <w:p w14:paraId="16F070B7" w14:textId="77777777" w:rsidR="008910AA" w:rsidRDefault="008910AA" w:rsidP="00374112">
            <w:r>
              <w:t xml:space="preserve">held the </w:t>
            </w:r>
            <w:r w:rsidR="00E7305D">
              <w:t xml:space="preserve">patient safety officer </w:t>
            </w:r>
            <w:r>
              <w:t xml:space="preserve">directly accountable for improvements in performance through performance reviews or compensation. </w:t>
            </w:r>
          </w:p>
          <w:p w14:paraId="2120D4AE" w14:textId="77777777" w:rsidR="00374112" w:rsidRDefault="00374112" w:rsidP="00374112"/>
        </w:tc>
      </w:tr>
      <w:tr w:rsidR="008910AA" w14:paraId="2162B0FB" w14:textId="77777777" w:rsidTr="00792957">
        <w:trPr>
          <w:cantSplit/>
          <w:jc w:val="center"/>
        </w:trPr>
        <w:tc>
          <w:tcPr>
            <w:tcW w:w="576" w:type="dxa"/>
            <w:vMerge/>
          </w:tcPr>
          <w:p w14:paraId="263EC45A" w14:textId="77777777" w:rsidR="008910AA" w:rsidRDefault="008910AA">
            <w:pPr>
              <w:jc w:val="center"/>
              <w:rPr>
                <w:sz w:val="16"/>
              </w:rPr>
            </w:pPr>
          </w:p>
        </w:tc>
        <w:tc>
          <w:tcPr>
            <w:tcW w:w="742" w:type="dxa"/>
            <w:tcBorders>
              <w:top w:val="nil"/>
              <w:right w:val="nil"/>
            </w:tcBorders>
          </w:tcPr>
          <w:p w14:paraId="50FF7029" w14:textId="77777777" w:rsidR="008910AA" w:rsidRDefault="008910AA">
            <w:pPr>
              <w:jc w:val="right"/>
              <w:rPr>
                <w:sz w:val="16"/>
              </w:rPr>
            </w:pPr>
            <w:r>
              <w:rPr>
                <w:sz w:val="16"/>
              </w:rPr>
              <w:t xml:space="preserve">c </w:t>
            </w:r>
            <w:r>
              <w:rPr>
                <w:b/>
              </w:rPr>
              <w:sym w:font="Wingdings" w:char="F06F"/>
            </w:r>
          </w:p>
        </w:tc>
        <w:tc>
          <w:tcPr>
            <w:tcW w:w="8474" w:type="dxa"/>
            <w:tcBorders>
              <w:top w:val="nil"/>
              <w:left w:val="nil"/>
            </w:tcBorders>
          </w:tcPr>
          <w:p w14:paraId="727EA8F6" w14:textId="77777777" w:rsidR="008910AA" w:rsidRDefault="008910AA" w:rsidP="00374112">
            <w:r>
              <w:t>reported to the Board (governance) the results of the measurable improvement targets. (p.224)</w:t>
            </w:r>
          </w:p>
          <w:p w14:paraId="0024DDEE" w14:textId="77777777" w:rsidR="008910AA" w:rsidRDefault="008910AA" w:rsidP="00374112"/>
        </w:tc>
      </w:tr>
      <w:tr w:rsidR="008910AA" w14:paraId="16094F17" w14:textId="77777777" w:rsidTr="00792957">
        <w:trPr>
          <w:cantSplit/>
          <w:jc w:val="center"/>
        </w:trPr>
        <w:tc>
          <w:tcPr>
            <w:tcW w:w="576" w:type="dxa"/>
            <w:tcBorders>
              <w:bottom w:val="nil"/>
            </w:tcBorders>
          </w:tcPr>
          <w:p w14:paraId="622C4588" w14:textId="77777777" w:rsidR="008910AA" w:rsidRDefault="008910AA">
            <w:pPr>
              <w:jc w:val="center"/>
              <w:rPr>
                <w:sz w:val="16"/>
              </w:rPr>
            </w:pPr>
            <w:r>
              <w:rPr>
                <w:sz w:val="16"/>
              </w:rPr>
              <w:t>17.3</w:t>
            </w:r>
          </w:p>
        </w:tc>
        <w:tc>
          <w:tcPr>
            <w:tcW w:w="9216" w:type="dxa"/>
            <w:gridSpan w:val="2"/>
            <w:tcBorders>
              <w:bottom w:val="nil"/>
            </w:tcBorders>
          </w:tcPr>
          <w:p w14:paraId="57744B0C" w14:textId="77777777" w:rsidR="008910AA" w:rsidRDefault="008910AA" w:rsidP="00374112">
            <w:pPr>
              <w:rPr>
                <w:b/>
              </w:rPr>
            </w:pPr>
            <w:r>
              <w:rPr>
                <w:b/>
              </w:rPr>
              <w:t>In regard to adverse drug events and the medication reconciliation process, our organization has done the following or has had the following in place within the last 12 months:</w:t>
            </w:r>
          </w:p>
          <w:p w14:paraId="236FE0A1" w14:textId="77777777" w:rsidR="008910AA" w:rsidRDefault="008910AA" w:rsidP="00374112">
            <w:pPr>
              <w:rPr>
                <w:b/>
              </w:rPr>
            </w:pPr>
          </w:p>
        </w:tc>
      </w:tr>
      <w:tr w:rsidR="008910AA" w14:paraId="5DD05A90" w14:textId="77777777" w:rsidTr="00792957">
        <w:trPr>
          <w:cantSplit/>
          <w:jc w:val="center"/>
        </w:trPr>
        <w:tc>
          <w:tcPr>
            <w:tcW w:w="576" w:type="dxa"/>
            <w:vMerge w:val="restart"/>
            <w:tcBorders>
              <w:top w:val="nil"/>
            </w:tcBorders>
            <w:textDirection w:val="btLr"/>
          </w:tcPr>
          <w:p w14:paraId="7E2BED95" w14:textId="77777777" w:rsidR="008910AA" w:rsidRDefault="008910AA">
            <w:pPr>
              <w:spacing w:before="120"/>
              <w:ind w:left="115" w:right="115"/>
              <w:jc w:val="center"/>
              <w:rPr>
                <w:sz w:val="16"/>
              </w:rPr>
            </w:pPr>
            <w:r>
              <w:br w:type="page"/>
            </w:r>
            <w:r>
              <w:rPr>
                <w:sz w:val="16"/>
              </w:rPr>
              <w:t>ABILITY</w:t>
            </w:r>
          </w:p>
        </w:tc>
        <w:tc>
          <w:tcPr>
            <w:tcW w:w="742" w:type="dxa"/>
            <w:tcBorders>
              <w:top w:val="nil"/>
              <w:bottom w:val="nil"/>
              <w:right w:val="nil"/>
            </w:tcBorders>
          </w:tcPr>
          <w:p w14:paraId="76467139"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0772A0E8" w14:textId="77777777" w:rsidR="008910AA" w:rsidRDefault="008910AA" w:rsidP="00374112">
            <w:r>
              <w:t>conducted staff education</w:t>
            </w:r>
            <w:r w:rsidR="004673E0">
              <w:t>/knowledge transfer</w:t>
            </w:r>
            <w:r>
              <w:t xml:space="preserve"> and skill development programs, with attendance documented. (p.221) </w:t>
            </w:r>
          </w:p>
          <w:p w14:paraId="539387DF" w14:textId="77777777" w:rsidR="00374112" w:rsidRDefault="00374112" w:rsidP="00374112"/>
        </w:tc>
      </w:tr>
      <w:tr w:rsidR="008910AA" w14:paraId="43255972" w14:textId="77777777" w:rsidTr="00792957">
        <w:trPr>
          <w:cantSplit/>
          <w:jc w:val="center"/>
        </w:trPr>
        <w:tc>
          <w:tcPr>
            <w:tcW w:w="576" w:type="dxa"/>
            <w:vMerge/>
          </w:tcPr>
          <w:p w14:paraId="1D2F3D60" w14:textId="77777777" w:rsidR="008910AA" w:rsidRDefault="008910AA">
            <w:pPr>
              <w:jc w:val="center"/>
              <w:rPr>
                <w:sz w:val="16"/>
              </w:rPr>
            </w:pPr>
          </w:p>
        </w:tc>
        <w:tc>
          <w:tcPr>
            <w:tcW w:w="742" w:type="dxa"/>
            <w:tcBorders>
              <w:top w:val="nil"/>
              <w:bottom w:val="nil"/>
              <w:right w:val="nil"/>
            </w:tcBorders>
          </w:tcPr>
          <w:p w14:paraId="38525767"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49EFE7DA" w14:textId="77777777" w:rsidR="008910AA" w:rsidRDefault="008910AA" w:rsidP="00374112">
            <w:r>
              <w:t xml:space="preserve">conducted an education program for all newly hired clinicians on the importance of medication reconciliation, with attendance documented. (p.219) </w:t>
            </w:r>
          </w:p>
          <w:p w14:paraId="139E8372" w14:textId="77777777" w:rsidR="00374112" w:rsidRDefault="00374112" w:rsidP="00374112"/>
        </w:tc>
      </w:tr>
      <w:tr w:rsidR="008910AA" w14:paraId="37FEB134" w14:textId="77777777" w:rsidTr="00792957">
        <w:trPr>
          <w:cantSplit/>
          <w:jc w:val="center"/>
        </w:trPr>
        <w:tc>
          <w:tcPr>
            <w:tcW w:w="576" w:type="dxa"/>
            <w:vMerge/>
            <w:tcBorders>
              <w:bottom w:val="single" w:sz="4" w:space="0" w:color="auto"/>
            </w:tcBorders>
          </w:tcPr>
          <w:p w14:paraId="0AE54AA0" w14:textId="77777777" w:rsidR="008910AA" w:rsidRDefault="008910AA">
            <w:pPr>
              <w:jc w:val="center"/>
              <w:rPr>
                <w:sz w:val="16"/>
              </w:rPr>
            </w:pPr>
          </w:p>
        </w:tc>
        <w:tc>
          <w:tcPr>
            <w:tcW w:w="742" w:type="dxa"/>
            <w:tcBorders>
              <w:top w:val="nil"/>
              <w:bottom w:val="single" w:sz="4" w:space="0" w:color="auto"/>
              <w:right w:val="nil"/>
            </w:tcBorders>
          </w:tcPr>
          <w:p w14:paraId="196C984C" w14:textId="77777777" w:rsidR="008910AA" w:rsidRDefault="008910AA">
            <w:pPr>
              <w:jc w:val="right"/>
              <w:rPr>
                <w:u w:val="single"/>
              </w:rPr>
            </w:pPr>
            <w:r>
              <w:rPr>
                <w:sz w:val="16"/>
              </w:rPr>
              <w:t xml:space="preserve">c </w:t>
            </w:r>
            <w:r>
              <w:rPr>
                <w:b/>
              </w:rPr>
              <w:sym w:font="Wingdings" w:char="F06F"/>
            </w:r>
          </w:p>
        </w:tc>
        <w:tc>
          <w:tcPr>
            <w:tcW w:w="8474" w:type="dxa"/>
            <w:tcBorders>
              <w:top w:val="nil"/>
              <w:left w:val="nil"/>
              <w:bottom w:val="single" w:sz="4" w:space="0" w:color="auto"/>
            </w:tcBorders>
          </w:tcPr>
          <w:p w14:paraId="761B499D" w14:textId="77777777" w:rsidR="000A6630" w:rsidRDefault="008910AA" w:rsidP="00374112">
            <w:r>
              <w:t xml:space="preserve">allocated </w:t>
            </w:r>
            <w:r w:rsidR="00CA1206">
              <w:t>protected time for direct care staff and managers</w:t>
            </w:r>
            <w:r w:rsidR="007F0431">
              <w:t xml:space="preserve">, </w:t>
            </w:r>
            <w:r>
              <w:t xml:space="preserve"> and dedicated budget resources for best practices development for the organization’s medication reconciliation system. (p.222) </w:t>
            </w:r>
          </w:p>
          <w:p w14:paraId="486FC31B" w14:textId="77777777" w:rsidR="00224D39" w:rsidRDefault="00224D39" w:rsidP="00374112"/>
          <w:p w14:paraId="029CCA37" w14:textId="77777777" w:rsidR="00A2693E" w:rsidRDefault="00A2693E" w:rsidP="00374112"/>
          <w:p w14:paraId="54064691" w14:textId="77777777" w:rsidR="00A2693E" w:rsidRDefault="00A2693E" w:rsidP="00374112"/>
          <w:p w14:paraId="0FCE176D" w14:textId="77777777" w:rsidR="00A2693E" w:rsidRDefault="00A2693E" w:rsidP="00374112"/>
          <w:p w14:paraId="7065668B" w14:textId="77777777" w:rsidR="00A2693E" w:rsidRDefault="00A2693E" w:rsidP="00374112"/>
          <w:p w14:paraId="7D1BDA4E" w14:textId="77777777" w:rsidR="00A2693E" w:rsidRDefault="00A2693E" w:rsidP="00374112"/>
          <w:p w14:paraId="3092CD43" w14:textId="77777777" w:rsidR="00A2693E" w:rsidRDefault="00A2693E" w:rsidP="00374112"/>
          <w:p w14:paraId="0AD93E9D" w14:textId="77777777" w:rsidR="00A2693E" w:rsidRDefault="00A2693E" w:rsidP="00374112"/>
          <w:p w14:paraId="4B43B426" w14:textId="77777777" w:rsidR="00A2693E" w:rsidRDefault="00A2693E" w:rsidP="00374112"/>
          <w:p w14:paraId="7F62E899" w14:textId="77777777" w:rsidR="00A2693E" w:rsidRDefault="00A2693E" w:rsidP="00374112"/>
          <w:p w14:paraId="10822AC6" w14:textId="77777777" w:rsidR="00A2693E" w:rsidRDefault="00A2693E" w:rsidP="00374112"/>
          <w:p w14:paraId="6CAFA4B3" w14:textId="77777777" w:rsidR="00A2693E" w:rsidRDefault="00A2693E" w:rsidP="00374112"/>
          <w:p w14:paraId="0FE3FA1C" w14:textId="77777777" w:rsidR="00A2693E" w:rsidRDefault="00A2693E" w:rsidP="00374112"/>
        </w:tc>
      </w:tr>
      <w:tr w:rsidR="007F0431" w14:paraId="70E3AD7C" w14:textId="77777777" w:rsidTr="00792957">
        <w:trPr>
          <w:cantSplit/>
          <w:jc w:val="center"/>
        </w:trPr>
        <w:tc>
          <w:tcPr>
            <w:tcW w:w="576" w:type="dxa"/>
            <w:tcBorders>
              <w:bottom w:val="nil"/>
            </w:tcBorders>
          </w:tcPr>
          <w:p w14:paraId="40E0F819" w14:textId="77777777" w:rsidR="007F0431" w:rsidRDefault="00027E6D">
            <w:pPr>
              <w:jc w:val="center"/>
              <w:rPr>
                <w:sz w:val="16"/>
              </w:rPr>
            </w:pPr>
            <w:r>
              <w:rPr>
                <w:sz w:val="16"/>
              </w:rPr>
              <w:lastRenderedPageBreak/>
              <w:t>17.4</w:t>
            </w:r>
          </w:p>
        </w:tc>
        <w:tc>
          <w:tcPr>
            <w:tcW w:w="9216" w:type="dxa"/>
            <w:gridSpan w:val="2"/>
            <w:tcBorders>
              <w:top w:val="single" w:sz="4" w:space="0" w:color="auto"/>
              <w:bottom w:val="nil"/>
            </w:tcBorders>
          </w:tcPr>
          <w:p w14:paraId="119AB99E" w14:textId="77777777" w:rsidR="007F0431" w:rsidRDefault="007F0431" w:rsidP="00374112">
            <w:pPr>
              <w:rPr>
                <w:b/>
              </w:rPr>
            </w:pPr>
            <w:r>
              <w:rPr>
                <w:b/>
              </w:rPr>
              <w:t>In regard to the medication reconciliation process, our organization has done the following within the last 12 months or has had the following in place during the last 12 months and updates are made regularly:</w:t>
            </w:r>
          </w:p>
          <w:p w14:paraId="77CF9067" w14:textId="77777777" w:rsidR="007F0431" w:rsidRDefault="007F0431" w:rsidP="00374112"/>
        </w:tc>
      </w:tr>
      <w:tr w:rsidR="00027E6D" w14:paraId="5741076A" w14:textId="77777777" w:rsidTr="00792957">
        <w:trPr>
          <w:cantSplit/>
          <w:jc w:val="center"/>
        </w:trPr>
        <w:tc>
          <w:tcPr>
            <w:tcW w:w="576" w:type="dxa"/>
            <w:vMerge w:val="restart"/>
            <w:tcBorders>
              <w:top w:val="nil"/>
            </w:tcBorders>
            <w:textDirection w:val="btLr"/>
          </w:tcPr>
          <w:p w14:paraId="698367CE" w14:textId="77777777" w:rsidR="00027E6D" w:rsidRDefault="004635D7" w:rsidP="000A6630">
            <w:pPr>
              <w:ind w:left="113" w:right="113"/>
              <w:jc w:val="center"/>
              <w:rPr>
                <w:sz w:val="16"/>
              </w:rPr>
            </w:pPr>
            <w:r>
              <w:rPr>
                <w:sz w:val="16"/>
              </w:rPr>
              <w:t>ACTION</w:t>
            </w:r>
          </w:p>
        </w:tc>
        <w:tc>
          <w:tcPr>
            <w:tcW w:w="742" w:type="dxa"/>
            <w:tcBorders>
              <w:top w:val="nil"/>
              <w:bottom w:val="nil"/>
              <w:right w:val="nil"/>
            </w:tcBorders>
          </w:tcPr>
          <w:p w14:paraId="71322A1E" w14:textId="77777777" w:rsidR="00027E6D" w:rsidRDefault="00027E6D" w:rsidP="00027E6D">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tcBorders>
          </w:tcPr>
          <w:p w14:paraId="2C86AA66" w14:textId="77777777" w:rsidR="00027E6D" w:rsidRDefault="00027E6D" w:rsidP="00374112">
            <w:r>
              <w:t>developed and implemented explicit policies and procedures across the entire organization regarding medication reconciliation.</w:t>
            </w:r>
          </w:p>
          <w:p w14:paraId="4543DB4E" w14:textId="77777777" w:rsidR="00027E6D" w:rsidRDefault="00027E6D" w:rsidP="00374112"/>
        </w:tc>
      </w:tr>
      <w:tr w:rsidR="00027E6D" w14:paraId="6A555A99" w14:textId="77777777" w:rsidTr="00792957">
        <w:trPr>
          <w:cantSplit/>
          <w:jc w:val="center"/>
        </w:trPr>
        <w:tc>
          <w:tcPr>
            <w:tcW w:w="576" w:type="dxa"/>
            <w:vMerge/>
          </w:tcPr>
          <w:p w14:paraId="74C663AB" w14:textId="77777777" w:rsidR="00027E6D" w:rsidRDefault="00027E6D" w:rsidP="00027E6D">
            <w:pPr>
              <w:jc w:val="center"/>
              <w:rPr>
                <w:sz w:val="16"/>
              </w:rPr>
            </w:pPr>
          </w:p>
        </w:tc>
        <w:tc>
          <w:tcPr>
            <w:tcW w:w="742" w:type="dxa"/>
            <w:tcBorders>
              <w:top w:val="nil"/>
              <w:bottom w:val="nil"/>
              <w:right w:val="nil"/>
            </w:tcBorders>
          </w:tcPr>
          <w:p w14:paraId="79EA821E" w14:textId="77777777" w:rsidR="00027E6D" w:rsidRDefault="00027E6D" w:rsidP="00027E6D">
            <w:pPr>
              <w:jc w:val="right"/>
              <w:rPr>
                <w:sz w:val="16"/>
              </w:rPr>
            </w:pPr>
            <w:r>
              <w:rPr>
                <w:sz w:val="16"/>
              </w:rPr>
              <w:t xml:space="preserve">b </w:t>
            </w:r>
            <w:r>
              <w:rPr>
                <w:b/>
              </w:rPr>
              <w:sym w:font="Wingdings" w:char="F06F"/>
            </w:r>
          </w:p>
        </w:tc>
        <w:tc>
          <w:tcPr>
            <w:tcW w:w="8474" w:type="dxa"/>
            <w:tcBorders>
              <w:top w:val="nil"/>
              <w:left w:val="nil"/>
              <w:bottom w:val="nil"/>
            </w:tcBorders>
          </w:tcPr>
          <w:p w14:paraId="348EA16D" w14:textId="77777777" w:rsidR="00027E6D" w:rsidRDefault="00027E6D" w:rsidP="00374112">
            <w:r>
              <w:t>implemented a formal performance improvement program addressing the impact of this specific Safe Practice</w:t>
            </w:r>
          </w:p>
          <w:p w14:paraId="5ED3950F" w14:textId="77777777" w:rsidR="00027E6D" w:rsidRDefault="00027E6D" w:rsidP="00374112">
            <w:pPr>
              <w:rPr>
                <w:b/>
              </w:rPr>
            </w:pPr>
            <w:r>
              <w:rPr>
                <w:b/>
              </w:rPr>
              <w:t>OR</w:t>
            </w:r>
          </w:p>
          <w:p w14:paraId="760A3EB5" w14:textId="77777777" w:rsidR="00027E6D" w:rsidRDefault="00027E6D" w:rsidP="00374112">
            <w:r>
              <w:t>monitored a previously implemented hospital-wide performance improvement program that measures, and demonstrates full achievement of, the impact of this specific Safe Practice.</w:t>
            </w:r>
          </w:p>
          <w:p w14:paraId="021492EE" w14:textId="77777777" w:rsidR="00374112" w:rsidRDefault="00374112" w:rsidP="00374112"/>
        </w:tc>
      </w:tr>
      <w:tr w:rsidR="00027E6D" w14:paraId="394DF6F7" w14:textId="77777777" w:rsidTr="00792957">
        <w:trPr>
          <w:cantSplit/>
          <w:jc w:val="center"/>
        </w:trPr>
        <w:tc>
          <w:tcPr>
            <w:tcW w:w="576" w:type="dxa"/>
            <w:vMerge/>
          </w:tcPr>
          <w:p w14:paraId="67818AE1" w14:textId="77777777" w:rsidR="00027E6D" w:rsidRDefault="00027E6D" w:rsidP="00027E6D">
            <w:pPr>
              <w:jc w:val="center"/>
              <w:rPr>
                <w:sz w:val="16"/>
              </w:rPr>
            </w:pPr>
          </w:p>
        </w:tc>
        <w:tc>
          <w:tcPr>
            <w:tcW w:w="742" w:type="dxa"/>
            <w:tcBorders>
              <w:top w:val="nil"/>
              <w:bottom w:val="nil"/>
              <w:right w:val="nil"/>
            </w:tcBorders>
          </w:tcPr>
          <w:p w14:paraId="6FB9CEC6" w14:textId="77777777" w:rsidR="00027E6D" w:rsidRDefault="00027E6D" w:rsidP="00027E6D">
            <w:pPr>
              <w:jc w:val="right"/>
              <w:rPr>
                <w:sz w:val="16"/>
              </w:rPr>
            </w:pPr>
            <w:r>
              <w:rPr>
                <w:sz w:val="16"/>
              </w:rPr>
              <w:t xml:space="preserve">c </w:t>
            </w:r>
            <w:r>
              <w:rPr>
                <w:b/>
              </w:rPr>
              <w:sym w:font="Wingdings" w:char="F06F"/>
            </w:r>
          </w:p>
        </w:tc>
        <w:tc>
          <w:tcPr>
            <w:tcW w:w="8474" w:type="dxa"/>
            <w:tcBorders>
              <w:top w:val="nil"/>
              <w:left w:val="nil"/>
              <w:bottom w:val="nil"/>
            </w:tcBorders>
          </w:tcPr>
          <w:p w14:paraId="463E777E" w14:textId="77777777" w:rsidR="00027E6D" w:rsidRDefault="00027E6D" w:rsidP="00374112">
            <w:r>
              <w:t>implemented standardized processes to obtain and document a complete list of each patient’s current medications at the beginning of each episode of care.  (p.219)</w:t>
            </w:r>
          </w:p>
          <w:p w14:paraId="657AF676" w14:textId="77777777" w:rsidR="00027E6D" w:rsidRDefault="00027E6D" w:rsidP="00374112"/>
        </w:tc>
      </w:tr>
      <w:tr w:rsidR="00027E6D" w14:paraId="1F2BE0EC" w14:textId="77777777" w:rsidTr="00792957">
        <w:trPr>
          <w:cantSplit/>
          <w:jc w:val="center"/>
        </w:trPr>
        <w:tc>
          <w:tcPr>
            <w:tcW w:w="576" w:type="dxa"/>
            <w:vMerge/>
          </w:tcPr>
          <w:p w14:paraId="7F08435C" w14:textId="77777777" w:rsidR="00027E6D" w:rsidRDefault="00027E6D" w:rsidP="00027E6D">
            <w:pPr>
              <w:jc w:val="center"/>
              <w:rPr>
                <w:sz w:val="16"/>
              </w:rPr>
            </w:pPr>
          </w:p>
        </w:tc>
        <w:tc>
          <w:tcPr>
            <w:tcW w:w="742" w:type="dxa"/>
            <w:tcBorders>
              <w:top w:val="nil"/>
              <w:bottom w:val="nil"/>
              <w:right w:val="nil"/>
            </w:tcBorders>
          </w:tcPr>
          <w:p w14:paraId="7B0D1442" w14:textId="77777777" w:rsidR="00027E6D" w:rsidRDefault="00027E6D" w:rsidP="00027E6D">
            <w:pPr>
              <w:jc w:val="right"/>
              <w:rPr>
                <w:sz w:val="16"/>
              </w:rPr>
            </w:pPr>
            <w:r>
              <w:rPr>
                <w:sz w:val="16"/>
              </w:rPr>
              <w:t xml:space="preserve">d </w:t>
            </w:r>
            <w:r>
              <w:rPr>
                <w:b/>
              </w:rPr>
              <w:sym w:font="Wingdings" w:char="F06F"/>
            </w:r>
          </w:p>
        </w:tc>
        <w:tc>
          <w:tcPr>
            <w:tcW w:w="8474" w:type="dxa"/>
            <w:tcBorders>
              <w:top w:val="nil"/>
              <w:left w:val="nil"/>
              <w:bottom w:val="nil"/>
            </w:tcBorders>
          </w:tcPr>
          <w:p w14:paraId="3FCF2149" w14:textId="77777777" w:rsidR="00027E6D" w:rsidRDefault="00027E6D" w:rsidP="00374112">
            <w:r>
              <w:t>implemented standardized processes to ensure that a complete list of the patient’s medications is communicated to the next provider of service, including the documentation of communication between providers. (p.220)</w:t>
            </w:r>
          </w:p>
          <w:p w14:paraId="083CCA5C" w14:textId="77777777" w:rsidR="00027E6D" w:rsidRDefault="00027E6D" w:rsidP="00374112"/>
        </w:tc>
      </w:tr>
      <w:tr w:rsidR="00027E6D" w14:paraId="79C74668" w14:textId="77777777" w:rsidTr="00792957">
        <w:trPr>
          <w:cantSplit/>
          <w:jc w:val="center"/>
        </w:trPr>
        <w:tc>
          <w:tcPr>
            <w:tcW w:w="576" w:type="dxa"/>
            <w:vMerge/>
          </w:tcPr>
          <w:p w14:paraId="71608BBB" w14:textId="77777777" w:rsidR="00027E6D" w:rsidRDefault="00027E6D" w:rsidP="00027E6D">
            <w:pPr>
              <w:jc w:val="center"/>
              <w:rPr>
                <w:sz w:val="16"/>
              </w:rPr>
            </w:pPr>
          </w:p>
        </w:tc>
        <w:tc>
          <w:tcPr>
            <w:tcW w:w="742" w:type="dxa"/>
            <w:tcBorders>
              <w:top w:val="nil"/>
              <w:bottom w:val="nil"/>
              <w:right w:val="nil"/>
            </w:tcBorders>
          </w:tcPr>
          <w:p w14:paraId="1FDD8883" w14:textId="77777777" w:rsidR="00027E6D" w:rsidRDefault="00027E6D" w:rsidP="00027E6D">
            <w:pPr>
              <w:jc w:val="right"/>
              <w:rPr>
                <w:sz w:val="16"/>
              </w:rPr>
            </w:pPr>
            <w:r>
              <w:rPr>
                <w:sz w:val="16"/>
              </w:rPr>
              <w:t xml:space="preserve">e </w:t>
            </w:r>
            <w:r>
              <w:rPr>
                <w:b/>
              </w:rPr>
              <w:sym w:font="Wingdings" w:char="F06F"/>
            </w:r>
          </w:p>
        </w:tc>
        <w:tc>
          <w:tcPr>
            <w:tcW w:w="8474" w:type="dxa"/>
            <w:tcBorders>
              <w:top w:val="nil"/>
              <w:left w:val="nil"/>
              <w:bottom w:val="nil"/>
            </w:tcBorders>
          </w:tcPr>
          <w:p w14:paraId="10CABB92" w14:textId="77777777" w:rsidR="00027E6D" w:rsidRDefault="00027E6D" w:rsidP="00374112">
            <w:r>
              <w:t>implemented standardized processes to provide the patient, and family/caregiver as needed, a current list and explanation of the patient’s reconciled medications upon the patient leaving the organization’s care. (p.220)</w:t>
            </w:r>
          </w:p>
          <w:p w14:paraId="4C8A896F" w14:textId="77777777" w:rsidR="00027E6D" w:rsidRDefault="00027E6D" w:rsidP="00374112"/>
        </w:tc>
      </w:tr>
      <w:tr w:rsidR="00027E6D" w14:paraId="1D76D662" w14:textId="77777777" w:rsidTr="00CA3004">
        <w:trPr>
          <w:cantSplit/>
          <w:jc w:val="center"/>
        </w:trPr>
        <w:tc>
          <w:tcPr>
            <w:tcW w:w="576" w:type="dxa"/>
            <w:vMerge/>
          </w:tcPr>
          <w:p w14:paraId="6CE4F0E0" w14:textId="77777777" w:rsidR="00027E6D" w:rsidRDefault="00027E6D" w:rsidP="00027E6D">
            <w:pPr>
              <w:jc w:val="center"/>
              <w:rPr>
                <w:sz w:val="16"/>
              </w:rPr>
            </w:pPr>
          </w:p>
        </w:tc>
        <w:tc>
          <w:tcPr>
            <w:tcW w:w="742" w:type="dxa"/>
            <w:tcBorders>
              <w:top w:val="nil"/>
              <w:bottom w:val="single" w:sz="4" w:space="0" w:color="auto"/>
              <w:right w:val="nil"/>
            </w:tcBorders>
          </w:tcPr>
          <w:p w14:paraId="25F9AD33" w14:textId="77777777" w:rsidR="00027E6D" w:rsidRDefault="00027E6D" w:rsidP="00027E6D">
            <w:pPr>
              <w:jc w:val="right"/>
              <w:rPr>
                <w:sz w:val="16"/>
              </w:rPr>
            </w:pPr>
            <w:r>
              <w:rPr>
                <w:sz w:val="16"/>
              </w:rPr>
              <w:t xml:space="preserve">f </w:t>
            </w:r>
            <w:r>
              <w:rPr>
                <w:b/>
              </w:rPr>
              <w:sym w:font="Wingdings" w:char="F06F"/>
            </w:r>
          </w:p>
        </w:tc>
        <w:tc>
          <w:tcPr>
            <w:tcW w:w="8474" w:type="dxa"/>
            <w:tcBorders>
              <w:top w:val="nil"/>
              <w:left w:val="nil"/>
              <w:bottom w:val="single" w:sz="4" w:space="0" w:color="auto"/>
            </w:tcBorders>
          </w:tcPr>
          <w:p w14:paraId="76763FB0" w14:textId="77777777" w:rsidR="00027E6D" w:rsidRDefault="00027E6D" w:rsidP="00374112">
            <w:r>
              <w:t xml:space="preserve">have reconciled medications for patients whose care setting, or level of care has changed, or has had a change in health status. (p.220) </w:t>
            </w:r>
          </w:p>
          <w:p w14:paraId="31762BB0" w14:textId="77777777" w:rsidR="00027E6D" w:rsidRDefault="00027E6D" w:rsidP="00374112"/>
        </w:tc>
      </w:tr>
      <w:tr w:rsidR="00792957" w14:paraId="2B54D61F" w14:textId="77777777" w:rsidTr="00CA3004">
        <w:trPr>
          <w:cantSplit/>
          <w:jc w:val="center"/>
        </w:trPr>
        <w:tc>
          <w:tcPr>
            <w:tcW w:w="576" w:type="dxa"/>
          </w:tcPr>
          <w:p w14:paraId="730B201A" w14:textId="77777777" w:rsidR="00792957" w:rsidRDefault="00792957" w:rsidP="00027E6D">
            <w:pPr>
              <w:jc w:val="center"/>
              <w:rPr>
                <w:sz w:val="16"/>
              </w:rPr>
            </w:pPr>
            <w:r>
              <w:rPr>
                <w:sz w:val="16"/>
              </w:rPr>
              <w:t>17.5</w:t>
            </w:r>
          </w:p>
        </w:tc>
        <w:tc>
          <w:tcPr>
            <w:tcW w:w="742" w:type="dxa"/>
            <w:tcBorders>
              <w:top w:val="single" w:sz="4" w:space="0" w:color="auto"/>
              <w:bottom w:val="single" w:sz="4" w:space="0" w:color="auto"/>
              <w:right w:val="nil"/>
            </w:tcBorders>
          </w:tcPr>
          <w:p w14:paraId="0CDB6F9F" w14:textId="77777777" w:rsidR="00792957" w:rsidRDefault="00792957" w:rsidP="00027E6D">
            <w:pPr>
              <w:jc w:val="right"/>
              <w:rPr>
                <w:sz w:val="16"/>
              </w:rPr>
            </w:pPr>
            <w:r>
              <w:rPr>
                <w:b/>
              </w:rPr>
              <w:sym w:font="Wingdings" w:char="F06F"/>
            </w:r>
          </w:p>
        </w:tc>
        <w:tc>
          <w:tcPr>
            <w:tcW w:w="8474" w:type="dxa"/>
            <w:tcBorders>
              <w:top w:val="single" w:sz="4" w:space="0" w:color="auto"/>
              <w:left w:val="nil"/>
              <w:bottom w:val="single" w:sz="4" w:space="0" w:color="auto"/>
            </w:tcBorders>
          </w:tcPr>
          <w:p w14:paraId="5955E912" w14:textId="77777777" w:rsidR="00792957" w:rsidRDefault="00792957" w:rsidP="00536A38">
            <w:r>
              <w:t>Review of this safe practice is complete.</w:t>
            </w:r>
          </w:p>
          <w:p w14:paraId="4FDB4E3A" w14:textId="77777777" w:rsidR="00792957" w:rsidRDefault="00792957" w:rsidP="00374112">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0A72EF0" w14:textId="77777777" w:rsidR="008910AA" w:rsidRDefault="008910AA">
      <w:r>
        <w:br w:type="page"/>
      </w:r>
    </w:p>
    <w:p w14:paraId="58C0988F" w14:textId="77777777" w:rsidR="008910AA" w:rsidRPr="00F01A72" w:rsidRDefault="00D65253" w:rsidP="007A44CB">
      <w:pPr>
        <w:pStyle w:val="Heading3"/>
        <w:rPr>
          <w:i w:val="0"/>
          <w:snapToGrid w:val="0"/>
          <w:sz w:val="28"/>
          <w:szCs w:val="20"/>
          <w:u w:val="single"/>
        </w:rPr>
      </w:pPr>
      <w:bookmarkStart w:id="262" w:name="SP19"/>
      <w:bookmarkStart w:id="263" w:name="_Toc447195053"/>
      <w:r w:rsidRPr="00F01A72">
        <w:rPr>
          <w:i w:val="0"/>
          <w:snapToGrid w:val="0"/>
          <w:sz w:val="28"/>
          <w:szCs w:val="20"/>
          <w:u w:val="single"/>
        </w:rPr>
        <w:lastRenderedPageBreak/>
        <w:t xml:space="preserve">6G: </w:t>
      </w:r>
      <w:r w:rsidR="00CA3004">
        <w:rPr>
          <w:i w:val="0"/>
          <w:snapToGrid w:val="0"/>
          <w:sz w:val="28"/>
          <w:szCs w:val="20"/>
          <w:u w:val="single"/>
        </w:rPr>
        <w:t xml:space="preserve">Practice #19 - </w:t>
      </w:r>
      <w:r w:rsidR="008910AA" w:rsidRPr="00F01A72">
        <w:rPr>
          <w:i w:val="0"/>
          <w:snapToGrid w:val="0"/>
          <w:sz w:val="28"/>
          <w:szCs w:val="20"/>
          <w:u w:val="single"/>
        </w:rPr>
        <w:t>Hand Hygiene</w:t>
      </w:r>
      <w:bookmarkEnd w:id="262"/>
      <w:bookmarkEnd w:id="263"/>
    </w:p>
    <w:p w14:paraId="6FA98B06" w14:textId="77777777" w:rsidR="008910AA" w:rsidRDefault="00CA3004" w:rsidP="005A41AD">
      <w:pPr>
        <w:rPr>
          <w:i/>
        </w:rPr>
      </w:pPr>
      <w:r>
        <w:rPr>
          <w:i/>
        </w:rPr>
        <w:t>(P</w:t>
      </w:r>
      <w:r w:rsidR="008910AA">
        <w:rPr>
          <w:i/>
        </w:rPr>
        <w:t>age numbers reference NQF Safe Practices for Better Healthcare – 2010 Update report)</w:t>
      </w:r>
    </w:p>
    <w:p w14:paraId="564766A8" w14:textId="77777777" w:rsidR="008910AA" w:rsidRPr="00596D5A" w:rsidRDefault="008910AA">
      <w:pPr>
        <w:rPr>
          <w:b/>
        </w:rPr>
      </w:pPr>
    </w:p>
    <w:p w14:paraId="0C3A1014" w14:textId="77777777" w:rsidR="008910AA" w:rsidRPr="00596D5A" w:rsidRDefault="008910AA">
      <w:pPr>
        <w:rPr>
          <w:b/>
          <w:i/>
        </w:rPr>
      </w:pPr>
      <w:r w:rsidRPr="00596D5A">
        <w:rPr>
          <w:b/>
          <w:bCs/>
          <w:i/>
        </w:rPr>
        <w:t>Check all boxes that apply.</w:t>
      </w:r>
      <w:r w:rsidR="00596D5A">
        <w:rPr>
          <w:b/>
          <w:bCs/>
          <w:i/>
        </w:rPr>
        <w:br/>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454F3A24" w14:textId="77777777" w:rsidTr="00792957">
        <w:trPr>
          <w:cantSplit/>
          <w:jc w:val="center"/>
        </w:trPr>
        <w:tc>
          <w:tcPr>
            <w:tcW w:w="571" w:type="dxa"/>
            <w:tcBorders>
              <w:bottom w:val="nil"/>
            </w:tcBorders>
          </w:tcPr>
          <w:p w14:paraId="2A8788F6" w14:textId="77777777" w:rsidR="008910AA" w:rsidRDefault="008910AA">
            <w:pPr>
              <w:jc w:val="center"/>
              <w:rPr>
                <w:sz w:val="16"/>
              </w:rPr>
            </w:pPr>
            <w:r>
              <w:rPr>
                <w:sz w:val="16"/>
              </w:rPr>
              <w:t>19.1</w:t>
            </w:r>
          </w:p>
        </w:tc>
        <w:tc>
          <w:tcPr>
            <w:tcW w:w="9221" w:type="dxa"/>
            <w:gridSpan w:val="2"/>
            <w:tcBorders>
              <w:bottom w:val="nil"/>
            </w:tcBorders>
          </w:tcPr>
          <w:p w14:paraId="2C9E19F6" w14:textId="77777777" w:rsidR="008910AA" w:rsidRDefault="008910AA">
            <w:pPr>
              <w:rPr>
                <w:b/>
              </w:rPr>
            </w:pPr>
            <w:r>
              <w:rPr>
                <w:b/>
              </w:rPr>
              <w:t>In regard to preventing hospital-acquired infections related to inadequate hand hygiene, our organization has done the following or has had the following in place within the last 12 months:</w:t>
            </w:r>
          </w:p>
          <w:p w14:paraId="4856CEFA" w14:textId="77777777" w:rsidR="008910AA" w:rsidRDefault="008910AA">
            <w:pPr>
              <w:rPr>
                <w:b/>
              </w:rPr>
            </w:pPr>
          </w:p>
        </w:tc>
      </w:tr>
      <w:tr w:rsidR="008910AA" w14:paraId="5FC0CF22" w14:textId="77777777" w:rsidTr="00792957">
        <w:trPr>
          <w:cantSplit/>
          <w:jc w:val="center"/>
        </w:trPr>
        <w:tc>
          <w:tcPr>
            <w:tcW w:w="571" w:type="dxa"/>
            <w:vMerge w:val="restart"/>
            <w:tcBorders>
              <w:top w:val="nil"/>
            </w:tcBorders>
            <w:textDirection w:val="btLr"/>
          </w:tcPr>
          <w:p w14:paraId="0B765172"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551F3823"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9B9799F" w14:textId="77777777" w:rsidR="008910AA" w:rsidRDefault="004673E0" w:rsidP="00B475D0">
            <w:r>
              <w:t xml:space="preserve">conducted </w:t>
            </w:r>
            <w:r w:rsidR="008910AA">
              <w:t xml:space="preserve">a hospital-wide </w:t>
            </w:r>
            <w:r>
              <w:t>evaluation of</w:t>
            </w:r>
            <w:r w:rsidR="008910AA">
              <w:t xml:space="preserve"> the </w:t>
            </w:r>
            <w:r w:rsidR="00727F20">
              <w:t xml:space="preserve">potential impact of improvements in hand hygiene on the </w:t>
            </w:r>
            <w:r w:rsidR="008910AA">
              <w:t xml:space="preserve">frequency and severity of hospital-acquired infections </w:t>
            </w:r>
            <w:r>
              <w:t xml:space="preserve">in </w:t>
            </w:r>
            <w:r w:rsidR="008910AA">
              <w:t>our patient population. (p.250)</w:t>
            </w:r>
          </w:p>
          <w:p w14:paraId="4B7B999C" w14:textId="77777777" w:rsidR="00B475D0" w:rsidRDefault="00B475D0" w:rsidP="00B475D0"/>
        </w:tc>
      </w:tr>
      <w:tr w:rsidR="008910AA" w14:paraId="02BD6F20" w14:textId="77777777" w:rsidTr="00792957">
        <w:trPr>
          <w:cantSplit/>
          <w:jc w:val="center"/>
        </w:trPr>
        <w:tc>
          <w:tcPr>
            <w:tcW w:w="571" w:type="dxa"/>
            <w:vMerge/>
          </w:tcPr>
          <w:p w14:paraId="02D746EA" w14:textId="77777777" w:rsidR="008910AA" w:rsidRDefault="008910AA">
            <w:pPr>
              <w:jc w:val="center"/>
              <w:rPr>
                <w:sz w:val="16"/>
              </w:rPr>
            </w:pPr>
          </w:p>
        </w:tc>
        <w:tc>
          <w:tcPr>
            <w:tcW w:w="738" w:type="dxa"/>
            <w:tcBorders>
              <w:top w:val="nil"/>
              <w:bottom w:val="nil"/>
              <w:right w:val="nil"/>
            </w:tcBorders>
          </w:tcPr>
          <w:p w14:paraId="17C8204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738B1025" w14:textId="77777777" w:rsidR="008910AA" w:rsidRDefault="008910AA" w:rsidP="00B475D0">
            <w:r>
              <w:t>submitted a report to the Board (governance) with recommendations for measurable improvement targets.</w:t>
            </w:r>
          </w:p>
          <w:p w14:paraId="38F74FCE" w14:textId="77777777" w:rsidR="008910AA" w:rsidRDefault="008910AA" w:rsidP="00B475D0"/>
        </w:tc>
      </w:tr>
      <w:tr w:rsidR="008910AA" w14:paraId="4BC4FD35" w14:textId="77777777" w:rsidTr="00792957">
        <w:trPr>
          <w:cantSplit/>
          <w:jc w:val="center"/>
        </w:trPr>
        <w:tc>
          <w:tcPr>
            <w:tcW w:w="571" w:type="dxa"/>
            <w:tcBorders>
              <w:bottom w:val="nil"/>
            </w:tcBorders>
          </w:tcPr>
          <w:p w14:paraId="385CD792" w14:textId="77777777" w:rsidR="008910AA" w:rsidRDefault="008910AA">
            <w:pPr>
              <w:jc w:val="center"/>
            </w:pPr>
            <w:r>
              <w:rPr>
                <w:sz w:val="16"/>
              </w:rPr>
              <w:t>19.2</w:t>
            </w:r>
          </w:p>
        </w:tc>
        <w:tc>
          <w:tcPr>
            <w:tcW w:w="9221" w:type="dxa"/>
            <w:gridSpan w:val="2"/>
            <w:tcBorders>
              <w:bottom w:val="nil"/>
            </w:tcBorders>
          </w:tcPr>
          <w:p w14:paraId="5CC6D7AD" w14:textId="77777777" w:rsidR="008910AA" w:rsidRDefault="008910AA" w:rsidP="00B475D0">
            <w:pPr>
              <w:rPr>
                <w:b/>
              </w:rPr>
            </w:pPr>
            <w:r>
              <w:rPr>
                <w:b/>
              </w:rPr>
              <w:t>In regard to preventing hospital-acquired infections related to inadequate hand hygiene, our organization has done the following or has had the following in place within the last 12 months:</w:t>
            </w:r>
          </w:p>
          <w:p w14:paraId="534CFE4F" w14:textId="77777777" w:rsidR="008910AA" w:rsidRDefault="008910AA" w:rsidP="00B475D0">
            <w:pPr>
              <w:rPr>
                <w:b/>
              </w:rPr>
            </w:pPr>
          </w:p>
        </w:tc>
      </w:tr>
      <w:tr w:rsidR="008910AA" w14:paraId="6F1ACD6F" w14:textId="77777777" w:rsidTr="00792957">
        <w:trPr>
          <w:cantSplit/>
          <w:jc w:val="center"/>
        </w:trPr>
        <w:tc>
          <w:tcPr>
            <w:tcW w:w="571" w:type="dxa"/>
            <w:vMerge w:val="restart"/>
            <w:tcBorders>
              <w:top w:val="nil"/>
            </w:tcBorders>
            <w:textDirection w:val="btLr"/>
          </w:tcPr>
          <w:p w14:paraId="5F32B24B"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36EED17F"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02E7BE59" w14:textId="77777777" w:rsidR="008910AA" w:rsidRDefault="008910AA" w:rsidP="00B475D0">
            <w:r>
              <w:t>held clinical leadership directly accountable for this patient safety area through performance reviews or compensation.</w:t>
            </w:r>
          </w:p>
          <w:p w14:paraId="0F7DFB35" w14:textId="77777777" w:rsidR="00B475D0" w:rsidRDefault="00B475D0" w:rsidP="00B475D0"/>
        </w:tc>
      </w:tr>
      <w:tr w:rsidR="008910AA" w14:paraId="73B0595B" w14:textId="77777777" w:rsidTr="00792957">
        <w:trPr>
          <w:cantSplit/>
          <w:jc w:val="center"/>
        </w:trPr>
        <w:tc>
          <w:tcPr>
            <w:tcW w:w="571" w:type="dxa"/>
            <w:vMerge/>
          </w:tcPr>
          <w:p w14:paraId="72482078" w14:textId="77777777" w:rsidR="008910AA" w:rsidRDefault="008910AA">
            <w:pPr>
              <w:jc w:val="center"/>
              <w:rPr>
                <w:sz w:val="16"/>
              </w:rPr>
            </w:pPr>
          </w:p>
        </w:tc>
        <w:tc>
          <w:tcPr>
            <w:tcW w:w="738" w:type="dxa"/>
            <w:tcBorders>
              <w:top w:val="nil"/>
              <w:bottom w:val="nil"/>
              <w:right w:val="nil"/>
            </w:tcBorders>
          </w:tcPr>
          <w:p w14:paraId="54129341"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67A80199" w14:textId="77777777" w:rsidR="008910AA" w:rsidRDefault="008910AA" w:rsidP="00B475D0">
            <w:r>
              <w:t>held senior administrative leadership directly accountable for</w:t>
            </w:r>
            <w:r w:rsidR="004673E0">
              <w:t xml:space="preserve"> performance in</w:t>
            </w:r>
            <w:r>
              <w:t xml:space="preserve"> this patient safety area through performance reviews or compensation.</w:t>
            </w:r>
          </w:p>
          <w:p w14:paraId="33523462" w14:textId="77777777" w:rsidR="00B475D0" w:rsidRDefault="00B475D0" w:rsidP="00B475D0"/>
        </w:tc>
      </w:tr>
      <w:tr w:rsidR="008910AA" w14:paraId="5768D82C" w14:textId="77777777" w:rsidTr="00792957">
        <w:trPr>
          <w:cantSplit/>
          <w:jc w:val="center"/>
        </w:trPr>
        <w:tc>
          <w:tcPr>
            <w:tcW w:w="571" w:type="dxa"/>
            <w:vMerge/>
          </w:tcPr>
          <w:p w14:paraId="4F60FC62" w14:textId="77777777" w:rsidR="008910AA" w:rsidRDefault="008910AA">
            <w:pPr>
              <w:jc w:val="center"/>
              <w:rPr>
                <w:sz w:val="16"/>
              </w:rPr>
            </w:pPr>
          </w:p>
        </w:tc>
        <w:tc>
          <w:tcPr>
            <w:tcW w:w="738" w:type="dxa"/>
            <w:tcBorders>
              <w:top w:val="nil"/>
              <w:bottom w:val="nil"/>
              <w:right w:val="nil"/>
            </w:tcBorders>
          </w:tcPr>
          <w:p w14:paraId="56BF0D0C"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nil"/>
            </w:tcBorders>
          </w:tcPr>
          <w:p w14:paraId="7A647034" w14:textId="77777777" w:rsidR="008910AA" w:rsidRDefault="008910AA" w:rsidP="00B475D0">
            <w:r>
              <w:t xml:space="preserve">held the </w:t>
            </w:r>
            <w:r w:rsidR="00E7305D">
              <w:t xml:space="preserve">patient safety officer </w:t>
            </w:r>
            <w:r>
              <w:t>directly accountable for improvements in performance through performance reviews or compensation.</w:t>
            </w:r>
          </w:p>
          <w:p w14:paraId="7A317BD7" w14:textId="77777777" w:rsidR="00B475D0" w:rsidRDefault="00B475D0" w:rsidP="00B475D0"/>
        </w:tc>
      </w:tr>
      <w:tr w:rsidR="008910AA" w14:paraId="7FFA2968" w14:textId="77777777" w:rsidTr="00792957">
        <w:trPr>
          <w:cantSplit/>
          <w:jc w:val="center"/>
        </w:trPr>
        <w:tc>
          <w:tcPr>
            <w:tcW w:w="571" w:type="dxa"/>
            <w:vMerge/>
          </w:tcPr>
          <w:p w14:paraId="6C39ED91" w14:textId="77777777" w:rsidR="008910AA" w:rsidRDefault="008910AA">
            <w:pPr>
              <w:jc w:val="center"/>
              <w:rPr>
                <w:sz w:val="16"/>
              </w:rPr>
            </w:pPr>
          </w:p>
        </w:tc>
        <w:tc>
          <w:tcPr>
            <w:tcW w:w="738" w:type="dxa"/>
            <w:tcBorders>
              <w:top w:val="nil"/>
              <w:right w:val="nil"/>
            </w:tcBorders>
          </w:tcPr>
          <w:p w14:paraId="055BCEDD" w14:textId="77777777" w:rsidR="008910AA" w:rsidRDefault="008910AA">
            <w:pPr>
              <w:jc w:val="right"/>
              <w:rPr>
                <w:sz w:val="16"/>
              </w:rPr>
            </w:pPr>
            <w:r>
              <w:rPr>
                <w:sz w:val="16"/>
              </w:rPr>
              <w:t xml:space="preserve">d </w:t>
            </w:r>
            <w:r>
              <w:rPr>
                <w:b/>
              </w:rPr>
              <w:sym w:font="Wingdings" w:char="F06F"/>
            </w:r>
          </w:p>
        </w:tc>
        <w:tc>
          <w:tcPr>
            <w:tcW w:w="8483" w:type="dxa"/>
            <w:tcBorders>
              <w:top w:val="nil"/>
              <w:left w:val="nil"/>
            </w:tcBorders>
          </w:tcPr>
          <w:p w14:paraId="2E1B9914" w14:textId="77777777" w:rsidR="008910AA" w:rsidRDefault="008910AA" w:rsidP="00B475D0">
            <w:r>
              <w:t>reported to the Board (governance) the results of the measurable improvement targets.</w:t>
            </w:r>
          </w:p>
          <w:p w14:paraId="73CC4EDB" w14:textId="77777777" w:rsidR="008910AA" w:rsidRDefault="008910AA" w:rsidP="00B475D0"/>
        </w:tc>
      </w:tr>
      <w:tr w:rsidR="008910AA" w14:paraId="66D3761B" w14:textId="77777777" w:rsidTr="00792957">
        <w:trPr>
          <w:cantSplit/>
          <w:jc w:val="center"/>
        </w:trPr>
        <w:tc>
          <w:tcPr>
            <w:tcW w:w="571" w:type="dxa"/>
            <w:tcBorders>
              <w:bottom w:val="nil"/>
            </w:tcBorders>
          </w:tcPr>
          <w:p w14:paraId="3B1372BE" w14:textId="77777777" w:rsidR="008910AA" w:rsidRDefault="008910AA">
            <w:pPr>
              <w:jc w:val="center"/>
              <w:rPr>
                <w:sz w:val="16"/>
              </w:rPr>
            </w:pPr>
            <w:r>
              <w:rPr>
                <w:sz w:val="16"/>
              </w:rPr>
              <w:t>19.3</w:t>
            </w:r>
          </w:p>
        </w:tc>
        <w:tc>
          <w:tcPr>
            <w:tcW w:w="9221" w:type="dxa"/>
            <w:gridSpan w:val="2"/>
            <w:tcBorders>
              <w:bottom w:val="nil"/>
            </w:tcBorders>
          </w:tcPr>
          <w:p w14:paraId="7425B584" w14:textId="77777777" w:rsidR="008910AA" w:rsidRDefault="008910AA" w:rsidP="00B475D0">
            <w:pPr>
              <w:rPr>
                <w:b/>
              </w:rPr>
            </w:pPr>
            <w:r>
              <w:rPr>
                <w:b/>
              </w:rPr>
              <w:t>In regard to preventing hospital-acquired infections related to inadequate hand hygiene, our organization has done the following or has had the following in place within the last 12 months:</w:t>
            </w:r>
          </w:p>
          <w:p w14:paraId="65B188A1" w14:textId="77777777" w:rsidR="008910AA" w:rsidRDefault="008910AA" w:rsidP="00B475D0">
            <w:pPr>
              <w:rPr>
                <w:b/>
              </w:rPr>
            </w:pPr>
          </w:p>
        </w:tc>
      </w:tr>
      <w:tr w:rsidR="008910AA" w14:paraId="1DD0AC13" w14:textId="77777777" w:rsidTr="00A2693E">
        <w:trPr>
          <w:cantSplit/>
          <w:jc w:val="center"/>
        </w:trPr>
        <w:tc>
          <w:tcPr>
            <w:tcW w:w="571" w:type="dxa"/>
            <w:vMerge w:val="restart"/>
            <w:tcBorders>
              <w:top w:val="nil"/>
            </w:tcBorders>
            <w:textDirection w:val="btLr"/>
          </w:tcPr>
          <w:p w14:paraId="5966E00B"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5AADF7F6"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5F0E7CC5" w14:textId="77777777" w:rsidR="008910AA" w:rsidRDefault="008910AA" w:rsidP="00B475D0">
            <w:r>
              <w:t xml:space="preserve">conducted staff education/knowledge transfer and skill development programs, with attendance documented. (p.251) </w:t>
            </w:r>
          </w:p>
          <w:p w14:paraId="49D57AB1" w14:textId="77777777" w:rsidR="00B475D0" w:rsidRDefault="00B475D0" w:rsidP="00B475D0"/>
        </w:tc>
      </w:tr>
      <w:tr w:rsidR="008910AA" w14:paraId="0A802511" w14:textId="77777777" w:rsidTr="00A2693E">
        <w:trPr>
          <w:cantSplit/>
          <w:trHeight w:val="647"/>
          <w:jc w:val="center"/>
        </w:trPr>
        <w:tc>
          <w:tcPr>
            <w:tcW w:w="571" w:type="dxa"/>
            <w:vMerge/>
          </w:tcPr>
          <w:p w14:paraId="69660B39" w14:textId="77777777" w:rsidR="008910AA" w:rsidRDefault="008910AA">
            <w:pPr>
              <w:jc w:val="center"/>
              <w:rPr>
                <w:sz w:val="16"/>
              </w:rPr>
            </w:pPr>
          </w:p>
        </w:tc>
        <w:tc>
          <w:tcPr>
            <w:tcW w:w="738" w:type="dxa"/>
            <w:tcBorders>
              <w:top w:val="nil"/>
              <w:bottom w:val="single" w:sz="4" w:space="0" w:color="auto"/>
              <w:right w:val="nil"/>
            </w:tcBorders>
          </w:tcPr>
          <w:p w14:paraId="0AC97E00"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single" w:sz="4" w:space="0" w:color="auto"/>
            </w:tcBorders>
          </w:tcPr>
          <w:p w14:paraId="6EF375E0" w14:textId="77777777" w:rsidR="008910AA" w:rsidRDefault="008910AA" w:rsidP="00B475D0">
            <w:r>
              <w:t>documented expenditures on staff education related to this Safe Practice in the previous year.</w:t>
            </w:r>
          </w:p>
          <w:p w14:paraId="294E5EC4" w14:textId="77777777" w:rsidR="00A2693E" w:rsidRDefault="00A2693E" w:rsidP="00B475D0"/>
          <w:p w14:paraId="3E9642DF" w14:textId="77777777" w:rsidR="00A2693E" w:rsidRDefault="00A2693E" w:rsidP="00B475D0"/>
          <w:p w14:paraId="25902B4C" w14:textId="77777777" w:rsidR="00A2693E" w:rsidRDefault="00A2693E" w:rsidP="00B475D0"/>
          <w:p w14:paraId="26D9C4A0" w14:textId="77777777" w:rsidR="00A2693E" w:rsidRDefault="00A2693E" w:rsidP="00B475D0"/>
          <w:p w14:paraId="0B58E294" w14:textId="77777777" w:rsidR="00A2693E" w:rsidRDefault="00A2693E" w:rsidP="00B475D0"/>
          <w:p w14:paraId="6BF900EF" w14:textId="77777777" w:rsidR="00A2693E" w:rsidRDefault="00A2693E" w:rsidP="00B475D0"/>
          <w:p w14:paraId="4AA5C15E" w14:textId="77777777" w:rsidR="00A2693E" w:rsidRDefault="00A2693E" w:rsidP="00B475D0"/>
          <w:p w14:paraId="53F80665" w14:textId="77777777" w:rsidR="00A2693E" w:rsidRDefault="00A2693E" w:rsidP="00B475D0"/>
          <w:p w14:paraId="6D1A22F6" w14:textId="77777777" w:rsidR="00A2693E" w:rsidRDefault="00A2693E" w:rsidP="00B475D0"/>
          <w:p w14:paraId="1EBC2224" w14:textId="77777777" w:rsidR="00A2693E" w:rsidRDefault="00A2693E" w:rsidP="00B475D0"/>
          <w:p w14:paraId="327692C6" w14:textId="77777777" w:rsidR="00A2693E" w:rsidRDefault="00A2693E" w:rsidP="00B475D0"/>
          <w:p w14:paraId="79351F8F" w14:textId="77777777" w:rsidR="00A2693E" w:rsidRDefault="00A2693E" w:rsidP="00B475D0"/>
          <w:p w14:paraId="0608B74D" w14:textId="77777777" w:rsidR="00A2693E" w:rsidRDefault="00A2693E" w:rsidP="00B475D0"/>
          <w:p w14:paraId="0CFE1534" w14:textId="77777777" w:rsidR="00224D39" w:rsidRDefault="00224D39" w:rsidP="00B475D0"/>
        </w:tc>
      </w:tr>
      <w:tr w:rsidR="008910AA" w14:paraId="220F8C5B" w14:textId="77777777" w:rsidTr="00792957">
        <w:trPr>
          <w:cantSplit/>
          <w:jc w:val="center"/>
        </w:trPr>
        <w:tc>
          <w:tcPr>
            <w:tcW w:w="571" w:type="dxa"/>
            <w:tcBorders>
              <w:bottom w:val="nil"/>
            </w:tcBorders>
          </w:tcPr>
          <w:p w14:paraId="711AA0FD" w14:textId="77777777" w:rsidR="008910AA" w:rsidRDefault="008910AA">
            <w:pPr>
              <w:jc w:val="center"/>
            </w:pPr>
            <w:r>
              <w:rPr>
                <w:sz w:val="16"/>
              </w:rPr>
              <w:lastRenderedPageBreak/>
              <w:t>19.4</w:t>
            </w:r>
          </w:p>
        </w:tc>
        <w:tc>
          <w:tcPr>
            <w:tcW w:w="9221" w:type="dxa"/>
            <w:gridSpan w:val="2"/>
            <w:tcBorders>
              <w:bottom w:val="nil"/>
            </w:tcBorders>
          </w:tcPr>
          <w:p w14:paraId="259F035F" w14:textId="77777777" w:rsidR="008910AA" w:rsidRDefault="008910AA" w:rsidP="00B475D0">
            <w:pPr>
              <w:rPr>
                <w:b/>
              </w:rPr>
            </w:pPr>
            <w:r>
              <w:rPr>
                <w:b/>
              </w:rPr>
              <w:t>In regard to preventing hospital-acquired infections related to inadequate hand hygiene, our organization has done the following within the last 12 months or has had the following in place during the last 12 months and updates are made regularly:</w:t>
            </w:r>
          </w:p>
          <w:p w14:paraId="605117EB" w14:textId="77777777" w:rsidR="008910AA" w:rsidRDefault="008910AA" w:rsidP="00B475D0">
            <w:pPr>
              <w:rPr>
                <w:b/>
              </w:rPr>
            </w:pPr>
          </w:p>
        </w:tc>
      </w:tr>
      <w:tr w:rsidR="008910AA" w14:paraId="4F2CE9DC" w14:textId="77777777" w:rsidTr="00792957">
        <w:trPr>
          <w:cantSplit/>
          <w:jc w:val="center"/>
        </w:trPr>
        <w:tc>
          <w:tcPr>
            <w:tcW w:w="571" w:type="dxa"/>
            <w:vMerge w:val="restart"/>
            <w:tcBorders>
              <w:top w:val="nil"/>
            </w:tcBorders>
            <w:textDirection w:val="btLr"/>
          </w:tcPr>
          <w:p w14:paraId="49884DCF" w14:textId="77777777" w:rsidR="008910AA" w:rsidRDefault="008910AA">
            <w:pPr>
              <w:spacing w:before="120"/>
              <w:ind w:left="115" w:right="115"/>
              <w:jc w:val="center"/>
              <w:rPr>
                <w:sz w:val="16"/>
              </w:rPr>
            </w:pPr>
            <w:r>
              <w:rPr>
                <w:sz w:val="16"/>
              </w:rPr>
              <w:t>ACTION</w:t>
            </w:r>
          </w:p>
        </w:tc>
        <w:tc>
          <w:tcPr>
            <w:tcW w:w="738" w:type="dxa"/>
            <w:tcBorders>
              <w:top w:val="nil"/>
              <w:bottom w:val="nil"/>
              <w:right w:val="nil"/>
            </w:tcBorders>
          </w:tcPr>
          <w:p w14:paraId="0D1DD45F"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C68EFA4" w14:textId="77777777" w:rsidR="008910AA" w:rsidRDefault="008739FC" w:rsidP="00B475D0">
            <w:r w:rsidRPr="00697601">
              <w:t>d</w:t>
            </w:r>
            <w:r w:rsidR="004673E0" w:rsidRPr="00697601">
              <w:t>eveloped and</w:t>
            </w:r>
            <w:r w:rsidR="004673E0">
              <w:t xml:space="preserve"> </w:t>
            </w:r>
            <w:r w:rsidR="008910AA">
              <w:t>implemented explicit policies and procedures across the entire organization to prevent hospital-acquired infections due to inadequate hand hygiene including CDC guidelines with category IA, IB, or IC evidence. (p.250)</w:t>
            </w:r>
          </w:p>
          <w:p w14:paraId="70BE4A15" w14:textId="77777777" w:rsidR="00B475D0" w:rsidRDefault="00B475D0" w:rsidP="00B475D0"/>
        </w:tc>
      </w:tr>
      <w:tr w:rsidR="008910AA" w14:paraId="7B6F6BFE" w14:textId="77777777" w:rsidTr="00CA3004">
        <w:trPr>
          <w:cantSplit/>
          <w:jc w:val="center"/>
        </w:trPr>
        <w:tc>
          <w:tcPr>
            <w:tcW w:w="571" w:type="dxa"/>
            <w:vMerge/>
          </w:tcPr>
          <w:p w14:paraId="09147BDC" w14:textId="77777777" w:rsidR="008910AA" w:rsidRDefault="008910AA">
            <w:pPr>
              <w:jc w:val="center"/>
              <w:rPr>
                <w:sz w:val="16"/>
              </w:rPr>
            </w:pPr>
          </w:p>
        </w:tc>
        <w:tc>
          <w:tcPr>
            <w:tcW w:w="738" w:type="dxa"/>
            <w:tcBorders>
              <w:top w:val="nil"/>
              <w:bottom w:val="single" w:sz="4" w:space="0" w:color="auto"/>
              <w:right w:val="nil"/>
            </w:tcBorders>
          </w:tcPr>
          <w:p w14:paraId="71E05FB7" w14:textId="77777777" w:rsidR="008910AA" w:rsidRDefault="008910AA">
            <w:pPr>
              <w:jc w:val="right"/>
              <w:rPr>
                <w:u w:val="single"/>
              </w:rPr>
            </w:pPr>
            <w:r>
              <w:rPr>
                <w:sz w:val="16"/>
              </w:rPr>
              <w:t xml:space="preserve">b </w:t>
            </w:r>
            <w:r>
              <w:rPr>
                <w:b/>
              </w:rPr>
              <w:sym w:font="Wingdings" w:char="F06F"/>
            </w:r>
          </w:p>
        </w:tc>
        <w:tc>
          <w:tcPr>
            <w:tcW w:w="8483" w:type="dxa"/>
            <w:tcBorders>
              <w:top w:val="nil"/>
              <w:left w:val="nil"/>
              <w:bottom w:val="single" w:sz="4" w:space="0" w:color="auto"/>
            </w:tcBorders>
          </w:tcPr>
          <w:p w14:paraId="47C4E38B" w14:textId="77777777" w:rsidR="008910AA" w:rsidRDefault="008910AA" w:rsidP="00B475D0">
            <w:r>
              <w:t>implemented a formal performance improvement program addressing hospital-acquired infections focused on hand hygiene compliance, with regular performance measurement and tracking improvement (pp.250-251)</w:t>
            </w:r>
          </w:p>
          <w:p w14:paraId="675A3345" w14:textId="77777777" w:rsidR="008910AA" w:rsidRDefault="008910AA" w:rsidP="00B475D0">
            <w:pPr>
              <w:rPr>
                <w:b/>
              </w:rPr>
            </w:pPr>
            <w:r>
              <w:rPr>
                <w:b/>
              </w:rPr>
              <w:t>OR</w:t>
            </w:r>
          </w:p>
          <w:p w14:paraId="0A6DCDDD" w14:textId="77777777" w:rsidR="008910AA" w:rsidRDefault="008910AA" w:rsidP="00B475D0">
            <w:r>
              <w:t xml:space="preserve">monitored a previously implemented hospital-wide performance improvement program that measures, and demonstrates full achievement of, the impact of this specific Safe Practice. (pp.250-251) </w:t>
            </w:r>
          </w:p>
          <w:p w14:paraId="317F4B10" w14:textId="77777777" w:rsidR="00224D39" w:rsidRDefault="00224D39" w:rsidP="00B475D0"/>
        </w:tc>
      </w:tr>
      <w:tr w:rsidR="00792957" w14:paraId="07348001" w14:textId="77777777" w:rsidTr="00CA3004">
        <w:trPr>
          <w:cantSplit/>
          <w:jc w:val="center"/>
        </w:trPr>
        <w:tc>
          <w:tcPr>
            <w:tcW w:w="571" w:type="dxa"/>
          </w:tcPr>
          <w:p w14:paraId="7C8EDE8A" w14:textId="77777777" w:rsidR="00792957" w:rsidRDefault="00792957">
            <w:pPr>
              <w:jc w:val="center"/>
              <w:rPr>
                <w:sz w:val="16"/>
              </w:rPr>
            </w:pPr>
            <w:r>
              <w:rPr>
                <w:sz w:val="16"/>
              </w:rPr>
              <w:t>19.5</w:t>
            </w:r>
          </w:p>
        </w:tc>
        <w:tc>
          <w:tcPr>
            <w:tcW w:w="738" w:type="dxa"/>
            <w:tcBorders>
              <w:top w:val="single" w:sz="4" w:space="0" w:color="auto"/>
              <w:right w:val="nil"/>
            </w:tcBorders>
          </w:tcPr>
          <w:p w14:paraId="0FFC4A4C" w14:textId="77777777" w:rsidR="00792957" w:rsidRDefault="00792957">
            <w:pPr>
              <w:jc w:val="right"/>
              <w:rPr>
                <w:sz w:val="16"/>
              </w:rPr>
            </w:pPr>
            <w:r>
              <w:rPr>
                <w:b/>
              </w:rPr>
              <w:sym w:font="Wingdings" w:char="F06F"/>
            </w:r>
          </w:p>
        </w:tc>
        <w:tc>
          <w:tcPr>
            <w:tcW w:w="8483" w:type="dxa"/>
            <w:tcBorders>
              <w:top w:val="single" w:sz="4" w:space="0" w:color="auto"/>
              <w:left w:val="nil"/>
            </w:tcBorders>
          </w:tcPr>
          <w:p w14:paraId="5CBB0A51" w14:textId="77777777" w:rsidR="00792957" w:rsidRDefault="00792957" w:rsidP="00536A38">
            <w:r>
              <w:t>Review of this safe practice is complete.</w:t>
            </w:r>
          </w:p>
          <w:p w14:paraId="0E87B4EC" w14:textId="77777777" w:rsidR="00792957" w:rsidRDefault="00792957" w:rsidP="00B475D0">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041F57AC" w14:textId="77777777" w:rsidR="008910AA" w:rsidRDefault="008910AA"/>
    <w:p w14:paraId="41730287" w14:textId="77777777" w:rsidR="008910AA" w:rsidRDefault="008910AA" w:rsidP="007A44CB">
      <w:pPr>
        <w:pStyle w:val="Heading3"/>
      </w:pPr>
      <w:r>
        <w:br w:type="page"/>
      </w:r>
      <w:r>
        <w:lastRenderedPageBreak/>
        <w:t xml:space="preserve"> </w:t>
      </w:r>
      <w:bookmarkStart w:id="264" w:name="SP23"/>
      <w:bookmarkStart w:id="265" w:name="_Toc447195054"/>
      <w:r w:rsidR="00D65253" w:rsidRPr="00F01A72">
        <w:rPr>
          <w:i w:val="0"/>
          <w:snapToGrid w:val="0"/>
          <w:sz w:val="28"/>
          <w:szCs w:val="20"/>
          <w:u w:val="single"/>
        </w:rPr>
        <w:t xml:space="preserve">6H: </w:t>
      </w:r>
      <w:r w:rsidR="00CA3004">
        <w:rPr>
          <w:i w:val="0"/>
          <w:snapToGrid w:val="0"/>
          <w:sz w:val="28"/>
          <w:szCs w:val="20"/>
          <w:u w:val="single"/>
        </w:rPr>
        <w:t xml:space="preserve">Practice #23 - </w:t>
      </w:r>
      <w:r w:rsidRPr="00F01A72">
        <w:rPr>
          <w:i w:val="0"/>
          <w:snapToGrid w:val="0"/>
          <w:sz w:val="28"/>
          <w:szCs w:val="20"/>
          <w:u w:val="single"/>
        </w:rPr>
        <w:t xml:space="preserve">Prevention of </w:t>
      </w:r>
      <w:r w:rsidR="004E3288" w:rsidRPr="00F01A72">
        <w:rPr>
          <w:i w:val="0"/>
          <w:snapToGrid w:val="0"/>
          <w:sz w:val="28"/>
          <w:szCs w:val="20"/>
          <w:u w:val="single"/>
        </w:rPr>
        <w:t>Healthcare-Associated Complications in Ventilated Patients</w:t>
      </w:r>
      <w:bookmarkEnd w:id="264"/>
      <w:bookmarkEnd w:id="265"/>
    </w:p>
    <w:p w14:paraId="7434D2DA" w14:textId="77777777" w:rsidR="008910AA" w:rsidRDefault="00CA3004" w:rsidP="005A41AD">
      <w:pPr>
        <w:rPr>
          <w:i/>
        </w:rPr>
      </w:pPr>
      <w:r>
        <w:rPr>
          <w:i/>
        </w:rPr>
        <w:t>(P</w:t>
      </w:r>
      <w:r w:rsidR="008910AA">
        <w:rPr>
          <w:i/>
        </w:rPr>
        <w:t>age numbers reference NQF Safe Practices for Better Healthcare – 2010 Update report)</w:t>
      </w:r>
    </w:p>
    <w:p w14:paraId="2989DEEC" w14:textId="77777777" w:rsidR="003D2FBB" w:rsidRDefault="003D2FBB">
      <w:pPr>
        <w:rPr>
          <w:bCs/>
          <w:i/>
        </w:rPr>
      </w:pPr>
    </w:p>
    <w:p w14:paraId="2939C29A" w14:textId="77777777" w:rsidR="003D2FBB" w:rsidRPr="003440D7" w:rsidRDefault="00CA3004" w:rsidP="003D2FBB">
      <w:r w:rsidRPr="00CA3004">
        <w:rPr>
          <w:b/>
          <w:color w:val="FF0000"/>
        </w:rPr>
        <w:t>Important Note:</w:t>
      </w:r>
      <w:r w:rsidRPr="00CA3004">
        <w:rPr>
          <w:i/>
          <w:color w:val="FF0000"/>
        </w:rPr>
        <w:t xml:space="preserve"> </w:t>
      </w:r>
      <w:r w:rsidR="003D2FBB" w:rsidRPr="0005172C">
        <w:t>For purposes of this Safe Practice, ventilator-associated complications include; ventilator associated pneumonia, venous thromboembolism, peptic ulcer disease, dental complications, and pressure ulcers.</w:t>
      </w:r>
    </w:p>
    <w:p w14:paraId="27EB50A2" w14:textId="77777777" w:rsidR="008910AA" w:rsidRDefault="008910AA">
      <w:pPr>
        <w:rPr>
          <w:i/>
        </w:rPr>
      </w:pPr>
    </w:p>
    <w:p w14:paraId="098123A8" w14:textId="77777777" w:rsidR="008910AA" w:rsidRDefault="008910AA">
      <w:pPr>
        <w:rPr>
          <w:bCs/>
          <w:i/>
        </w:rPr>
      </w:pPr>
      <w:r w:rsidRPr="00F01A72">
        <w:rPr>
          <w:b/>
          <w:bCs/>
          <w:i/>
        </w:rPr>
        <w:t>Check all boxes that apply</w:t>
      </w:r>
      <w:r>
        <w:rPr>
          <w:bCs/>
          <w:i/>
        </w:rPr>
        <w:t>.</w:t>
      </w:r>
    </w:p>
    <w:p w14:paraId="3A419E7A" w14:textId="77777777" w:rsidR="006856B3" w:rsidRDefault="006856B3">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D65253" w14:paraId="01AC03A6" w14:textId="77777777" w:rsidTr="00004DB4">
        <w:trPr>
          <w:cantSplit/>
          <w:jc w:val="center"/>
        </w:trPr>
        <w:tc>
          <w:tcPr>
            <w:tcW w:w="571" w:type="dxa"/>
            <w:tcBorders>
              <w:bottom w:val="nil"/>
            </w:tcBorders>
          </w:tcPr>
          <w:p w14:paraId="02697BE0" w14:textId="77777777" w:rsidR="00D65253" w:rsidRDefault="00D65253">
            <w:pPr>
              <w:jc w:val="center"/>
              <w:rPr>
                <w:sz w:val="16"/>
              </w:rPr>
            </w:pPr>
            <w:r>
              <w:rPr>
                <w:sz w:val="16"/>
              </w:rPr>
              <w:t>23</w:t>
            </w:r>
          </w:p>
        </w:tc>
        <w:tc>
          <w:tcPr>
            <w:tcW w:w="9221" w:type="dxa"/>
            <w:gridSpan w:val="2"/>
            <w:tcBorders>
              <w:bottom w:val="nil"/>
            </w:tcBorders>
          </w:tcPr>
          <w:p w14:paraId="23C1F3C7" w14:textId="77777777" w:rsidR="00D65253" w:rsidRDefault="00D65253" w:rsidP="00D65253">
            <w:pPr>
              <w:rPr>
                <w:bCs/>
                <w:i/>
              </w:rPr>
            </w:pPr>
            <w:r>
              <w:rPr>
                <w:bCs/>
              </w:rPr>
              <w:t xml:space="preserve">Does your facility care for patients on ventilators? </w:t>
            </w:r>
          </w:p>
          <w:p w14:paraId="62B1E3FF" w14:textId="77777777" w:rsidR="00D65253" w:rsidRDefault="00D65253" w:rsidP="00D65253">
            <w:pPr>
              <w:rPr>
                <w:b/>
              </w:rPr>
            </w:pPr>
          </w:p>
          <w:p w14:paraId="5D84A226" w14:textId="77777777" w:rsidR="00D65253" w:rsidRPr="00F01A72" w:rsidRDefault="00D65253" w:rsidP="00D65253">
            <w:r>
              <w:rPr>
                <w:b/>
              </w:rPr>
              <w:t xml:space="preserve">     </w:t>
            </w:r>
            <w:r w:rsidRPr="00D65253">
              <w:rPr>
                <w:b/>
              </w:rPr>
              <w:sym w:font="Wingdings" w:char="F06F"/>
            </w:r>
            <w:r w:rsidRPr="00F01A72">
              <w:t xml:space="preserve">   Yes</w:t>
            </w:r>
          </w:p>
          <w:p w14:paraId="444D76F4" w14:textId="77777777" w:rsidR="00D65253" w:rsidRDefault="00D65253" w:rsidP="00D65253">
            <w:pPr>
              <w:rPr>
                <w:bCs/>
              </w:rPr>
            </w:pPr>
            <w:r>
              <w:rPr>
                <w:b/>
              </w:rPr>
              <w:t xml:space="preserve">     </w:t>
            </w:r>
            <w:r>
              <w:rPr>
                <w:b/>
              </w:rPr>
              <w:sym w:font="Wingdings" w:char="F06F"/>
            </w:r>
            <w:r>
              <w:rPr>
                <w:b/>
              </w:rPr>
              <w:t xml:space="preserve">   </w:t>
            </w:r>
            <w:r w:rsidRPr="00F01A72">
              <w:t>No</w:t>
            </w:r>
          </w:p>
          <w:p w14:paraId="6AD93EBD" w14:textId="77777777" w:rsidR="00D65253" w:rsidRDefault="00D65253">
            <w:pPr>
              <w:rPr>
                <w:b/>
              </w:rPr>
            </w:pPr>
          </w:p>
          <w:p w14:paraId="1FF47EAA" w14:textId="176CAC50" w:rsidR="00CA3004" w:rsidRPr="00A2693E" w:rsidRDefault="00CA3004">
            <w:pPr>
              <w:rPr>
                <w:bCs/>
                <w:i/>
              </w:rPr>
            </w:pPr>
            <w:r>
              <w:rPr>
                <w:bCs/>
                <w:i/>
              </w:rPr>
              <w:t>If</w:t>
            </w:r>
            <w:r w:rsidRPr="00CA3004">
              <w:rPr>
                <w:bCs/>
                <w:i/>
              </w:rPr>
              <w:t xml:space="preserve"> “yes,” </w:t>
            </w:r>
            <w:r>
              <w:rPr>
                <w:bCs/>
                <w:i/>
              </w:rPr>
              <w:t>continue with the remainder of this Safe Practice. If, “no,” move on; hospital will be scored as “Does Not Apply.”</w:t>
            </w:r>
          </w:p>
        </w:tc>
      </w:tr>
      <w:tr w:rsidR="008910AA" w14:paraId="011DBCCB" w14:textId="77777777" w:rsidTr="00004DB4">
        <w:trPr>
          <w:cantSplit/>
          <w:jc w:val="center"/>
        </w:trPr>
        <w:tc>
          <w:tcPr>
            <w:tcW w:w="571" w:type="dxa"/>
            <w:tcBorders>
              <w:bottom w:val="nil"/>
            </w:tcBorders>
          </w:tcPr>
          <w:p w14:paraId="3F149A26" w14:textId="77777777" w:rsidR="008910AA" w:rsidRDefault="008910AA">
            <w:pPr>
              <w:jc w:val="center"/>
              <w:rPr>
                <w:sz w:val="16"/>
              </w:rPr>
            </w:pPr>
            <w:r>
              <w:rPr>
                <w:sz w:val="16"/>
              </w:rPr>
              <w:t>23.1</w:t>
            </w:r>
          </w:p>
        </w:tc>
        <w:tc>
          <w:tcPr>
            <w:tcW w:w="9221" w:type="dxa"/>
            <w:gridSpan w:val="2"/>
            <w:tcBorders>
              <w:bottom w:val="nil"/>
            </w:tcBorders>
          </w:tcPr>
          <w:p w14:paraId="146A690B" w14:textId="77777777" w:rsidR="008910AA" w:rsidRDefault="008910AA">
            <w:pPr>
              <w:rPr>
                <w:b/>
              </w:rPr>
            </w:pPr>
            <w:r>
              <w:rPr>
                <w:b/>
              </w:rPr>
              <w:t>In regard to complications associated with ventilator use, our organization has done the following or has had the following in place within the last 12 months:</w:t>
            </w:r>
          </w:p>
          <w:p w14:paraId="514C8F2E" w14:textId="77777777" w:rsidR="008910AA" w:rsidRDefault="008910AA">
            <w:pPr>
              <w:rPr>
                <w:b/>
              </w:rPr>
            </w:pPr>
          </w:p>
        </w:tc>
      </w:tr>
      <w:tr w:rsidR="008910AA" w14:paraId="5FA31181" w14:textId="77777777" w:rsidTr="00004DB4">
        <w:trPr>
          <w:cantSplit/>
          <w:jc w:val="center"/>
        </w:trPr>
        <w:tc>
          <w:tcPr>
            <w:tcW w:w="571" w:type="dxa"/>
            <w:vMerge w:val="restart"/>
            <w:tcBorders>
              <w:top w:val="nil"/>
            </w:tcBorders>
            <w:textDirection w:val="btLr"/>
          </w:tcPr>
          <w:p w14:paraId="6CE06C7E"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78AF192E"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7065E561" w14:textId="77777777" w:rsidR="00D24E59" w:rsidRDefault="008910AA" w:rsidP="00D24E59">
            <w:r>
              <w:t>conducted an evaluation of the frequency and severity of ventilator-associated complications</w:t>
            </w:r>
            <w:r w:rsidR="00D24E59">
              <w:t>, specifically ventilator associated pneumonia, venous thromboembolism,</w:t>
            </w:r>
          </w:p>
          <w:p w14:paraId="101DBB31" w14:textId="77777777" w:rsidR="008910AA" w:rsidRDefault="00D24E59" w:rsidP="00C66BC4">
            <w:pPr>
              <w:spacing w:after="120"/>
            </w:pPr>
            <w:r>
              <w:t xml:space="preserve">peptic ulcer disease, dental complications, and pressure ulcers </w:t>
            </w:r>
            <w:r w:rsidR="008910AA">
              <w:t xml:space="preserve">in our patient population and communicated findings to senior administrative and clinical </w:t>
            </w:r>
            <w:r w:rsidR="008910AA" w:rsidRPr="00B44E5D">
              <w:t>leadership. (p.2</w:t>
            </w:r>
            <w:r w:rsidR="009622EB" w:rsidRPr="00B44E5D">
              <w:t>9</w:t>
            </w:r>
            <w:r w:rsidR="008910AA" w:rsidRPr="00B44E5D">
              <w:t>0)</w:t>
            </w:r>
          </w:p>
        </w:tc>
      </w:tr>
      <w:tr w:rsidR="008910AA" w14:paraId="6620D1BB" w14:textId="77777777" w:rsidTr="00004DB4">
        <w:trPr>
          <w:cantSplit/>
          <w:jc w:val="center"/>
        </w:trPr>
        <w:tc>
          <w:tcPr>
            <w:tcW w:w="571" w:type="dxa"/>
            <w:vMerge/>
          </w:tcPr>
          <w:p w14:paraId="0DE35F61" w14:textId="77777777" w:rsidR="008910AA" w:rsidRDefault="008910AA">
            <w:pPr>
              <w:jc w:val="center"/>
              <w:rPr>
                <w:sz w:val="16"/>
              </w:rPr>
            </w:pPr>
          </w:p>
        </w:tc>
        <w:tc>
          <w:tcPr>
            <w:tcW w:w="738" w:type="dxa"/>
            <w:tcBorders>
              <w:top w:val="nil"/>
              <w:bottom w:val="nil"/>
              <w:right w:val="nil"/>
            </w:tcBorders>
          </w:tcPr>
          <w:p w14:paraId="66CEB3B9"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22D1B5D9" w14:textId="77777777" w:rsidR="008910AA" w:rsidRDefault="008910AA">
            <w:r>
              <w:t>submitted a report to the Board (governance) with recommendations for measurable improvement targets.</w:t>
            </w:r>
          </w:p>
          <w:p w14:paraId="623A000D" w14:textId="77777777" w:rsidR="008910AA" w:rsidRDefault="008910AA"/>
        </w:tc>
      </w:tr>
      <w:tr w:rsidR="008910AA" w14:paraId="56C34CB8" w14:textId="77777777" w:rsidTr="00004DB4">
        <w:trPr>
          <w:cantSplit/>
          <w:jc w:val="center"/>
        </w:trPr>
        <w:tc>
          <w:tcPr>
            <w:tcW w:w="571" w:type="dxa"/>
            <w:tcBorders>
              <w:bottom w:val="nil"/>
            </w:tcBorders>
          </w:tcPr>
          <w:p w14:paraId="141AD910" w14:textId="77777777" w:rsidR="008910AA" w:rsidRDefault="008910AA">
            <w:pPr>
              <w:jc w:val="center"/>
            </w:pPr>
            <w:r>
              <w:rPr>
                <w:sz w:val="16"/>
              </w:rPr>
              <w:t>23.2</w:t>
            </w:r>
          </w:p>
        </w:tc>
        <w:tc>
          <w:tcPr>
            <w:tcW w:w="9221" w:type="dxa"/>
            <w:gridSpan w:val="2"/>
            <w:tcBorders>
              <w:bottom w:val="nil"/>
            </w:tcBorders>
          </w:tcPr>
          <w:p w14:paraId="65060464" w14:textId="77777777" w:rsidR="008910AA" w:rsidRDefault="008910AA">
            <w:pPr>
              <w:rPr>
                <w:b/>
              </w:rPr>
            </w:pPr>
            <w:r>
              <w:rPr>
                <w:b/>
              </w:rPr>
              <w:t>In regard to complications associated with ventilator use, our organization has done the following or has had the following in place within the last 12 months:</w:t>
            </w:r>
          </w:p>
          <w:p w14:paraId="32E35868" w14:textId="77777777" w:rsidR="008910AA" w:rsidRDefault="008910AA">
            <w:pPr>
              <w:rPr>
                <w:b/>
              </w:rPr>
            </w:pPr>
          </w:p>
        </w:tc>
      </w:tr>
      <w:tr w:rsidR="008910AA" w14:paraId="745EDB1C" w14:textId="77777777" w:rsidTr="00004DB4">
        <w:trPr>
          <w:cantSplit/>
          <w:jc w:val="center"/>
        </w:trPr>
        <w:tc>
          <w:tcPr>
            <w:tcW w:w="571" w:type="dxa"/>
            <w:vMerge w:val="restart"/>
            <w:tcBorders>
              <w:top w:val="nil"/>
            </w:tcBorders>
            <w:textDirection w:val="btLr"/>
          </w:tcPr>
          <w:p w14:paraId="1D631EDD"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7EA3CCF6"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CFB00E9" w14:textId="77777777" w:rsidR="008910AA" w:rsidRDefault="008910AA" w:rsidP="00C66BC4">
            <w:pPr>
              <w:spacing w:after="120"/>
            </w:pPr>
            <w:r>
              <w:t>held senior administrative leadership and clinical leadership directly accountable for improvements in performance through performance reviews or compensation.</w:t>
            </w:r>
          </w:p>
        </w:tc>
      </w:tr>
      <w:tr w:rsidR="008910AA" w14:paraId="73944755" w14:textId="77777777" w:rsidTr="00004DB4">
        <w:trPr>
          <w:cantSplit/>
          <w:jc w:val="center"/>
        </w:trPr>
        <w:tc>
          <w:tcPr>
            <w:tcW w:w="571" w:type="dxa"/>
            <w:vMerge/>
          </w:tcPr>
          <w:p w14:paraId="7608B3BC" w14:textId="77777777" w:rsidR="008910AA" w:rsidRDefault="008910AA">
            <w:pPr>
              <w:jc w:val="center"/>
              <w:rPr>
                <w:sz w:val="16"/>
              </w:rPr>
            </w:pPr>
          </w:p>
        </w:tc>
        <w:tc>
          <w:tcPr>
            <w:tcW w:w="738" w:type="dxa"/>
            <w:tcBorders>
              <w:top w:val="nil"/>
              <w:bottom w:val="nil"/>
              <w:right w:val="nil"/>
            </w:tcBorders>
          </w:tcPr>
          <w:p w14:paraId="46E42929" w14:textId="77777777" w:rsidR="008910AA" w:rsidRDefault="008910AA">
            <w:pPr>
              <w:jc w:val="right"/>
              <w:rPr>
                <w:u w:val="single"/>
              </w:rPr>
            </w:pPr>
            <w:r>
              <w:rPr>
                <w:sz w:val="16"/>
              </w:rPr>
              <w:t xml:space="preserve">b </w:t>
            </w:r>
            <w:r>
              <w:rPr>
                <w:b/>
              </w:rPr>
              <w:sym w:font="Wingdings" w:char="F06F"/>
            </w:r>
          </w:p>
        </w:tc>
        <w:tc>
          <w:tcPr>
            <w:tcW w:w="8483" w:type="dxa"/>
            <w:tcBorders>
              <w:top w:val="nil"/>
              <w:left w:val="nil"/>
              <w:bottom w:val="nil"/>
            </w:tcBorders>
          </w:tcPr>
          <w:p w14:paraId="3A0BD918" w14:textId="77777777" w:rsidR="008910AA" w:rsidRDefault="008910AA" w:rsidP="00C66BC4">
            <w:pPr>
              <w:spacing w:after="120"/>
            </w:pPr>
            <w:r>
              <w:t xml:space="preserve">held the </w:t>
            </w:r>
            <w:r w:rsidR="00C57BDC">
              <w:t xml:space="preserve">patient safety </w:t>
            </w:r>
            <w:r w:rsidR="00E7305D">
              <w:t>officer</w:t>
            </w:r>
            <w:r w:rsidR="00C57BDC">
              <w:t xml:space="preserve"> </w:t>
            </w:r>
            <w:r>
              <w:t>directly accountable for improvements in performance through performance reviews or compensation.</w:t>
            </w:r>
          </w:p>
        </w:tc>
      </w:tr>
      <w:tr w:rsidR="008910AA" w14:paraId="5E807F9D" w14:textId="77777777" w:rsidTr="00004DB4">
        <w:trPr>
          <w:cantSplit/>
          <w:jc w:val="center"/>
        </w:trPr>
        <w:tc>
          <w:tcPr>
            <w:tcW w:w="571" w:type="dxa"/>
            <w:vMerge/>
          </w:tcPr>
          <w:p w14:paraId="1A816B03" w14:textId="77777777" w:rsidR="008910AA" w:rsidRDefault="008910AA">
            <w:pPr>
              <w:jc w:val="center"/>
              <w:rPr>
                <w:sz w:val="16"/>
              </w:rPr>
            </w:pPr>
          </w:p>
        </w:tc>
        <w:tc>
          <w:tcPr>
            <w:tcW w:w="738" w:type="dxa"/>
            <w:tcBorders>
              <w:top w:val="nil"/>
              <w:right w:val="nil"/>
            </w:tcBorders>
          </w:tcPr>
          <w:p w14:paraId="71F3118D" w14:textId="77777777" w:rsidR="008910AA" w:rsidRDefault="008910AA">
            <w:pPr>
              <w:jc w:val="right"/>
              <w:rPr>
                <w:sz w:val="16"/>
              </w:rPr>
            </w:pPr>
            <w:r>
              <w:rPr>
                <w:sz w:val="16"/>
              </w:rPr>
              <w:t xml:space="preserve">c </w:t>
            </w:r>
            <w:r>
              <w:rPr>
                <w:b/>
              </w:rPr>
              <w:sym w:font="Wingdings" w:char="F06F"/>
            </w:r>
          </w:p>
        </w:tc>
        <w:tc>
          <w:tcPr>
            <w:tcW w:w="8483" w:type="dxa"/>
            <w:tcBorders>
              <w:top w:val="nil"/>
              <w:left w:val="nil"/>
            </w:tcBorders>
          </w:tcPr>
          <w:p w14:paraId="14F548A9" w14:textId="77777777" w:rsidR="008910AA" w:rsidRDefault="008910AA">
            <w:r>
              <w:t>reported to the Board (governance) the results of the measurable improvement targets.</w:t>
            </w:r>
          </w:p>
          <w:p w14:paraId="20F12761" w14:textId="77777777" w:rsidR="008910AA" w:rsidRDefault="008910AA"/>
        </w:tc>
      </w:tr>
      <w:tr w:rsidR="008910AA" w14:paraId="2DB011D0" w14:textId="77777777" w:rsidTr="00004DB4">
        <w:trPr>
          <w:cantSplit/>
          <w:jc w:val="center"/>
        </w:trPr>
        <w:tc>
          <w:tcPr>
            <w:tcW w:w="571" w:type="dxa"/>
            <w:tcBorders>
              <w:bottom w:val="nil"/>
            </w:tcBorders>
          </w:tcPr>
          <w:p w14:paraId="02AC9FE7" w14:textId="77777777" w:rsidR="008910AA" w:rsidRDefault="008910AA">
            <w:pPr>
              <w:jc w:val="center"/>
              <w:rPr>
                <w:sz w:val="16"/>
              </w:rPr>
            </w:pPr>
            <w:r>
              <w:rPr>
                <w:sz w:val="16"/>
              </w:rPr>
              <w:t>23.3</w:t>
            </w:r>
          </w:p>
        </w:tc>
        <w:tc>
          <w:tcPr>
            <w:tcW w:w="9221" w:type="dxa"/>
            <w:gridSpan w:val="2"/>
            <w:tcBorders>
              <w:bottom w:val="nil"/>
            </w:tcBorders>
          </w:tcPr>
          <w:p w14:paraId="337F09AE" w14:textId="77777777" w:rsidR="008910AA" w:rsidRDefault="008910AA">
            <w:pPr>
              <w:rPr>
                <w:b/>
              </w:rPr>
            </w:pPr>
            <w:r>
              <w:rPr>
                <w:b/>
              </w:rPr>
              <w:t>In regard to complications associated with ventilator use, our organization has done the following or has had the following in place within the last 12 months:</w:t>
            </w:r>
          </w:p>
          <w:p w14:paraId="2BA32ADC" w14:textId="77777777" w:rsidR="008910AA" w:rsidRDefault="008910AA">
            <w:pPr>
              <w:rPr>
                <w:b/>
              </w:rPr>
            </w:pPr>
          </w:p>
        </w:tc>
      </w:tr>
      <w:tr w:rsidR="008910AA" w14:paraId="0F08A8F8" w14:textId="77777777" w:rsidTr="00004DB4">
        <w:trPr>
          <w:cantSplit/>
          <w:jc w:val="center"/>
        </w:trPr>
        <w:tc>
          <w:tcPr>
            <w:tcW w:w="571" w:type="dxa"/>
            <w:vMerge w:val="restart"/>
            <w:tcBorders>
              <w:top w:val="nil"/>
            </w:tcBorders>
            <w:textDirection w:val="btLr"/>
          </w:tcPr>
          <w:p w14:paraId="56A834E0"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0E0146D3"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206D123" w14:textId="77777777" w:rsidR="008910AA" w:rsidRDefault="008910AA">
            <w:r>
              <w:t>conducted a staff education/ knowledge transfer and skill development programs on best practices and strategies to reduce complications with attendance documented.</w:t>
            </w:r>
          </w:p>
          <w:p w14:paraId="3A92064E" w14:textId="77777777" w:rsidR="008910AA" w:rsidRDefault="008910AA"/>
        </w:tc>
      </w:tr>
      <w:tr w:rsidR="008910AA" w14:paraId="3CCF6351" w14:textId="77777777" w:rsidTr="00004DB4">
        <w:trPr>
          <w:cantSplit/>
          <w:jc w:val="center"/>
        </w:trPr>
        <w:tc>
          <w:tcPr>
            <w:tcW w:w="571" w:type="dxa"/>
            <w:vMerge/>
          </w:tcPr>
          <w:p w14:paraId="5A46E245" w14:textId="77777777" w:rsidR="008910AA" w:rsidRDefault="008910AA">
            <w:pPr>
              <w:jc w:val="center"/>
              <w:rPr>
                <w:sz w:val="16"/>
              </w:rPr>
            </w:pPr>
          </w:p>
        </w:tc>
        <w:tc>
          <w:tcPr>
            <w:tcW w:w="9221" w:type="dxa"/>
            <w:gridSpan w:val="2"/>
            <w:tcBorders>
              <w:top w:val="nil"/>
              <w:bottom w:val="nil"/>
            </w:tcBorders>
          </w:tcPr>
          <w:p w14:paraId="6C636966" w14:textId="77777777" w:rsidR="008910AA" w:rsidRDefault="008910AA">
            <w:r>
              <w:t>The organization:</w:t>
            </w:r>
          </w:p>
        </w:tc>
      </w:tr>
      <w:tr w:rsidR="008910AA" w14:paraId="0FDB5CEA" w14:textId="77777777" w:rsidTr="00004DB4">
        <w:trPr>
          <w:cantSplit/>
          <w:jc w:val="center"/>
        </w:trPr>
        <w:tc>
          <w:tcPr>
            <w:tcW w:w="571" w:type="dxa"/>
            <w:vMerge/>
          </w:tcPr>
          <w:p w14:paraId="7B21FE9A" w14:textId="77777777" w:rsidR="008910AA" w:rsidRDefault="008910AA">
            <w:pPr>
              <w:jc w:val="center"/>
              <w:rPr>
                <w:sz w:val="16"/>
              </w:rPr>
            </w:pPr>
          </w:p>
        </w:tc>
        <w:tc>
          <w:tcPr>
            <w:tcW w:w="738" w:type="dxa"/>
            <w:tcBorders>
              <w:top w:val="nil"/>
              <w:bottom w:val="nil"/>
              <w:right w:val="nil"/>
            </w:tcBorders>
          </w:tcPr>
          <w:p w14:paraId="6231548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19849F2E" w14:textId="77777777" w:rsidR="008910AA" w:rsidRDefault="008910AA" w:rsidP="00C66BC4">
            <w:pPr>
              <w:spacing w:after="120"/>
            </w:pPr>
            <w:r>
              <w:t xml:space="preserve">documented or can document expenses incurred during the past year tied to </w:t>
            </w:r>
            <w:r w:rsidR="009622EB">
              <w:t>this Safe Practice. (p.293</w:t>
            </w:r>
            <w:r>
              <w:t>)</w:t>
            </w:r>
          </w:p>
        </w:tc>
      </w:tr>
      <w:tr w:rsidR="008910AA" w14:paraId="2FF842F7" w14:textId="77777777" w:rsidTr="00BD01E8">
        <w:trPr>
          <w:cantSplit/>
          <w:jc w:val="center"/>
        </w:trPr>
        <w:tc>
          <w:tcPr>
            <w:tcW w:w="571" w:type="dxa"/>
            <w:vMerge/>
            <w:tcBorders>
              <w:bottom w:val="single" w:sz="4" w:space="0" w:color="auto"/>
            </w:tcBorders>
          </w:tcPr>
          <w:p w14:paraId="6D882F22" w14:textId="77777777" w:rsidR="008910AA" w:rsidRDefault="008910AA">
            <w:pPr>
              <w:jc w:val="center"/>
              <w:rPr>
                <w:sz w:val="16"/>
              </w:rPr>
            </w:pPr>
          </w:p>
        </w:tc>
        <w:tc>
          <w:tcPr>
            <w:tcW w:w="738" w:type="dxa"/>
            <w:tcBorders>
              <w:top w:val="nil"/>
              <w:bottom w:val="single" w:sz="4" w:space="0" w:color="auto"/>
              <w:right w:val="nil"/>
            </w:tcBorders>
          </w:tcPr>
          <w:p w14:paraId="1C85190D"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single" w:sz="4" w:space="0" w:color="auto"/>
            </w:tcBorders>
          </w:tcPr>
          <w:p w14:paraId="391EB834" w14:textId="77777777" w:rsidR="008910AA" w:rsidRDefault="00CC637B">
            <w:r w:rsidRPr="004619D7">
              <w:t>allocated compensated caregiver staff time and dedicated line item budget resources for best practices development for the organization’s prevention of ventilator associated complications.</w:t>
            </w:r>
          </w:p>
          <w:p w14:paraId="6A8D6A5F" w14:textId="77777777" w:rsidR="00906B1B" w:rsidRDefault="00906B1B"/>
          <w:p w14:paraId="4E36A34A" w14:textId="77777777" w:rsidR="00906B1B" w:rsidRDefault="00906B1B"/>
          <w:p w14:paraId="2123337D" w14:textId="77777777" w:rsidR="00906B1B" w:rsidRDefault="00906B1B"/>
          <w:p w14:paraId="5E7B0193" w14:textId="77777777" w:rsidR="008910AA" w:rsidRDefault="008910AA"/>
        </w:tc>
      </w:tr>
      <w:tr w:rsidR="00004DB4" w14:paraId="035F1191" w14:textId="77777777" w:rsidTr="00BD01E8">
        <w:trPr>
          <w:cantSplit/>
          <w:jc w:val="center"/>
        </w:trPr>
        <w:tc>
          <w:tcPr>
            <w:tcW w:w="571" w:type="dxa"/>
            <w:tcBorders>
              <w:bottom w:val="nil"/>
            </w:tcBorders>
          </w:tcPr>
          <w:p w14:paraId="622DBA0C" w14:textId="77777777" w:rsidR="00004DB4" w:rsidRDefault="00214C96">
            <w:pPr>
              <w:jc w:val="center"/>
              <w:rPr>
                <w:sz w:val="16"/>
              </w:rPr>
            </w:pPr>
            <w:r>
              <w:rPr>
                <w:sz w:val="16"/>
              </w:rPr>
              <w:lastRenderedPageBreak/>
              <w:t>23.4</w:t>
            </w:r>
          </w:p>
        </w:tc>
        <w:tc>
          <w:tcPr>
            <w:tcW w:w="9221" w:type="dxa"/>
            <w:gridSpan w:val="2"/>
            <w:tcBorders>
              <w:top w:val="single" w:sz="4" w:space="0" w:color="auto"/>
              <w:bottom w:val="nil"/>
            </w:tcBorders>
          </w:tcPr>
          <w:p w14:paraId="0F4740AB" w14:textId="77777777" w:rsidR="00004DB4" w:rsidRDefault="00004DB4" w:rsidP="00004DB4">
            <w:pPr>
              <w:rPr>
                <w:b/>
              </w:rPr>
            </w:pPr>
            <w:r>
              <w:rPr>
                <w:b/>
              </w:rPr>
              <w:t>In regard to complications associated with ventilator use, our organization has done the following within the last 12 months or has had the following in place during the last 12 months and updates are made regularly:</w:t>
            </w:r>
          </w:p>
          <w:p w14:paraId="3B889F96" w14:textId="77777777" w:rsidR="00004DB4" w:rsidRPr="00CC637B" w:rsidRDefault="00004DB4"/>
        </w:tc>
      </w:tr>
      <w:tr w:rsidR="00906B1B" w14:paraId="3218C6AE" w14:textId="77777777" w:rsidTr="00BD01E8">
        <w:trPr>
          <w:cantSplit/>
          <w:jc w:val="center"/>
        </w:trPr>
        <w:tc>
          <w:tcPr>
            <w:tcW w:w="571" w:type="dxa"/>
            <w:vMerge w:val="restart"/>
            <w:tcBorders>
              <w:top w:val="nil"/>
            </w:tcBorders>
            <w:textDirection w:val="btLr"/>
          </w:tcPr>
          <w:p w14:paraId="71319382" w14:textId="77777777" w:rsidR="00906B1B" w:rsidRDefault="00906B1B" w:rsidP="00906B1B">
            <w:pPr>
              <w:ind w:left="113" w:right="113"/>
              <w:jc w:val="center"/>
              <w:rPr>
                <w:sz w:val="16"/>
              </w:rPr>
            </w:pPr>
            <w:r>
              <w:rPr>
                <w:sz w:val="16"/>
              </w:rPr>
              <w:t>ACTION</w:t>
            </w:r>
          </w:p>
        </w:tc>
        <w:tc>
          <w:tcPr>
            <w:tcW w:w="738" w:type="dxa"/>
            <w:tcBorders>
              <w:top w:val="nil"/>
              <w:bottom w:val="nil"/>
              <w:right w:val="nil"/>
            </w:tcBorders>
          </w:tcPr>
          <w:p w14:paraId="15F4C609" w14:textId="77777777" w:rsidR="00906B1B" w:rsidRDefault="00906B1B" w:rsidP="00214C96">
            <w:pPr>
              <w:jc w:val="right"/>
              <w:rPr>
                <w:sz w:val="16"/>
              </w:rPr>
            </w:pPr>
            <w:r>
              <w:rPr>
                <w:sz w:val="16"/>
              </w:rPr>
              <w:t xml:space="preserve">a </w:t>
            </w:r>
            <w:r>
              <w:rPr>
                <w:b/>
              </w:rPr>
              <w:sym w:font="Wingdings" w:char="F06F"/>
            </w:r>
            <w:r>
              <w:rPr>
                <w:b/>
              </w:rPr>
              <w:t xml:space="preserve"> </w:t>
            </w:r>
          </w:p>
        </w:tc>
        <w:tc>
          <w:tcPr>
            <w:tcW w:w="8483" w:type="dxa"/>
            <w:tcBorders>
              <w:top w:val="nil"/>
              <w:left w:val="nil"/>
              <w:bottom w:val="nil"/>
            </w:tcBorders>
          </w:tcPr>
          <w:p w14:paraId="4E033454" w14:textId="77777777" w:rsidR="00906B1B" w:rsidRDefault="00906B1B" w:rsidP="001608E1">
            <w:r w:rsidRPr="00B44E5D">
              <w:t>documented evidence that all ventilated patients are included in an appropriate adult or pediatric specific bundle or prevention plan that is clearly documented in the medical record. (p.293)</w:t>
            </w:r>
          </w:p>
          <w:p w14:paraId="6A5DF8A5" w14:textId="77777777" w:rsidR="001608E1" w:rsidRPr="00CC637B" w:rsidRDefault="001608E1" w:rsidP="001608E1"/>
        </w:tc>
      </w:tr>
      <w:tr w:rsidR="00906B1B" w14:paraId="5C240A72" w14:textId="77777777" w:rsidTr="00004DB4">
        <w:trPr>
          <w:cantSplit/>
          <w:jc w:val="center"/>
        </w:trPr>
        <w:tc>
          <w:tcPr>
            <w:tcW w:w="571" w:type="dxa"/>
            <w:vMerge/>
          </w:tcPr>
          <w:p w14:paraId="7B8ADAE6" w14:textId="77777777" w:rsidR="00906B1B" w:rsidRDefault="00906B1B" w:rsidP="00214C96">
            <w:pPr>
              <w:jc w:val="center"/>
              <w:rPr>
                <w:sz w:val="16"/>
              </w:rPr>
            </w:pPr>
          </w:p>
        </w:tc>
        <w:tc>
          <w:tcPr>
            <w:tcW w:w="738" w:type="dxa"/>
            <w:tcBorders>
              <w:top w:val="nil"/>
              <w:bottom w:val="nil"/>
              <w:right w:val="nil"/>
            </w:tcBorders>
          </w:tcPr>
          <w:p w14:paraId="18FC93A8" w14:textId="77777777" w:rsidR="00906B1B" w:rsidRDefault="00906B1B" w:rsidP="00214C96">
            <w:pPr>
              <w:jc w:val="right"/>
              <w:rPr>
                <w:sz w:val="16"/>
              </w:rPr>
            </w:pPr>
            <w:r>
              <w:rPr>
                <w:sz w:val="16"/>
              </w:rPr>
              <w:t xml:space="preserve">b </w:t>
            </w:r>
            <w:r>
              <w:rPr>
                <w:b/>
              </w:rPr>
              <w:sym w:font="Wingdings" w:char="F06F"/>
            </w:r>
          </w:p>
        </w:tc>
        <w:tc>
          <w:tcPr>
            <w:tcW w:w="8483" w:type="dxa"/>
            <w:tcBorders>
              <w:top w:val="nil"/>
              <w:left w:val="nil"/>
              <w:bottom w:val="nil"/>
            </w:tcBorders>
          </w:tcPr>
          <w:p w14:paraId="6BFB631D" w14:textId="77777777" w:rsidR="00906B1B" w:rsidRDefault="00906B1B" w:rsidP="00214C96">
            <w:r w:rsidRPr="00B44E5D">
              <w:t xml:space="preserve">implemented explicit organizational policies for the disinfection, sterilization, and maintenance of respiratory equipment that are aligned with evidenced based guidelines. (p.290) </w:t>
            </w:r>
          </w:p>
          <w:p w14:paraId="2CB94F4D" w14:textId="77777777" w:rsidR="001608E1" w:rsidRPr="00CC637B" w:rsidRDefault="001608E1" w:rsidP="00214C96"/>
        </w:tc>
      </w:tr>
      <w:tr w:rsidR="00906B1B" w14:paraId="5B4DCEA0" w14:textId="77777777" w:rsidTr="00214C96">
        <w:trPr>
          <w:cantSplit/>
          <w:jc w:val="center"/>
        </w:trPr>
        <w:tc>
          <w:tcPr>
            <w:tcW w:w="571" w:type="dxa"/>
            <w:vMerge/>
          </w:tcPr>
          <w:p w14:paraId="6DB1B092" w14:textId="77777777" w:rsidR="00906B1B" w:rsidRDefault="00906B1B" w:rsidP="00214C96">
            <w:pPr>
              <w:jc w:val="center"/>
              <w:rPr>
                <w:sz w:val="16"/>
              </w:rPr>
            </w:pPr>
          </w:p>
        </w:tc>
        <w:tc>
          <w:tcPr>
            <w:tcW w:w="738" w:type="dxa"/>
            <w:tcBorders>
              <w:top w:val="nil"/>
              <w:bottom w:val="nil"/>
              <w:right w:val="nil"/>
            </w:tcBorders>
          </w:tcPr>
          <w:p w14:paraId="54CFC63A" w14:textId="77777777" w:rsidR="00906B1B" w:rsidRDefault="00906B1B" w:rsidP="00214C96">
            <w:pPr>
              <w:jc w:val="right"/>
              <w:rPr>
                <w:sz w:val="16"/>
              </w:rPr>
            </w:pPr>
            <w:r>
              <w:rPr>
                <w:sz w:val="16"/>
              </w:rPr>
              <w:t xml:space="preserve">c </w:t>
            </w:r>
            <w:r>
              <w:rPr>
                <w:b/>
              </w:rPr>
              <w:sym w:font="Wingdings" w:char="F06F"/>
            </w:r>
          </w:p>
        </w:tc>
        <w:tc>
          <w:tcPr>
            <w:tcW w:w="8483" w:type="dxa"/>
            <w:tcBorders>
              <w:top w:val="nil"/>
              <w:left w:val="nil"/>
              <w:bottom w:val="nil"/>
            </w:tcBorders>
          </w:tcPr>
          <w:p w14:paraId="26163F41" w14:textId="77777777" w:rsidR="00906B1B" w:rsidRDefault="00906B1B" w:rsidP="00214C96">
            <w:r w:rsidRPr="00B44E5D">
              <w:t>documented evidence that all ventilated patients and/or their families have been educated on prevention measures involved in the care of the ventilated patient. (p.292)</w:t>
            </w:r>
          </w:p>
          <w:p w14:paraId="41F47C35" w14:textId="77777777" w:rsidR="001608E1" w:rsidRPr="00CC637B" w:rsidRDefault="001608E1" w:rsidP="00214C96"/>
        </w:tc>
      </w:tr>
      <w:tr w:rsidR="00906B1B" w14:paraId="1EC7E611" w14:textId="77777777" w:rsidTr="00CA3004">
        <w:trPr>
          <w:cantSplit/>
          <w:jc w:val="center"/>
        </w:trPr>
        <w:tc>
          <w:tcPr>
            <w:tcW w:w="571" w:type="dxa"/>
            <w:vMerge/>
          </w:tcPr>
          <w:p w14:paraId="52FCB401" w14:textId="77777777" w:rsidR="00906B1B" w:rsidRDefault="00906B1B" w:rsidP="00214C96">
            <w:pPr>
              <w:jc w:val="center"/>
              <w:rPr>
                <w:sz w:val="16"/>
              </w:rPr>
            </w:pPr>
          </w:p>
        </w:tc>
        <w:tc>
          <w:tcPr>
            <w:tcW w:w="738" w:type="dxa"/>
            <w:tcBorders>
              <w:top w:val="nil"/>
              <w:bottom w:val="single" w:sz="4" w:space="0" w:color="auto"/>
              <w:right w:val="nil"/>
            </w:tcBorders>
          </w:tcPr>
          <w:p w14:paraId="43926913" w14:textId="77777777" w:rsidR="00906B1B" w:rsidRDefault="00906B1B" w:rsidP="00214C96">
            <w:pPr>
              <w:jc w:val="right"/>
              <w:rPr>
                <w:sz w:val="16"/>
              </w:rPr>
            </w:pPr>
            <w:r>
              <w:rPr>
                <w:sz w:val="16"/>
              </w:rPr>
              <w:t xml:space="preserve">d </w:t>
            </w:r>
            <w:r>
              <w:rPr>
                <w:b/>
              </w:rPr>
              <w:sym w:font="Wingdings" w:char="F06F"/>
            </w:r>
          </w:p>
        </w:tc>
        <w:tc>
          <w:tcPr>
            <w:tcW w:w="8483" w:type="dxa"/>
            <w:tcBorders>
              <w:top w:val="nil"/>
              <w:left w:val="nil"/>
              <w:bottom w:val="single" w:sz="4" w:space="0" w:color="auto"/>
            </w:tcBorders>
          </w:tcPr>
          <w:p w14:paraId="62D5C828" w14:textId="77777777" w:rsidR="00906B1B" w:rsidRPr="00B44E5D" w:rsidRDefault="00906B1B" w:rsidP="00214C96">
            <w:r w:rsidRPr="00B44E5D">
              <w:t>implemented a formal performance improvement program with regular performance measurement and tracking improvement addressing ventilator associated complication prevention and compliance with prevention strategies (p.293)</w:t>
            </w:r>
          </w:p>
          <w:p w14:paraId="3E6C8098" w14:textId="77777777" w:rsidR="00906B1B" w:rsidRPr="00B44E5D" w:rsidRDefault="00906B1B" w:rsidP="00214C96">
            <w:pPr>
              <w:rPr>
                <w:b/>
              </w:rPr>
            </w:pPr>
            <w:r w:rsidRPr="00B44E5D">
              <w:rPr>
                <w:b/>
              </w:rPr>
              <w:t>OR</w:t>
            </w:r>
          </w:p>
          <w:p w14:paraId="638E2DCB" w14:textId="77777777" w:rsidR="00906B1B" w:rsidRPr="00B44E5D" w:rsidRDefault="00906B1B" w:rsidP="00214C96">
            <w:r w:rsidRPr="00B44E5D">
              <w:t xml:space="preserve">monitored a previously implemented hospital-wide performance improvement program that measures, and demonstrates full achievement of the impact of this specific Safe Practice. (p.293) </w:t>
            </w:r>
          </w:p>
          <w:p w14:paraId="607FB822" w14:textId="77777777" w:rsidR="00906B1B" w:rsidRPr="00B44E5D" w:rsidRDefault="00906B1B" w:rsidP="00214C96"/>
        </w:tc>
      </w:tr>
      <w:tr w:rsidR="00792957" w14:paraId="15FBC375" w14:textId="77777777" w:rsidTr="00CA3004">
        <w:trPr>
          <w:cantSplit/>
          <w:jc w:val="center"/>
        </w:trPr>
        <w:tc>
          <w:tcPr>
            <w:tcW w:w="571" w:type="dxa"/>
          </w:tcPr>
          <w:p w14:paraId="75D1DB5C" w14:textId="77777777" w:rsidR="00792957" w:rsidRDefault="00792957" w:rsidP="00214C96">
            <w:pPr>
              <w:jc w:val="center"/>
              <w:rPr>
                <w:sz w:val="16"/>
              </w:rPr>
            </w:pPr>
            <w:r>
              <w:rPr>
                <w:sz w:val="16"/>
              </w:rPr>
              <w:t>23.5</w:t>
            </w:r>
          </w:p>
        </w:tc>
        <w:tc>
          <w:tcPr>
            <w:tcW w:w="738" w:type="dxa"/>
            <w:tcBorders>
              <w:top w:val="single" w:sz="4" w:space="0" w:color="auto"/>
              <w:right w:val="nil"/>
            </w:tcBorders>
          </w:tcPr>
          <w:p w14:paraId="0ED959AD" w14:textId="77777777" w:rsidR="00792957" w:rsidRDefault="00792957" w:rsidP="00214C96">
            <w:pPr>
              <w:jc w:val="right"/>
              <w:rPr>
                <w:sz w:val="16"/>
              </w:rPr>
            </w:pPr>
            <w:r>
              <w:rPr>
                <w:b/>
              </w:rPr>
              <w:sym w:font="Wingdings" w:char="F06F"/>
            </w:r>
          </w:p>
        </w:tc>
        <w:tc>
          <w:tcPr>
            <w:tcW w:w="8483" w:type="dxa"/>
            <w:tcBorders>
              <w:top w:val="single" w:sz="4" w:space="0" w:color="auto"/>
              <w:left w:val="nil"/>
            </w:tcBorders>
          </w:tcPr>
          <w:p w14:paraId="43520210" w14:textId="77777777" w:rsidR="00792957" w:rsidRDefault="00792957" w:rsidP="00536A38">
            <w:r>
              <w:t>Review of this safe practice is complete.</w:t>
            </w:r>
          </w:p>
          <w:p w14:paraId="3C25ECD7" w14:textId="77777777" w:rsidR="00792957" w:rsidRPr="00B44E5D" w:rsidRDefault="00792957" w:rsidP="00214C96">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68620B0" w14:textId="20BA9132" w:rsidR="00A15EC6" w:rsidRDefault="001608E1" w:rsidP="00A15EC6">
      <w:pPr>
        <w:rPr>
          <w:b/>
          <w:snapToGrid w:val="0"/>
          <w:color w:val="000000"/>
        </w:rPr>
      </w:pPr>
      <w:r>
        <w:br/>
      </w:r>
      <w:r>
        <w:br/>
      </w:r>
      <w:r w:rsidR="00A15EC6">
        <w:br/>
      </w:r>
      <w:r w:rsidR="00A15EC6">
        <w:rPr>
          <w:b/>
          <w:snapToGrid w:val="0"/>
          <w:color w:val="000000"/>
        </w:rPr>
        <w:t>Affirmation of Accuracy</w:t>
      </w:r>
    </w:p>
    <w:p w14:paraId="12A10131" w14:textId="77777777" w:rsidR="00A15EC6" w:rsidRDefault="00A15EC6" w:rsidP="00A15EC6">
      <w:pPr>
        <w:rPr>
          <w:rFonts w:cs="Arial"/>
          <w:snapToGrid w:val="0"/>
          <w:color w:val="000000"/>
        </w:rPr>
      </w:pPr>
    </w:p>
    <w:p w14:paraId="45B77504" w14:textId="77777777" w:rsidR="00A15EC6" w:rsidRPr="00362B11" w:rsidRDefault="00A15EC6" w:rsidP="00A15EC6">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NQF Safe Practices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A10E77B" w14:textId="77777777" w:rsidR="00A15EC6" w:rsidRPr="00362B11" w:rsidRDefault="00A15EC6" w:rsidP="00A15EC6">
      <w:pPr>
        <w:rPr>
          <w:rFonts w:cs="Arial"/>
          <w:color w:val="000000"/>
        </w:rPr>
      </w:pPr>
    </w:p>
    <w:p w14:paraId="658D2908" w14:textId="77777777" w:rsidR="00A15EC6" w:rsidRDefault="00A15EC6" w:rsidP="00A15EC6">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736BFF74" w14:textId="77777777" w:rsidR="00A15EC6" w:rsidRDefault="00A15EC6" w:rsidP="00A15EC6">
      <w:pPr>
        <w:rPr>
          <w:snapToGrid w:val="0"/>
          <w:color w:val="000000"/>
        </w:rPr>
      </w:pPr>
    </w:p>
    <w:p w14:paraId="11340665" w14:textId="77777777" w:rsidR="00A15EC6" w:rsidRDefault="00A15EC6" w:rsidP="00A15EC6">
      <w:pPr>
        <w:rPr>
          <w:snapToGrid w:val="0"/>
          <w:color w:val="000000"/>
        </w:rPr>
      </w:pPr>
    </w:p>
    <w:p w14:paraId="13E610E8" w14:textId="77777777" w:rsidR="00A15EC6" w:rsidRDefault="00A15EC6" w:rsidP="00A15EC6">
      <w:pPr>
        <w:spacing w:line="240" w:lineRule="exact"/>
        <w:rPr>
          <w:snapToGrid w:val="0"/>
          <w:color w:val="000000"/>
        </w:rPr>
      </w:pPr>
      <w:r>
        <w:rPr>
          <w:snapToGrid w:val="0"/>
          <w:color w:val="000000"/>
        </w:rPr>
        <w:t>Affirmed by _____________________, the hospital’s ___________________________,</w:t>
      </w:r>
    </w:p>
    <w:p w14:paraId="7C23614E" w14:textId="77777777" w:rsidR="00A15EC6" w:rsidRDefault="00A15EC6" w:rsidP="00A15EC6">
      <w:pPr>
        <w:pStyle w:val="BodyText2"/>
        <w:spacing w:line="240" w:lineRule="exact"/>
      </w:pPr>
      <w:r>
        <w:tab/>
      </w:r>
      <w:r>
        <w:tab/>
        <w:t xml:space="preserve">   (name)</w:t>
      </w:r>
      <w:r>
        <w:tab/>
      </w:r>
      <w:r>
        <w:tab/>
      </w:r>
      <w:r>
        <w:tab/>
      </w:r>
      <w:r>
        <w:tab/>
      </w:r>
      <w:r>
        <w:tab/>
      </w:r>
      <w:r>
        <w:tab/>
        <w:t>(title)</w:t>
      </w:r>
    </w:p>
    <w:p w14:paraId="7458E30C" w14:textId="77777777" w:rsidR="00A15EC6" w:rsidRDefault="00A15EC6" w:rsidP="00A15EC6">
      <w:pPr>
        <w:spacing w:line="240" w:lineRule="exact"/>
        <w:rPr>
          <w:snapToGrid w:val="0"/>
          <w:color w:val="000000"/>
        </w:rPr>
      </w:pPr>
      <w:r>
        <w:rPr>
          <w:snapToGrid w:val="0"/>
          <w:color w:val="000000"/>
        </w:rPr>
        <w:t>on _______________________.</w:t>
      </w:r>
    </w:p>
    <w:p w14:paraId="110B2AFD" w14:textId="77777777" w:rsidR="00A15EC6" w:rsidRDefault="00A15EC6" w:rsidP="00A15EC6">
      <w:pPr>
        <w:pStyle w:val="BodyText2"/>
        <w:spacing w:line="240" w:lineRule="exact"/>
      </w:pPr>
      <w:r>
        <w:t xml:space="preserve">                    (date)</w:t>
      </w:r>
    </w:p>
    <w:p w14:paraId="747CE77A" w14:textId="77777777" w:rsidR="00F279EA" w:rsidRDefault="00F279EA" w:rsidP="00A15EC6"/>
    <w:p w14:paraId="76C91CAB" w14:textId="77777777" w:rsidR="00A15EC6" w:rsidRDefault="00A15EC6" w:rsidP="00F279EA">
      <w:pPr>
        <w:rPr>
          <w:lang w:eastAsia="ja-JP"/>
        </w:rPr>
      </w:pPr>
    </w:p>
    <w:p w14:paraId="3F1B3A66" w14:textId="77777777" w:rsidR="00A2693E" w:rsidRPr="00F279EA" w:rsidRDefault="00A2693E" w:rsidP="00F279EA">
      <w:pPr>
        <w:rPr>
          <w:lang w:eastAsia="ja-JP"/>
        </w:rPr>
      </w:pPr>
    </w:p>
    <w:p w14:paraId="1C5DB4F3" w14:textId="77777777" w:rsidR="00F279EA" w:rsidRPr="007849B0" w:rsidRDefault="00F279EA" w:rsidP="002C3E94">
      <w:pPr>
        <w:pStyle w:val="Title"/>
      </w:pPr>
      <w:bookmarkStart w:id="266" w:name="_Toc383775059"/>
      <w:bookmarkStart w:id="267" w:name="_Toc447195055"/>
      <w:r w:rsidRPr="007849B0">
        <w:t xml:space="preserve">Section 6: </w:t>
      </w:r>
      <w:r w:rsidR="004F68CC">
        <w:t>2016</w:t>
      </w:r>
      <w:r w:rsidRPr="007849B0">
        <w:t xml:space="preserve"> Leapfrog Safe Practices Score (SPS)</w:t>
      </w:r>
      <w:bookmarkEnd w:id="266"/>
      <w:r w:rsidRPr="007849B0">
        <w:t xml:space="preserve"> Reference Information</w:t>
      </w:r>
      <w:bookmarkEnd w:id="267"/>
    </w:p>
    <w:p w14:paraId="51F3863F" w14:textId="77777777" w:rsidR="00F279EA" w:rsidRPr="007849B0" w:rsidRDefault="00F279EA" w:rsidP="00F279EA">
      <w:pPr>
        <w:rPr>
          <w:bCs/>
          <w:lang w:eastAsia="ja-JP"/>
        </w:rPr>
      </w:pPr>
    </w:p>
    <w:p w14:paraId="06721308" w14:textId="77777777" w:rsidR="00F279EA" w:rsidRPr="007849B0" w:rsidRDefault="00F279EA" w:rsidP="007A44CB">
      <w:pPr>
        <w:pStyle w:val="Heading3"/>
      </w:pPr>
      <w:bookmarkStart w:id="268" w:name="_Toc236215446"/>
      <w:bookmarkStart w:id="269" w:name="_Toc383775060"/>
      <w:bookmarkStart w:id="270" w:name="_Toc447195056"/>
      <w:r w:rsidRPr="007849B0">
        <w:rPr>
          <w:rFonts w:hint="eastAsia"/>
        </w:rPr>
        <w:t>What</w:t>
      </w:r>
      <w:r w:rsidRPr="007849B0">
        <w:t>’</w:t>
      </w:r>
      <w:r w:rsidRPr="007849B0">
        <w:rPr>
          <w:rFonts w:hint="eastAsia"/>
        </w:rPr>
        <w:t xml:space="preserve">s New </w:t>
      </w:r>
      <w:bookmarkEnd w:id="268"/>
      <w:r w:rsidRPr="007849B0">
        <w:rPr>
          <w:rFonts w:hint="eastAsia"/>
        </w:rPr>
        <w:t xml:space="preserve">in the </w:t>
      </w:r>
      <w:bookmarkEnd w:id="269"/>
      <w:r w:rsidR="004F68CC">
        <w:t>2016 Survey</w:t>
      </w:r>
      <w:bookmarkEnd w:id="270"/>
    </w:p>
    <w:p w14:paraId="6150BBD9" w14:textId="77777777" w:rsidR="00CF6678" w:rsidRDefault="00CF6678" w:rsidP="00791DFB">
      <w:pPr>
        <w:shd w:val="clear" w:color="auto" w:fill="FFFFFF"/>
        <w:contextualSpacing/>
        <w:rPr>
          <w:rFonts w:cs="Arial"/>
          <w:color w:val="000000"/>
        </w:rPr>
      </w:pPr>
      <w:bookmarkStart w:id="271" w:name="_Toc236215447"/>
      <w:bookmarkStart w:id="272" w:name="_Toc383775061"/>
    </w:p>
    <w:p w14:paraId="71435888" w14:textId="77777777" w:rsidR="003A7E98" w:rsidRPr="00597DBC" w:rsidRDefault="003A7E98" w:rsidP="003A7E98">
      <w:pPr>
        <w:shd w:val="clear" w:color="auto" w:fill="FFFFFF"/>
        <w:contextualSpacing/>
        <w:rPr>
          <w:rFonts w:cs="Arial"/>
          <w:b/>
          <w:i/>
          <w:color w:val="000000"/>
        </w:rPr>
      </w:pPr>
      <w:r w:rsidRPr="00EF0F80">
        <w:rPr>
          <w:rFonts w:cs="Arial"/>
          <w:color w:val="000000"/>
        </w:rPr>
        <w:t xml:space="preserve">Earlier this year, Leapfrog convened a national expert panel to update the wording of the safe practice elements </w:t>
      </w:r>
      <w:r>
        <w:rPr>
          <w:rFonts w:cs="Arial"/>
          <w:color w:val="000000"/>
        </w:rPr>
        <w:t>included in Section 6 NQF Safe Practices Score to provide</w:t>
      </w:r>
      <w:r w:rsidRPr="00EF0F80">
        <w:rPr>
          <w:rFonts w:cs="Arial"/>
          <w:color w:val="000000"/>
        </w:rPr>
        <w:t xml:space="preserve"> greater clarity to hospitals, and ensure accurate, standard responses across all hospitals. In addition to wording updates, the pane</w:t>
      </w:r>
      <w:r>
        <w:rPr>
          <w:rFonts w:cs="Arial"/>
          <w:color w:val="000000"/>
        </w:rPr>
        <w:t>l also recommended</w:t>
      </w:r>
      <w:r w:rsidRPr="00EF0F80">
        <w:rPr>
          <w:rFonts w:cs="Arial"/>
          <w:color w:val="000000"/>
        </w:rPr>
        <w:t xml:space="preserve"> changes to be consistent with the NQF Safe Practices for Better Healthcare – 2010 Update and the 2010 Safe Practices </w:t>
      </w:r>
      <w:r>
        <w:rPr>
          <w:rFonts w:cs="Arial"/>
          <w:color w:val="000000"/>
        </w:rPr>
        <w:t>Audit completed by NQF in 2014.</w:t>
      </w:r>
    </w:p>
    <w:p w14:paraId="3FA85E68" w14:textId="77777777" w:rsidR="003A7E98" w:rsidRPr="00EF0F80" w:rsidRDefault="003A7E98" w:rsidP="003A7E98">
      <w:pPr>
        <w:shd w:val="clear" w:color="auto" w:fill="FFFFFF"/>
        <w:contextualSpacing/>
        <w:rPr>
          <w:rFonts w:cs="Arial"/>
          <w:color w:val="000000"/>
        </w:rPr>
      </w:pPr>
    </w:p>
    <w:p w14:paraId="393A7F24" w14:textId="41E087A5" w:rsidR="003A7E98" w:rsidRPr="003A7E98" w:rsidRDefault="003A7E98" w:rsidP="003A7E98">
      <w:pPr>
        <w:rPr>
          <w:lang w:eastAsia="ja-JP"/>
        </w:rPr>
      </w:pPr>
      <w:r>
        <w:rPr>
          <w:rFonts w:cs="Arial"/>
          <w:color w:val="000000"/>
        </w:rPr>
        <w:t>In addition, t</w:t>
      </w:r>
      <w:r w:rsidRPr="00EF0F80">
        <w:rPr>
          <w:rFonts w:cs="Arial"/>
          <w:color w:val="000000"/>
        </w:rPr>
        <w:t>he Culture of Safety national expert panel performed a comprehensive review of Safe Practice 2 Culture Measurement, Feedback, and Interventio</w:t>
      </w:r>
      <w:r>
        <w:rPr>
          <w:rFonts w:cs="Arial"/>
          <w:color w:val="000000"/>
        </w:rPr>
        <w:t>n and identified gaps in this</w:t>
      </w:r>
      <w:r w:rsidRPr="00EF0F80">
        <w:rPr>
          <w:rFonts w:cs="Arial"/>
          <w:color w:val="000000"/>
        </w:rPr>
        <w:t xml:space="preserve"> practice. The panel </w:t>
      </w:r>
      <w:r w:rsidR="00B83D6F">
        <w:rPr>
          <w:rFonts w:cs="Arial"/>
          <w:color w:val="000000"/>
        </w:rPr>
        <w:t>recommended</w:t>
      </w:r>
      <w:r>
        <w:rPr>
          <w:rFonts w:cs="Arial"/>
          <w:color w:val="000000"/>
        </w:rPr>
        <w:t xml:space="preserve"> the addition of four (4)</w:t>
      </w:r>
      <w:r w:rsidRPr="00EF0F80">
        <w:rPr>
          <w:rFonts w:cs="Arial"/>
          <w:color w:val="000000"/>
        </w:rPr>
        <w:t xml:space="preserve"> safe practic</w:t>
      </w:r>
      <w:r>
        <w:rPr>
          <w:rFonts w:cs="Arial"/>
          <w:color w:val="000000"/>
        </w:rPr>
        <w:t xml:space="preserve">e elements. In response to questions about which safety culture surveys meet the intent of Safe Practice 2, the panel has also developed a set of </w:t>
      </w:r>
      <w:r w:rsidRPr="0024149E">
        <w:rPr>
          <w:rFonts w:cs="Arial"/>
        </w:rPr>
        <w:t>Guidelines for a Culture of Safety Survey that Demonstrates Validity, Consistency, and Reliability</w:t>
      </w:r>
      <w:r w:rsidR="004D015D">
        <w:rPr>
          <w:rFonts w:cs="Arial"/>
        </w:rPr>
        <w:t xml:space="preserve"> (see end note 35)</w:t>
      </w:r>
      <w:r>
        <w:rPr>
          <w:rFonts w:cs="Arial"/>
        </w:rPr>
        <w:t>.</w:t>
      </w:r>
    </w:p>
    <w:p w14:paraId="142C6D3C" w14:textId="77777777" w:rsidR="007849B0" w:rsidRDefault="007849B0" w:rsidP="007849B0">
      <w:pPr>
        <w:rPr>
          <w:lang w:eastAsia="ja-JP"/>
        </w:rPr>
      </w:pPr>
    </w:p>
    <w:p w14:paraId="07675285" w14:textId="77777777" w:rsidR="003A7E98" w:rsidRPr="007849B0" w:rsidRDefault="003A7E98" w:rsidP="007849B0">
      <w:pPr>
        <w:rPr>
          <w:lang w:eastAsia="ja-JP"/>
        </w:rPr>
      </w:pPr>
    </w:p>
    <w:p w14:paraId="21D562E1" w14:textId="77777777" w:rsidR="00F279EA" w:rsidRPr="00BC2D78" w:rsidRDefault="00F279EA" w:rsidP="007A44CB">
      <w:pPr>
        <w:pStyle w:val="Heading3"/>
      </w:pPr>
      <w:bookmarkStart w:id="273" w:name="_Toc447195057"/>
      <w:r w:rsidRPr="00BC2D78">
        <w:rPr>
          <w:rFonts w:hint="eastAsia"/>
        </w:rPr>
        <w:t>Change Summary</w:t>
      </w:r>
      <w:bookmarkEnd w:id="271"/>
      <w:r w:rsidRPr="00BC2D78">
        <w:rPr>
          <w:rFonts w:hint="eastAsia"/>
        </w:rPr>
        <w:t xml:space="preserve"> since Release</w:t>
      </w:r>
      <w:bookmarkEnd w:id="272"/>
      <w:bookmarkEnd w:id="273"/>
    </w:p>
    <w:p w14:paraId="123F0BD0" w14:textId="77777777" w:rsidR="00F279EA" w:rsidRPr="00BC2D78" w:rsidRDefault="00F279EA" w:rsidP="00F279EA">
      <w:pPr>
        <w:rPr>
          <w:lang w:eastAsia="ja-JP"/>
        </w:rPr>
      </w:pPr>
    </w:p>
    <w:p w14:paraId="17B4D546" w14:textId="77777777" w:rsidR="00F279EA" w:rsidRDefault="00F279EA" w:rsidP="00F279EA">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0F66A670" w14:textId="77777777" w:rsidR="00F279EA" w:rsidRDefault="00F279EA" w:rsidP="00F279EA">
      <w:pPr>
        <w:pStyle w:val="BodyText3"/>
        <w:rPr>
          <w:lang w:eastAsia="ja-JP"/>
        </w:rPr>
      </w:pPr>
    </w:p>
    <w:p w14:paraId="700BDF84" w14:textId="77777777" w:rsidR="00F279EA" w:rsidRPr="00BC2D78" w:rsidRDefault="00F279EA" w:rsidP="00F279EA">
      <w:pPr>
        <w:pStyle w:val="BodyText3"/>
        <w:rPr>
          <w:lang w:eastAsia="ja-JP"/>
        </w:rPr>
      </w:pPr>
      <w:r w:rsidRPr="00BC2D78">
        <w:rPr>
          <w:lang w:eastAsia="ja-JP"/>
        </w:rPr>
        <w:br w:type="page"/>
      </w:r>
    </w:p>
    <w:p w14:paraId="128ABA13" w14:textId="77777777" w:rsidR="0078410D" w:rsidRDefault="0078410D" w:rsidP="00954B73">
      <w:pPr>
        <w:pStyle w:val="Heading2"/>
      </w:pPr>
      <w:bookmarkStart w:id="274" w:name="_Toc447195058"/>
      <w:r>
        <w:lastRenderedPageBreak/>
        <w:t>Tips for Reporting on Section 6 Safe Practices</w:t>
      </w:r>
      <w:bookmarkEnd w:id="274"/>
    </w:p>
    <w:p w14:paraId="6F112CC3" w14:textId="77777777" w:rsidR="0078410D" w:rsidRDefault="0078410D" w:rsidP="0078410D">
      <w:pPr>
        <w:rPr>
          <w:lang w:eastAsia="ja-JP"/>
        </w:rPr>
      </w:pPr>
    </w:p>
    <w:p w14:paraId="00EF2815" w14:textId="77777777" w:rsidR="005D03E1" w:rsidRDefault="005D03E1" w:rsidP="005D03E1">
      <w:r>
        <w:t>Through the experience of hospitals that participate in Leapfrog’s Pilot Test program, Leapfrog recommends the following steps:</w:t>
      </w:r>
    </w:p>
    <w:p w14:paraId="71E16F30" w14:textId="77777777" w:rsidR="00401C38" w:rsidRDefault="00401C38" w:rsidP="00401C38">
      <w:pPr>
        <w:rPr>
          <w:b/>
          <w:bCs/>
        </w:rPr>
      </w:pPr>
    </w:p>
    <w:p w14:paraId="7073822A" w14:textId="77777777" w:rsidR="00333FA7" w:rsidRPr="00333FA7" w:rsidRDefault="005D03E1" w:rsidP="00ED58C1">
      <w:pPr>
        <w:pStyle w:val="ListParagraph"/>
        <w:numPr>
          <w:ilvl w:val="0"/>
          <w:numId w:val="77"/>
        </w:numPr>
      </w:pPr>
      <w:r w:rsidRPr="00401C38">
        <w:rPr>
          <w:b/>
          <w:bCs/>
        </w:rPr>
        <w:t>Prepare</w:t>
      </w:r>
    </w:p>
    <w:p w14:paraId="1A55890F" w14:textId="77777777" w:rsidR="00E01201" w:rsidRDefault="00333FA7" w:rsidP="00ED58C1">
      <w:pPr>
        <w:pStyle w:val="ListParagraph"/>
        <w:numPr>
          <w:ilvl w:val="1"/>
          <w:numId w:val="77"/>
        </w:numPr>
      </w:pPr>
      <w:r w:rsidRPr="00B9167D">
        <w:rPr>
          <w:bCs/>
        </w:rPr>
        <w:t>Download and review a copy</w:t>
      </w:r>
      <w:r>
        <w:t xml:space="preserve"> of the National Quality Forum’s </w:t>
      </w:r>
      <w:r w:rsidRPr="00B9167D">
        <w:rPr>
          <w:i/>
        </w:rPr>
        <w:t>Safe Practices for Better Healthcare – 2010 Update</w:t>
      </w:r>
      <w:r w:rsidR="005D03E1">
        <w:t xml:space="preserve"> report (see link on </w:t>
      </w:r>
      <w:hyperlink r:id="rId158" w:history="1">
        <w:r w:rsidR="00E01201" w:rsidRPr="00981B4A">
          <w:rPr>
            <w:rStyle w:val="Hyperlink"/>
          </w:rPr>
          <w:t>http://leapfroggroup.org/survey-materials/survey-and-cpoe-materials</w:t>
        </w:r>
      </w:hyperlink>
      <w:r w:rsidR="00B9167D">
        <w:t>)</w:t>
      </w:r>
    </w:p>
    <w:p w14:paraId="5E77CB68" w14:textId="77777777" w:rsidR="00333FA7" w:rsidRDefault="00333FA7" w:rsidP="00ED58C1">
      <w:pPr>
        <w:pStyle w:val="ListParagraph"/>
        <w:numPr>
          <w:ilvl w:val="1"/>
          <w:numId w:val="77"/>
        </w:numPr>
      </w:pPr>
      <w:r>
        <w:t xml:space="preserve">Print and review a hard copy of (1) the </w:t>
      </w:r>
      <w:r w:rsidR="00165F84">
        <w:t>survey questions</w:t>
      </w:r>
      <w:r>
        <w:t xml:space="preserve">, (2) practice-specific </w:t>
      </w:r>
      <w:r w:rsidR="005D03E1">
        <w:t>FAQs</w:t>
      </w:r>
      <w:r w:rsidR="00165F84">
        <w:t xml:space="preserve">, and </w:t>
      </w:r>
      <w:r>
        <w:t xml:space="preserve">(3) </w:t>
      </w:r>
      <w:r w:rsidR="00165F84">
        <w:t>the scoring algorithm</w:t>
      </w:r>
      <w:r>
        <w:t xml:space="preserve"> </w:t>
      </w:r>
    </w:p>
    <w:p w14:paraId="34C32F25" w14:textId="77777777" w:rsidR="00333FA7" w:rsidRDefault="00333FA7" w:rsidP="00333FA7">
      <w:pPr>
        <w:pStyle w:val="ListParagraph"/>
      </w:pPr>
    </w:p>
    <w:p w14:paraId="3EF47A87" w14:textId="77777777" w:rsidR="00333FA7" w:rsidRPr="00333FA7" w:rsidRDefault="00333FA7" w:rsidP="00ED58C1">
      <w:pPr>
        <w:pStyle w:val="ListParagraph"/>
        <w:numPr>
          <w:ilvl w:val="0"/>
          <w:numId w:val="77"/>
        </w:numPr>
        <w:rPr>
          <w:b/>
        </w:rPr>
      </w:pPr>
      <w:r w:rsidRPr="00333FA7">
        <w:rPr>
          <w:b/>
        </w:rPr>
        <w:t>Identify</w:t>
      </w:r>
      <w:r>
        <w:rPr>
          <w:b/>
        </w:rPr>
        <w:t xml:space="preserve"> Individuals to Assist </w:t>
      </w:r>
    </w:p>
    <w:p w14:paraId="440D6FF3" w14:textId="77777777" w:rsidR="00401C38" w:rsidRDefault="00333FA7" w:rsidP="00ED58C1">
      <w:pPr>
        <w:pStyle w:val="ListParagraph"/>
        <w:numPr>
          <w:ilvl w:val="1"/>
          <w:numId w:val="77"/>
        </w:numPr>
      </w:pPr>
      <w:r>
        <w:t>Decide who should participate on your</w:t>
      </w:r>
      <w:r w:rsidR="005D03E1">
        <w:t xml:space="preserve"> team to assist in collection of the documentation for assessment. </w:t>
      </w:r>
    </w:p>
    <w:p w14:paraId="528C8E20" w14:textId="77777777" w:rsidR="00401C38" w:rsidRDefault="00401C38" w:rsidP="00401C38">
      <w:pPr>
        <w:pStyle w:val="ListParagraph"/>
      </w:pPr>
    </w:p>
    <w:p w14:paraId="75353B16" w14:textId="77777777" w:rsidR="00401C38" w:rsidRDefault="005D03E1" w:rsidP="00ED58C1">
      <w:pPr>
        <w:pStyle w:val="ListParagraph"/>
        <w:numPr>
          <w:ilvl w:val="0"/>
          <w:numId w:val="77"/>
        </w:numPr>
      </w:pPr>
      <w:r w:rsidRPr="00401C38">
        <w:rPr>
          <w:b/>
          <w:bCs/>
        </w:rPr>
        <w:t>Plan:</w:t>
      </w:r>
      <w:r>
        <w:t xml:space="preserve"> We suggest that a team be formed that might just be a couple of individuals in some hospitals or a much larger group for larger organizations. That team should be briefed and assigned duties to help capture the key information necessary for submission.</w:t>
      </w:r>
    </w:p>
    <w:p w14:paraId="1628B68D" w14:textId="77777777" w:rsidR="00401C38" w:rsidRPr="00401C38" w:rsidRDefault="00401C38" w:rsidP="00401C38">
      <w:pPr>
        <w:pStyle w:val="ListParagraph"/>
        <w:rPr>
          <w:b/>
          <w:bCs/>
        </w:rPr>
      </w:pPr>
    </w:p>
    <w:p w14:paraId="32F006EE" w14:textId="77777777" w:rsidR="00401C38" w:rsidRDefault="005D03E1" w:rsidP="00ED58C1">
      <w:pPr>
        <w:pStyle w:val="ListParagraph"/>
        <w:numPr>
          <w:ilvl w:val="0"/>
          <w:numId w:val="77"/>
        </w:numPr>
      </w:pPr>
      <w:r w:rsidRPr="00401C38">
        <w:rPr>
          <w:b/>
          <w:bCs/>
        </w:rPr>
        <w:t>Collect:</w:t>
      </w:r>
      <w:r>
        <w:t xml:space="preserve"> Key documentation should be collected to support answering the survey. It will be helpful to archive it for future reference as Leapfrog does a random review of safe practices documentation every year. In addition, the documentation can be helpful when the survey is updated or re-submitted by the hospital.</w:t>
      </w:r>
    </w:p>
    <w:p w14:paraId="3D46ABC8" w14:textId="77777777" w:rsidR="00401C38" w:rsidRPr="00401C38" w:rsidRDefault="00401C38" w:rsidP="00401C38">
      <w:pPr>
        <w:pStyle w:val="ListParagraph"/>
        <w:rPr>
          <w:b/>
          <w:bCs/>
        </w:rPr>
      </w:pPr>
    </w:p>
    <w:p w14:paraId="5B38F0E5" w14:textId="77777777" w:rsidR="00401C38" w:rsidRDefault="005D03E1" w:rsidP="00ED58C1">
      <w:pPr>
        <w:pStyle w:val="ListParagraph"/>
        <w:numPr>
          <w:ilvl w:val="0"/>
          <w:numId w:val="77"/>
        </w:numPr>
      </w:pPr>
      <w:r w:rsidRPr="00401C38">
        <w:rPr>
          <w:b/>
          <w:bCs/>
        </w:rPr>
        <w:t>Assess:</w:t>
      </w:r>
      <w:r>
        <w:t xml:space="preserve"> When all of the supporting documents are assembled, it is recommended that hospitals r</w:t>
      </w:r>
      <w:r w:rsidR="00FB3C44">
        <w:t>eview their final responses to S</w:t>
      </w:r>
      <w:r>
        <w:t>ection 6 with the CEO and/or responsible leadership. Hospitals should update their answers online as they adopt additional practices.</w:t>
      </w:r>
    </w:p>
    <w:p w14:paraId="327E67D8" w14:textId="77777777" w:rsidR="00401C38" w:rsidRPr="00401C38" w:rsidRDefault="00401C38" w:rsidP="00401C38">
      <w:pPr>
        <w:pStyle w:val="ListParagraph"/>
        <w:rPr>
          <w:b/>
          <w:bCs/>
        </w:rPr>
      </w:pPr>
    </w:p>
    <w:p w14:paraId="36629D77" w14:textId="77777777" w:rsidR="005D03E1" w:rsidRDefault="005D03E1" w:rsidP="00ED58C1">
      <w:pPr>
        <w:pStyle w:val="ListParagraph"/>
        <w:numPr>
          <w:ilvl w:val="0"/>
          <w:numId w:val="77"/>
        </w:numPr>
      </w:pPr>
      <w:r w:rsidRPr="00401C38">
        <w:rPr>
          <w:b/>
          <w:bCs/>
        </w:rPr>
        <w:t>Submit:</w:t>
      </w:r>
      <w:r>
        <w:t xml:space="preserve"> Section 6 must be completed and affirmed before it can be submitted with the survey. </w:t>
      </w:r>
    </w:p>
    <w:p w14:paraId="003FA976" w14:textId="77777777" w:rsidR="0078410D" w:rsidRPr="0078410D" w:rsidRDefault="0078410D" w:rsidP="0078410D">
      <w:pPr>
        <w:rPr>
          <w:lang w:eastAsia="ja-JP"/>
        </w:rPr>
      </w:pPr>
    </w:p>
    <w:p w14:paraId="2554D56E" w14:textId="77777777" w:rsidR="0078410D" w:rsidRDefault="0078410D" w:rsidP="00954B73">
      <w:pPr>
        <w:pStyle w:val="Heading2"/>
      </w:pPr>
    </w:p>
    <w:p w14:paraId="428CB454" w14:textId="77777777" w:rsidR="00617D35" w:rsidRDefault="005D03E1">
      <w:pPr>
        <w:rPr>
          <w:b/>
          <w:sz w:val="28"/>
          <w:u w:val="single"/>
          <w:lang w:eastAsia="ja-JP"/>
        </w:rPr>
      </w:pPr>
      <w:r>
        <w:rPr>
          <w:b/>
          <w:sz w:val="28"/>
          <w:u w:val="single"/>
          <w:lang w:eastAsia="ja-JP"/>
        </w:rPr>
        <w:br w:type="page"/>
      </w:r>
    </w:p>
    <w:p w14:paraId="2AEEDACD" w14:textId="77777777" w:rsidR="00F279EA" w:rsidRDefault="00671B9B" w:rsidP="00954B73">
      <w:pPr>
        <w:pStyle w:val="Heading2"/>
      </w:pPr>
      <w:bookmarkStart w:id="275" w:name="_Toc447195059"/>
      <w:bookmarkStart w:id="276" w:name="SPFAQs"/>
      <w:r>
        <w:lastRenderedPageBreak/>
        <w:t>Safe Practices Frequently Asked Questions (FAQs)</w:t>
      </w:r>
      <w:bookmarkEnd w:id="275"/>
    </w:p>
    <w:bookmarkEnd w:id="276"/>
    <w:p w14:paraId="284CAD9C" w14:textId="77777777" w:rsidR="00432574" w:rsidRDefault="00432574">
      <w:pPr>
        <w:rPr>
          <w:rFonts w:cs="Arial"/>
          <w:b/>
          <w:i/>
        </w:rPr>
      </w:pPr>
    </w:p>
    <w:p w14:paraId="20AD09EC" w14:textId="77777777" w:rsidR="00F279EA" w:rsidRPr="00617D35" w:rsidRDefault="00F279EA" w:rsidP="00617D35">
      <w:pPr>
        <w:rPr>
          <w:rFonts w:cs="Arial"/>
        </w:rPr>
      </w:pPr>
    </w:p>
    <w:p w14:paraId="29626AD1" w14:textId="77777777" w:rsidR="00025524" w:rsidRDefault="00025524" w:rsidP="007A44CB">
      <w:pPr>
        <w:pStyle w:val="Heading3"/>
      </w:pPr>
      <w:bookmarkStart w:id="277" w:name="_Toc447195060"/>
      <w:r>
        <w:t>General</w:t>
      </w:r>
      <w:r w:rsidRPr="007424AB">
        <w:t xml:space="preserve"> FAQs </w:t>
      </w:r>
      <w:r>
        <w:t>for the</w:t>
      </w:r>
      <w:r w:rsidRPr="007424AB">
        <w:t xml:space="preserve"> Safe Practices</w:t>
      </w:r>
      <w:r>
        <w:t>:</w:t>
      </w:r>
      <w:bookmarkEnd w:id="277"/>
      <w:r>
        <w:br/>
      </w:r>
    </w:p>
    <w:p w14:paraId="3FA8A3BA" w14:textId="77777777" w:rsidR="00025524" w:rsidRDefault="00025524" w:rsidP="00FB3C44">
      <w:pPr>
        <w:pStyle w:val="Heading44"/>
      </w:pPr>
      <w:r>
        <w:t>AWARE</w:t>
      </w:r>
      <w:r w:rsidR="00544D48">
        <w:t>NESS</w:t>
      </w:r>
      <w:r>
        <w:t>:</w:t>
      </w:r>
    </w:p>
    <w:p w14:paraId="439DDB34" w14:textId="77777777" w:rsidR="00DA026D" w:rsidRDefault="00DA026D" w:rsidP="00FB3C44">
      <w:pPr>
        <w:pStyle w:val="Heading44"/>
      </w:pPr>
    </w:p>
    <w:p w14:paraId="19EF426B" w14:textId="77777777" w:rsidR="00025524" w:rsidRPr="00D37108" w:rsidRDefault="00025524" w:rsidP="00ED58C1">
      <w:pPr>
        <w:numPr>
          <w:ilvl w:val="0"/>
          <w:numId w:val="66"/>
        </w:numPr>
        <w:rPr>
          <w:b/>
        </w:rPr>
      </w:pPr>
      <w:r w:rsidRPr="00AB547D">
        <w:rPr>
          <w:b/>
        </w:rPr>
        <w:t>Why is it necessary to continue to review a safe practice once it has been implemented?</w:t>
      </w:r>
      <w:r>
        <w:rPr>
          <w:b/>
        </w:rPr>
        <w:br/>
      </w:r>
      <w:r w:rsidRPr="00AB547D">
        <w:t>All too often in the hectic pace of providing patient care in a hospital, with frequent staff turnover and lots of part-time employees, it is difficult to get a change in practice well established. Annual review with monitoring and tracking of the safe practices will ensure that they are embedded in the operations of the hospital and not lost in the transition of new staff coming in or part-t</w:t>
      </w:r>
      <w:r w:rsidR="00D37108">
        <w:t>ime employees coming and going.</w:t>
      </w:r>
    </w:p>
    <w:p w14:paraId="0AD3C543" w14:textId="77777777" w:rsidR="00D37108" w:rsidRPr="00AB547D" w:rsidRDefault="00D37108" w:rsidP="00D37108">
      <w:pPr>
        <w:ind w:left="576"/>
        <w:rPr>
          <w:b/>
        </w:rPr>
      </w:pPr>
    </w:p>
    <w:p w14:paraId="79434C44" w14:textId="77777777" w:rsidR="00025524" w:rsidRPr="00AB547D" w:rsidRDefault="00025524" w:rsidP="00ED58C1">
      <w:pPr>
        <w:numPr>
          <w:ilvl w:val="0"/>
          <w:numId w:val="66"/>
        </w:numPr>
        <w:rPr>
          <w:b/>
        </w:rPr>
      </w:pPr>
      <w:r w:rsidRPr="00AB547D">
        <w:rPr>
          <w:b/>
        </w:rPr>
        <w:t>The phrase “frequency and severity of …” is used throughout the survey within many Aware responses.</w:t>
      </w:r>
      <w:r>
        <w:rPr>
          <w:b/>
        </w:rPr>
        <w:t xml:space="preserve"> </w:t>
      </w:r>
      <w:r w:rsidRPr="00AB547D">
        <w:rPr>
          <w:b/>
        </w:rPr>
        <w:t>What is the intent and how can a hospital satisfy this requirement?</w:t>
      </w:r>
      <w:r>
        <w:rPr>
          <w:b/>
        </w:rPr>
        <w:br/>
      </w:r>
      <w:r w:rsidRPr="00AB547D">
        <w:t>In order for a hospital to be fully aware of the extent that any patient safety issue exists within the organization, a hospital needs to review all adverse events to determine how often they occur and to establish an impact severity scale on the patient (e.g., the NCC MERP Index or other severity indexing tool).</w:t>
      </w:r>
      <w:r>
        <w:br/>
      </w:r>
    </w:p>
    <w:p w14:paraId="25D1BDFF" w14:textId="77777777" w:rsidR="00025524" w:rsidRDefault="00544D48" w:rsidP="00FB3C44">
      <w:pPr>
        <w:pStyle w:val="Heading44"/>
      </w:pPr>
      <w:r>
        <w:t>ACCOUNTABILITY</w:t>
      </w:r>
      <w:r w:rsidR="00025524">
        <w:t>:</w:t>
      </w:r>
    </w:p>
    <w:p w14:paraId="7A72ABB0" w14:textId="77777777" w:rsidR="00DA026D" w:rsidRDefault="00DA026D" w:rsidP="00FB3C44">
      <w:pPr>
        <w:pStyle w:val="Heading44"/>
      </w:pPr>
    </w:p>
    <w:p w14:paraId="1C3166CA" w14:textId="77777777" w:rsidR="00025524" w:rsidRDefault="00025524" w:rsidP="00ED58C1">
      <w:pPr>
        <w:numPr>
          <w:ilvl w:val="0"/>
          <w:numId w:val="66"/>
        </w:numPr>
      </w:pPr>
      <w:r w:rsidRPr="00AF1193">
        <w:rPr>
          <w:b/>
        </w:rPr>
        <w:t>What constitutes “direct accountability”?</w:t>
      </w:r>
      <w:r>
        <w:rPr>
          <w:b/>
        </w:rPr>
        <w:br/>
      </w:r>
      <w:r w:rsidRPr="006F64E1">
        <w:t xml:space="preserve">Direct accountability refers to a senior </w:t>
      </w:r>
      <w:r>
        <w:t xml:space="preserve">executive </w:t>
      </w:r>
      <w:r w:rsidRPr="006F64E1">
        <w:t>or department level manager who has oversight responsibility for the area of the hospital that implementation of any particular safe practice may impact.</w:t>
      </w:r>
    </w:p>
    <w:p w14:paraId="2E4123EF" w14:textId="77777777" w:rsidR="00D37108" w:rsidRDefault="00D37108" w:rsidP="00D37108">
      <w:pPr>
        <w:ind w:left="576"/>
      </w:pPr>
    </w:p>
    <w:p w14:paraId="140C456B" w14:textId="77777777" w:rsidR="00025524" w:rsidRDefault="00025524" w:rsidP="00ED58C1">
      <w:pPr>
        <w:numPr>
          <w:ilvl w:val="0"/>
          <w:numId w:val="66"/>
        </w:numPr>
      </w:pPr>
      <w:r>
        <w:rPr>
          <w:b/>
        </w:rPr>
        <w:t>Wh</w:t>
      </w:r>
      <w:r w:rsidRPr="0033194C">
        <w:rPr>
          <w:b/>
        </w:rPr>
        <w:t xml:space="preserve">at constitutes direct and regular </w:t>
      </w:r>
      <w:r>
        <w:rPr>
          <w:b/>
        </w:rPr>
        <w:t>reporting to</w:t>
      </w:r>
      <w:r w:rsidRPr="0033194C">
        <w:rPr>
          <w:b/>
        </w:rPr>
        <w:t xml:space="preserve"> </w:t>
      </w:r>
      <w:r w:rsidR="009B14AC">
        <w:rPr>
          <w:b/>
        </w:rPr>
        <w:t>B</w:t>
      </w:r>
      <w:r w:rsidRPr="0033194C">
        <w:rPr>
          <w:b/>
        </w:rPr>
        <w:t xml:space="preserve">oard </w:t>
      </w:r>
      <w:r w:rsidR="009B14AC">
        <w:rPr>
          <w:b/>
        </w:rPr>
        <w:t xml:space="preserve">(governance) </w:t>
      </w:r>
      <w:r w:rsidRPr="0033194C">
        <w:rPr>
          <w:b/>
        </w:rPr>
        <w:t>by</w:t>
      </w:r>
      <w:r>
        <w:rPr>
          <w:b/>
        </w:rPr>
        <w:t xml:space="preserve"> “the person responsible for patient safety”</w:t>
      </w:r>
      <w:r w:rsidRPr="0033194C">
        <w:rPr>
          <w:b/>
        </w:rPr>
        <w:t>?</w:t>
      </w:r>
      <w:r>
        <w:rPr>
          <w:b/>
        </w:rPr>
        <w:br/>
      </w:r>
      <w:r w:rsidRPr="00273A18">
        <w:t>A senior executive (who may or may not have the title “</w:t>
      </w:r>
      <w:r>
        <w:t>Patient Safety Officer</w:t>
      </w:r>
      <w:r w:rsidRPr="00273A18">
        <w:t xml:space="preserve">”) satisfies the </w:t>
      </w:r>
      <w:r>
        <w:t xml:space="preserve">reporting </w:t>
      </w:r>
      <w:r w:rsidRPr="00273A18">
        <w:t>requirement if he has responsibility for multiple and integrated areas of patient safety. Multiple executives who may be responsible for one area of safety each, however</w:t>
      </w:r>
      <w:r>
        <w:t>, who</w:t>
      </w:r>
      <w:r w:rsidRPr="00273A18">
        <w:t xml:space="preserve"> do not assess the integrated safety issues</w:t>
      </w:r>
      <w:r>
        <w:t>,</w:t>
      </w:r>
      <w:r w:rsidRPr="00273A18">
        <w:t xml:space="preserve"> would not qualify.</w:t>
      </w:r>
      <w:r>
        <w:t xml:space="preserve"> </w:t>
      </w:r>
      <w:r>
        <w:rPr>
          <w:bCs/>
        </w:rPr>
        <w:t xml:space="preserve">Individual department safety reports may be submitted to a </w:t>
      </w:r>
    </w:p>
    <w:p w14:paraId="35CFD930" w14:textId="77777777" w:rsidR="00025524" w:rsidRPr="00AB547D" w:rsidRDefault="00025524" w:rsidP="00ED58C1">
      <w:pPr>
        <w:numPr>
          <w:ilvl w:val="0"/>
          <w:numId w:val="65"/>
        </w:numPr>
        <w:tabs>
          <w:tab w:val="clear" w:pos="1080"/>
          <w:tab w:val="num" w:pos="1260"/>
        </w:tabs>
        <w:ind w:left="1260"/>
      </w:pPr>
      <w:r>
        <w:rPr>
          <w:bCs/>
        </w:rPr>
        <w:t>Patient Safety Officer or senior executive, responsible for patient safety, who provides a comprehensive report to the Board.</w:t>
      </w:r>
    </w:p>
    <w:p w14:paraId="01CBCC93" w14:textId="77777777" w:rsidR="00025524" w:rsidRPr="00025524" w:rsidRDefault="00025524" w:rsidP="00ED58C1">
      <w:pPr>
        <w:numPr>
          <w:ilvl w:val="0"/>
          <w:numId w:val="65"/>
        </w:numPr>
        <w:tabs>
          <w:tab w:val="clear" w:pos="1080"/>
          <w:tab w:val="num" w:pos="1260"/>
        </w:tabs>
        <w:ind w:left="1260"/>
      </w:pPr>
      <w:r w:rsidRPr="00CF1888">
        <w:rPr>
          <w:bCs/>
        </w:rPr>
        <w:t xml:space="preserve">Direct means personal </w:t>
      </w:r>
      <w:r>
        <w:rPr>
          <w:bCs/>
        </w:rPr>
        <w:t>reporting to</w:t>
      </w:r>
      <w:r w:rsidRPr="00CF1888">
        <w:rPr>
          <w:bCs/>
        </w:rPr>
        <w:t xml:space="preserve"> a safety or quality sub-committee of a board of trustees/directors or direct </w:t>
      </w:r>
      <w:r>
        <w:rPr>
          <w:bCs/>
        </w:rPr>
        <w:t>reporting to</w:t>
      </w:r>
      <w:r w:rsidRPr="00CF1888">
        <w:rPr>
          <w:bCs/>
        </w:rPr>
        <w:t xml:space="preserve"> the </w:t>
      </w:r>
      <w:r w:rsidR="009B14AC">
        <w:rPr>
          <w:bCs/>
        </w:rPr>
        <w:t>B</w:t>
      </w:r>
      <w:r w:rsidRPr="00CF1888">
        <w:rPr>
          <w:bCs/>
        </w:rPr>
        <w:t>oard.</w:t>
      </w:r>
    </w:p>
    <w:p w14:paraId="0273D77B" w14:textId="77777777" w:rsidR="00D37108" w:rsidRPr="00D37108" w:rsidRDefault="00D37108" w:rsidP="00D37108">
      <w:pPr>
        <w:ind w:left="576"/>
      </w:pPr>
    </w:p>
    <w:p w14:paraId="311E4661" w14:textId="77777777" w:rsidR="00025524" w:rsidRDefault="00025524" w:rsidP="00ED58C1">
      <w:pPr>
        <w:numPr>
          <w:ilvl w:val="0"/>
          <w:numId w:val="66"/>
        </w:numPr>
      </w:pPr>
      <w:r w:rsidRPr="00FB1445">
        <w:rPr>
          <w:b/>
        </w:rPr>
        <w:t>The phrase</w:t>
      </w:r>
      <w:r>
        <w:rPr>
          <w:b/>
        </w:rPr>
        <w:t xml:space="preserve"> </w:t>
      </w:r>
      <w:r w:rsidRPr="00FB1445">
        <w:rPr>
          <w:b/>
        </w:rPr>
        <w:t>“performance reviews</w:t>
      </w:r>
      <w:r>
        <w:rPr>
          <w:b/>
        </w:rPr>
        <w:t xml:space="preserve"> or compensation</w:t>
      </w:r>
      <w:r w:rsidRPr="00FB1445">
        <w:rPr>
          <w:b/>
        </w:rPr>
        <w:t xml:space="preserve">” </w:t>
      </w:r>
      <w:r>
        <w:rPr>
          <w:b/>
        </w:rPr>
        <w:t xml:space="preserve">is </w:t>
      </w:r>
      <w:r w:rsidRPr="00FB1445">
        <w:rPr>
          <w:b/>
        </w:rPr>
        <w:t xml:space="preserve">used throughout the survey within many </w:t>
      </w:r>
      <w:r w:rsidRPr="00FB1445">
        <w:rPr>
          <w:b/>
          <w:i/>
        </w:rPr>
        <w:t>Accountable</w:t>
      </w:r>
      <w:r w:rsidRPr="00FB1445">
        <w:rPr>
          <w:b/>
        </w:rPr>
        <w:t xml:space="preserve"> responses.</w:t>
      </w:r>
      <w:r>
        <w:rPr>
          <w:b/>
        </w:rPr>
        <w:t xml:space="preserve"> </w:t>
      </w:r>
      <w:r w:rsidRPr="00FB1445">
        <w:rPr>
          <w:b/>
        </w:rPr>
        <w:t>Do such reviews and incentives need to have specific language about a safe practice, or can a set of patient safety goals be attached?</w:t>
      </w:r>
      <w:r>
        <w:rPr>
          <w:b/>
        </w:rPr>
        <w:br/>
      </w:r>
      <w:r w:rsidRPr="00FB1445">
        <w:t>A performance review or incentive plan should include specific language about a safe practice.</w:t>
      </w:r>
      <w:r>
        <w:t xml:space="preserve"> </w:t>
      </w:r>
      <w:r w:rsidRPr="00FB1445">
        <w:t>A list of safe practices and related goals may be incorporated into the performance review and/or incentive plan</w:t>
      </w:r>
      <w:r>
        <w:t xml:space="preserve"> or</w:t>
      </w:r>
      <w:r w:rsidRPr="00D5209E">
        <w:rPr>
          <w:b/>
        </w:rPr>
        <w:t xml:space="preserve"> </w:t>
      </w:r>
      <w:r>
        <w:t>formalized programs whereby a measure of success of those activities or programs is tied to individual performance reviews or compensation incentive plans of executives.</w:t>
      </w:r>
    </w:p>
    <w:p w14:paraId="717EC6A8" w14:textId="77777777" w:rsidR="00D37108" w:rsidRDefault="00D37108" w:rsidP="00D37108">
      <w:pPr>
        <w:ind w:left="576"/>
      </w:pPr>
    </w:p>
    <w:p w14:paraId="279801E9" w14:textId="77777777" w:rsidR="00617D35" w:rsidRDefault="00025524" w:rsidP="00ED58C1">
      <w:pPr>
        <w:numPr>
          <w:ilvl w:val="0"/>
          <w:numId w:val="66"/>
        </w:numPr>
      </w:pPr>
      <w:r w:rsidRPr="00D37108">
        <w:rPr>
          <w:b/>
        </w:rPr>
        <w:t>The terms “senior administrative leadership”, “</w:t>
      </w:r>
      <w:r w:rsidR="009B14AC">
        <w:rPr>
          <w:b/>
        </w:rPr>
        <w:t>clinical</w:t>
      </w:r>
      <w:r w:rsidRPr="00D37108">
        <w:rPr>
          <w:b/>
        </w:rPr>
        <w:t xml:space="preserve"> leadership” are used throughout the survey. What employee categories qualify for these labels?</w:t>
      </w:r>
      <w:r w:rsidRPr="00D37108">
        <w:rPr>
          <w:b/>
        </w:rPr>
        <w:br/>
      </w:r>
      <w:r w:rsidRPr="00FB1445">
        <w:t xml:space="preserve">For the purposes of the survey, </w:t>
      </w:r>
      <w:r>
        <w:t xml:space="preserve">these labels </w:t>
      </w:r>
      <w:r w:rsidRPr="00FB1445">
        <w:t>refer</w:t>
      </w:r>
      <w:r>
        <w:t xml:space="preserve"> </w:t>
      </w:r>
      <w:r w:rsidRPr="00FB1445">
        <w:t xml:space="preserve">to </w:t>
      </w:r>
      <w:r>
        <w:t xml:space="preserve">administrators </w:t>
      </w:r>
      <w:r w:rsidRPr="00FB1445">
        <w:t>who are responsible for hospital-wide departments or services.</w:t>
      </w:r>
    </w:p>
    <w:p w14:paraId="0D8E0A42" w14:textId="77777777" w:rsidR="00333FA7" w:rsidRDefault="00333FA7" w:rsidP="00CA5E4C">
      <w:pPr>
        <w:pStyle w:val="Heading4"/>
        <w:framePr w:wrap="notBeside"/>
      </w:pPr>
    </w:p>
    <w:p w14:paraId="5DC0A79F" w14:textId="77777777" w:rsidR="004D015D" w:rsidRDefault="004D015D" w:rsidP="00FB3C44">
      <w:pPr>
        <w:pStyle w:val="Heading44"/>
      </w:pPr>
    </w:p>
    <w:p w14:paraId="42EB6111" w14:textId="77777777" w:rsidR="004D015D" w:rsidRDefault="004D015D" w:rsidP="00FB3C44">
      <w:pPr>
        <w:pStyle w:val="Heading44"/>
      </w:pPr>
    </w:p>
    <w:p w14:paraId="5AF7AF01" w14:textId="77777777" w:rsidR="004D015D" w:rsidRDefault="004D015D" w:rsidP="00FB3C44">
      <w:pPr>
        <w:pStyle w:val="Heading44"/>
      </w:pPr>
    </w:p>
    <w:p w14:paraId="0EE7A42B" w14:textId="77777777" w:rsidR="00025524" w:rsidRDefault="00025524" w:rsidP="00FB3C44">
      <w:pPr>
        <w:pStyle w:val="Heading44"/>
      </w:pPr>
      <w:r w:rsidRPr="00025524">
        <w:lastRenderedPageBreak/>
        <w:t>ABILITY:</w:t>
      </w:r>
    </w:p>
    <w:p w14:paraId="6791BC8B" w14:textId="77777777" w:rsidR="009B14AC" w:rsidRPr="00025524" w:rsidRDefault="009B14AC" w:rsidP="00FB3C44">
      <w:pPr>
        <w:pStyle w:val="Heading44"/>
      </w:pPr>
    </w:p>
    <w:p w14:paraId="5CFAFFCE" w14:textId="77777777" w:rsidR="00025524" w:rsidRDefault="00025524" w:rsidP="00ED58C1">
      <w:pPr>
        <w:numPr>
          <w:ilvl w:val="0"/>
          <w:numId w:val="66"/>
        </w:numPr>
      </w:pPr>
      <w:r>
        <w:rPr>
          <w:b/>
        </w:rPr>
        <w:t>What is meant by “dedicated budget</w:t>
      </w:r>
      <w:r w:rsidR="009B14AC">
        <w:rPr>
          <w:b/>
        </w:rPr>
        <w:t xml:space="preserve"> resources</w:t>
      </w:r>
      <w:r>
        <w:rPr>
          <w:b/>
        </w:rPr>
        <w:t>” related to a specific Safe Practice?</w:t>
      </w:r>
      <w:r>
        <w:rPr>
          <w:b/>
        </w:rPr>
        <w:br/>
      </w:r>
      <w:r>
        <w:t xml:space="preserve">The intent of </w:t>
      </w:r>
      <w:r w:rsidRPr="00FF6BCE">
        <w:t>statements within the ABILITY questions</w:t>
      </w:r>
      <w:r>
        <w:t xml:space="preserve"> is to </w:t>
      </w:r>
      <w:r w:rsidRPr="00FF6BCE">
        <w:t>verify</w:t>
      </w:r>
      <w:r>
        <w:t xml:space="preserve"> </w:t>
      </w:r>
      <w:r w:rsidRPr="0089561A">
        <w:t>that any additional specification</w:t>
      </w:r>
      <w:r>
        <w:t>s</w:t>
      </w:r>
      <w:r w:rsidRPr="0089561A">
        <w:t xml:space="preserve"> or example implementations can be identified in the budget</w:t>
      </w:r>
      <w:r>
        <w:t xml:space="preserve">, within a department budget that rolls up into the hospital budget or, if during the course of a current budget year, a department or hospital has a clear paper trail of any outlay of expenses </w:t>
      </w:r>
      <w:r w:rsidR="00D37108">
        <w:t>specific to the safe practices.</w:t>
      </w:r>
    </w:p>
    <w:p w14:paraId="24345D7A" w14:textId="77777777" w:rsidR="00D37108" w:rsidRDefault="00D37108" w:rsidP="00D37108">
      <w:pPr>
        <w:ind w:left="576"/>
        <w:rPr>
          <w:b/>
        </w:rPr>
      </w:pPr>
    </w:p>
    <w:p w14:paraId="07F2CA6B" w14:textId="77777777" w:rsidR="00025524" w:rsidRPr="00A443A4" w:rsidRDefault="00025524" w:rsidP="00ED58C1">
      <w:pPr>
        <w:numPr>
          <w:ilvl w:val="0"/>
          <w:numId w:val="66"/>
        </w:numPr>
        <w:rPr>
          <w:b/>
        </w:rPr>
      </w:pPr>
      <w:r w:rsidRPr="00FB1445">
        <w:rPr>
          <w:b/>
        </w:rPr>
        <w:t xml:space="preserve">Can the </w:t>
      </w:r>
      <w:r w:rsidR="009B14AC">
        <w:rPr>
          <w:b/>
        </w:rPr>
        <w:t xml:space="preserve">dedicated </w:t>
      </w:r>
      <w:r w:rsidRPr="00FB1445">
        <w:rPr>
          <w:b/>
        </w:rPr>
        <w:t>budget requirement be met if the budget includes categories which address the Safe Practice, but do not specifically name the Safe Practice?</w:t>
      </w:r>
      <w:r>
        <w:rPr>
          <w:b/>
        </w:rPr>
        <w:br/>
      </w:r>
      <w:r w:rsidRPr="00FB1445">
        <w:t xml:space="preserve">Yes, </w:t>
      </w:r>
      <w:r>
        <w:t>i</w:t>
      </w:r>
      <w:r w:rsidRPr="0089561A">
        <w:t>f it can be verified that any of the additional specification</w:t>
      </w:r>
      <w:r>
        <w:t>s</w:t>
      </w:r>
      <w:r w:rsidRPr="0089561A">
        <w:t xml:space="preserve"> or example implementations can be identified </w:t>
      </w:r>
      <w:r>
        <w:t>within a department budget that rolls up into the hospital budget; or, if during the course of a current budget year, a department or hospital has a clear paper trail of any outlay of expenses specific to the safe practices, the intent of this que</w:t>
      </w:r>
      <w:r w:rsidR="00D37108">
        <w:t>stion will be met.</w:t>
      </w:r>
    </w:p>
    <w:p w14:paraId="084C2E16" w14:textId="77777777" w:rsidR="00D37108" w:rsidRDefault="00D37108" w:rsidP="00D37108">
      <w:pPr>
        <w:ind w:left="576"/>
        <w:rPr>
          <w:b/>
        </w:rPr>
      </w:pPr>
    </w:p>
    <w:p w14:paraId="6D90B2D8" w14:textId="77777777" w:rsidR="00025524" w:rsidRPr="00A443A4" w:rsidRDefault="00025524" w:rsidP="00ED58C1">
      <w:pPr>
        <w:numPr>
          <w:ilvl w:val="0"/>
          <w:numId w:val="66"/>
        </w:numPr>
        <w:rPr>
          <w:b/>
        </w:rPr>
      </w:pPr>
      <w:r w:rsidRPr="00FB1445">
        <w:rPr>
          <w:b/>
        </w:rPr>
        <w:t>If education policies and procedures for a Safe Practice are already in place and compliance is monitored, are annual staff education and skill development programs still required?</w:t>
      </w:r>
      <w:r>
        <w:rPr>
          <w:b/>
        </w:rPr>
        <w:br/>
      </w:r>
      <w:r w:rsidRPr="00FF6BCE">
        <w:t>Even if policies and procedures for a Safe Practice are already in place and compliance can be monitored, annual education sessions or skills fairs are required to address frequent high staff turnover, use of agency/traveler staff, and updated changes in policies and practices. Implementation of a process change more th</w:t>
      </w:r>
      <w:r>
        <w:t>a</w:t>
      </w:r>
      <w:r w:rsidRPr="00FF6BCE">
        <w:t>n a year ago without monitoring for performance compliance or updated education sessions will not meet the expectations of this safe practice.</w:t>
      </w:r>
    </w:p>
    <w:p w14:paraId="6329F2CA" w14:textId="77777777" w:rsidR="00D37108" w:rsidRDefault="00D37108" w:rsidP="00D37108">
      <w:pPr>
        <w:ind w:left="576"/>
        <w:rPr>
          <w:b/>
        </w:rPr>
      </w:pPr>
    </w:p>
    <w:p w14:paraId="5B5425FE" w14:textId="77777777" w:rsidR="00025524" w:rsidRPr="00A443A4" w:rsidRDefault="00025524" w:rsidP="00ED58C1">
      <w:pPr>
        <w:numPr>
          <w:ilvl w:val="0"/>
          <w:numId w:val="66"/>
        </w:numPr>
        <w:rPr>
          <w:b/>
        </w:rPr>
      </w:pPr>
      <w:r>
        <w:rPr>
          <w:b/>
        </w:rPr>
        <w:t xml:space="preserve">Education is a frequent requirement for credit throughout the survey. </w:t>
      </w:r>
      <w:r w:rsidRPr="0089561A">
        <w:rPr>
          <w:b/>
        </w:rPr>
        <w:t>How should employee education be measured?</w:t>
      </w:r>
      <w:r>
        <w:rPr>
          <w:b/>
        </w:rPr>
        <w:br/>
      </w:r>
      <w:r w:rsidRPr="00FF6BCE">
        <w:t>To qualify for credit, educational meetings should clearly address the subject matter pertinent to adverse events and performance improvement targeted by the Safe Practice being surveyed. Hospitals should track meeting or presentation dates, frequency of employee training sessions provided, attendance records or completion records</w:t>
      </w:r>
      <w:r>
        <w:t>,</w:t>
      </w:r>
      <w:r w:rsidRPr="00FF6BCE">
        <w:t xml:space="preserve"> and the percent</w:t>
      </w:r>
      <w:r>
        <w:t>age</w:t>
      </w:r>
      <w:r w:rsidRPr="00FF6BCE">
        <w:t xml:space="preserve"> of the total employee population who received the information.</w:t>
      </w:r>
      <w:r>
        <w:br/>
      </w:r>
    </w:p>
    <w:p w14:paraId="46426FB8" w14:textId="77777777" w:rsidR="00FF653C" w:rsidRPr="00FF653C" w:rsidRDefault="00025524" w:rsidP="00ED58C1">
      <w:pPr>
        <w:numPr>
          <w:ilvl w:val="0"/>
          <w:numId w:val="66"/>
        </w:numPr>
        <w:rPr>
          <w:b/>
        </w:rPr>
      </w:pPr>
      <w:r w:rsidRPr="00FB1445">
        <w:rPr>
          <w:b/>
        </w:rPr>
        <w:t>If a staff educator’s role and function include</w:t>
      </w:r>
      <w:r>
        <w:rPr>
          <w:b/>
        </w:rPr>
        <w:t>s</w:t>
      </w:r>
      <w:r w:rsidRPr="00FB1445">
        <w:rPr>
          <w:b/>
        </w:rPr>
        <w:t xml:space="preserve"> education specific to the Safe Practices, does this meet the </w:t>
      </w:r>
      <w:r w:rsidR="009B14AC">
        <w:rPr>
          <w:b/>
        </w:rPr>
        <w:t xml:space="preserve">dedicated </w:t>
      </w:r>
      <w:r w:rsidRPr="00FB1445">
        <w:rPr>
          <w:b/>
        </w:rPr>
        <w:t>budget</w:t>
      </w:r>
      <w:r w:rsidR="009B14AC">
        <w:rPr>
          <w:b/>
        </w:rPr>
        <w:t xml:space="preserve"> resources</w:t>
      </w:r>
      <w:r w:rsidRPr="00FB1445">
        <w:rPr>
          <w:b/>
        </w:rPr>
        <w:t xml:space="preserve"> requirement, or does the budget need to allocate a specific amount of time to the Safe Practices?</w:t>
      </w:r>
      <w:r>
        <w:rPr>
          <w:b/>
        </w:rPr>
        <w:br/>
      </w:r>
      <w:r w:rsidRPr="00FB1445">
        <w:t xml:space="preserve">If the staff educator’s job description identifies the specific safe practices </w:t>
      </w:r>
      <w:r>
        <w:t>he</w:t>
      </w:r>
      <w:r w:rsidRPr="00FB1445">
        <w:t xml:space="preserve"> address</w:t>
      </w:r>
      <w:r>
        <w:t>es</w:t>
      </w:r>
      <w:r w:rsidRPr="00FB1445">
        <w:t xml:space="preserve"> in </w:t>
      </w:r>
      <w:r>
        <w:t>his</w:t>
      </w:r>
      <w:r w:rsidRPr="00FB1445">
        <w:t xml:space="preserve"> educational role</w:t>
      </w:r>
      <w:r>
        <w:t>,</w:t>
      </w:r>
      <w:r w:rsidRPr="00FB1445">
        <w:t xml:space="preserve"> the intent of this item is met. </w:t>
      </w:r>
      <w:r>
        <w:t>Any documentation of training or education time spent on a safe practice or expenditures on educational supplies or meeting preparation materials that address any of the safe practices will meet the intent of the</w:t>
      </w:r>
      <w:r w:rsidR="009B14AC">
        <w:t xml:space="preserve"> dedicated</w:t>
      </w:r>
      <w:r>
        <w:t xml:space="preserve"> budget</w:t>
      </w:r>
      <w:r w:rsidR="009B14AC">
        <w:t xml:space="preserve"> resources</w:t>
      </w:r>
      <w:r>
        <w:t xml:space="preserve"> requirements. </w:t>
      </w:r>
      <w:r w:rsidRPr="00FB1445">
        <w:t xml:space="preserve">Specific </w:t>
      </w:r>
      <w:r>
        <w:t>t</w:t>
      </w:r>
      <w:r w:rsidRPr="00FB1445">
        <w:t>ime allocations per safe practice are not required as long as there is documentation of staff participation through meeting minutes</w:t>
      </w:r>
      <w:r>
        <w:t xml:space="preserve"> or educational materials presented</w:t>
      </w:r>
      <w:r w:rsidRPr="00FB1445">
        <w:t xml:space="preserve"> and attendance records.</w:t>
      </w:r>
    </w:p>
    <w:p w14:paraId="7DC4B5A4" w14:textId="77777777" w:rsidR="00FF653C" w:rsidRDefault="00FF653C" w:rsidP="00FF653C">
      <w:pPr>
        <w:ind w:left="576"/>
        <w:rPr>
          <w:b/>
        </w:rPr>
      </w:pPr>
    </w:p>
    <w:p w14:paraId="7E793F92" w14:textId="77777777" w:rsidR="00FF653C" w:rsidRPr="00FF653C" w:rsidRDefault="00025524" w:rsidP="00ED58C1">
      <w:pPr>
        <w:numPr>
          <w:ilvl w:val="0"/>
          <w:numId w:val="66"/>
        </w:numPr>
        <w:rPr>
          <w:b/>
        </w:rPr>
      </w:pPr>
      <w:r w:rsidRPr="00FF653C">
        <w:rPr>
          <w:b/>
        </w:rPr>
        <w:t>How should employee education be measured?</w:t>
      </w:r>
      <w:r w:rsidRPr="00FF653C">
        <w:rPr>
          <w:b/>
        </w:rPr>
        <w:br/>
      </w:r>
      <w:r>
        <w:t>H</w:t>
      </w:r>
      <w:r w:rsidRPr="0089561A">
        <w:t xml:space="preserve">ospitals should track </w:t>
      </w:r>
      <w:r>
        <w:t>meeting or presentation dates, frequency</w:t>
      </w:r>
      <w:r w:rsidRPr="0089561A">
        <w:t xml:space="preserve"> of employee training sessions provided, </w:t>
      </w:r>
      <w:r>
        <w:t>attendance records,</w:t>
      </w:r>
      <w:r w:rsidRPr="0089561A">
        <w:t xml:space="preserve"> </w:t>
      </w:r>
      <w:r>
        <w:t xml:space="preserve">and the </w:t>
      </w:r>
      <w:r w:rsidRPr="0089561A">
        <w:t>percent of the total employee</w:t>
      </w:r>
      <w:r>
        <w:t xml:space="preserve"> population attending the educational programs</w:t>
      </w:r>
      <w:r w:rsidRPr="0089561A">
        <w:t>.</w:t>
      </w:r>
      <w:r w:rsidR="00FF653C" w:rsidRPr="00FF653C">
        <w:rPr>
          <w:b/>
          <w:bCs/>
          <w:color w:val="000080"/>
          <w:sz w:val="24"/>
        </w:rPr>
        <w:t xml:space="preserve"> </w:t>
      </w:r>
    </w:p>
    <w:p w14:paraId="0C88D2EE" w14:textId="77777777" w:rsidR="00FF653C" w:rsidRDefault="00FF653C" w:rsidP="00FF653C">
      <w:pPr>
        <w:pStyle w:val="ListParagraph"/>
        <w:rPr>
          <w:b/>
          <w:bCs/>
          <w:color w:val="000080"/>
          <w:sz w:val="24"/>
        </w:rPr>
      </w:pPr>
    </w:p>
    <w:p w14:paraId="7810B6EB" w14:textId="77777777" w:rsidR="00FF653C" w:rsidRDefault="00FF653C" w:rsidP="00FB3C44">
      <w:pPr>
        <w:pStyle w:val="Heading44"/>
      </w:pPr>
      <w:r w:rsidRPr="00FF653C">
        <w:t>ACTION:</w:t>
      </w:r>
    </w:p>
    <w:p w14:paraId="344659FF" w14:textId="77777777" w:rsidR="00DA026D" w:rsidRPr="00FF653C" w:rsidRDefault="00DA026D" w:rsidP="00FB3C44">
      <w:pPr>
        <w:pStyle w:val="Heading44"/>
      </w:pPr>
    </w:p>
    <w:p w14:paraId="09F75299" w14:textId="77777777" w:rsidR="00FF653C" w:rsidRDefault="00FF653C" w:rsidP="00ED58C1">
      <w:pPr>
        <w:numPr>
          <w:ilvl w:val="0"/>
          <w:numId w:val="66"/>
        </w:numPr>
        <w:tabs>
          <w:tab w:val="num" w:pos="0"/>
        </w:tabs>
        <w:rPr>
          <w:b/>
        </w:rPr>
      </w:pPr>
      <w:r w:rsidRPr="00FB1445">
        <w:rPr>
          <w:b/>
        </w:rPr>
        <w:t>The term “</w:t>
      </w:r>
      <w:r>
        <w:rPr>
          <w:b/>
        </w:rPr>
        <w:t>hospital</w:t>
      </w:r>
      <w:r w:rsidRPr="00FB1445">
        <w:rPr>
          <w:b/>
        </w:rPr>
        <w:t>-wide” is used throughout the survey.</w:t>
      </w:r>
      <w:r>
        <w:rPr>
          <w:b/>
        </w:rPr>
        <w:t xml:space="preserve"> </w:t>
      </w:r>
      <w:r w:rsidRPr="00FB1445">
        <w:rPr>
          <w:b/>
        </w:rPr>
        <w:t>Does this mean throughout the hospital, or throughout a health system?</w:t>
      </w:r>
      <w:r>
        <w:rPr>
          <w:b/>
        </w:rPr>
        <w:br/>
      </w:r>
      <w:r w:rsidRPr="00FB1445">
        <w:t>Since individual hospitals are required to complete the survey, “</w:t>
      </w:r>
      <w:r>
        <w:t>hospital</w:t>
      </w:r>
      <w:r w:rsidRPr="00FB1445">
        <w:t xml:space="preserve">-wide” refers to </w:t>
      </w:r>
      <w:r>
        <w:t xml:space="preserve">all </w:t>
      </w:r>
      <w:r w:rsidRPr="00FB1445">
        <w:t>departments within a hospital.</w:t>
      </w:r>
      <w:r>
        <w:t xml:space="preserve"> </w:t>
      </w:r>
      <w:r w:rsidRPr="00FB1445">
        <w:t>For hospitals which are part of a larger health system, a desired patient safety goal would be to roll out best practices in a coordinated program across the entire system</w:t>
      </w:r>
      <w:r>
        <w:rPr>
          <w:b/>
        </w:rPr>
        <w:t>.</w:t>
      </w:r>
      <w:r>
        <w:rPr>
          <w:b/>
        </w:rPr>
        <w:br/>
      </w:r>
    </w:p>
    <w:p w14:paraId="70286B94" w14:textId="77777777" w:rsidR="00FF653C" w:rsidRPr="00A443A4" w:rsidRDefault="00FF653C" w:rsidP="00ED58C1">
      <w:pPr>
        <w:numPr>
          <w:ilvl w:val="0"/>
          <w:numId w:val="66"/>
        </w:numPr>
        <w:tabs>
          <w:tab w:val="num" w:pos="0"/>
        </w:tabs>
        <w:rPr>
          <w:b/>
        </w:rPr>
      </w:pPr>
      <w:r>
        <w:rPr>
          <w:b/>
        </w:rPr>
        <w:lastRenderedPageBreak/>
        <w:t>Numerous survey questions provide opportunities to generate credit for having undertaken Performance Improvement Programs. What are the minimum requirements to qualify as such a program?</w:t>
      </w:r>
      <w:r>
        <w:rPr>
          <w:b/>
        </w:rPr>
        <w:br/>
      </w:r>
      <w:r>
        <w:t xml:space="preserve">Performance improvement programs should include all of the following five elements: </w:t>
      </w:r>
      <w:r w:rsidRPr="00FA619E">
        <w:rPr>
          <w:b/>
        </w:rPr>
        <w:t>E</w:t>
      </w:r>
      <w:r w:rsidRPr="003D0968">
        <w:rPr>
          <w:b/>
          <w:bCs/>
        </w:rPr>
        <w:t>ducation</w:t>
      </w:r>
      <w:r>
        <w:t xml:space="preserve"> regarding the pertinent adverse event frequency, severity, and/or impact of best practices, </w:t>
      </w:r>
      <w:r w:rsidRPr="003D0968">
        <w:rPr>
          <w:b/>
          <w:bCs/>
        </w:rPr>
        <w:t>skill building</w:t>
      </w:r>
      <w:r>
        <w:t xml:space="preserve"> in use of performance improvement tools, </w:t>
      </w:r>
      <w:r w:rsidRPr="003D0968">
        <w:rPr>
          <w:b/>
          <w:bCs/>
        </w:rPr>
        <w:t>measurement</w:t>
      </w:r>
      <w:r>
        <w:t xml:space="preserve"> of process measures or outcomes measures, </w:t>
      </w:r>
      <w:r w:rsidRPr="003D0968">
        <w:rPr>
          <w:b/>
          <w:bCs/>
        </w:rPr>
        <w:t>process improvement</w:t>
      </w:r>
      <w:r>
        <w:t xml:space="preserve">, interventions, and </w:t>
      </w:r>
      <w:r w:rsidRPr="003D0968">
        <w:rPr>
          <w:b/>
          <w:bCs/>
        </w:rPr>
        <w:t>reporting</w:t>
      </w:r>
      <w:r>
        <w:t xml:space="preserve"> of performance outcomes.</w:t>
      </w:r>
      <w:r>
        <w:br/>
      </w:r>
    </w:p>
    <w:p w14:paraId="59B40F37" w14:textId="77777777" w:rsidR="00FF653C" w:rsidRPr="00FF6BCE" w:rsidRDefault="00FF653C" w:rsidP="00ED58C1">
      <w:pPr>
        <w:numPr>
          <w:ilvl w:val="0"/>
          <w:numId w:val="66"/>
        </w:numPr>
        <w:tabs>
          <w:tab w:val="num" w:pos="0"/>
        </w:tabs>
      </w:pPr>
      <w:r w:rsidRPr="00AD2725">
        <w:rPr>
          <w:b/>
        </w:rPr>
        <w:t>What about organizations that have already implemented a particular Safe Practice more than 12 months prior to submitting the survey? How is this addressed?</w:t>
      </w:r>
      <w:r>
        <w:rPr>
          <w:b/>
        </w:rPr>
        <w:br/>
      </w:r>
      <w:r w:rsidRPr="00FF6BCE">
        <w:t>Those organizations that have already implemented all elements of a Safe Practice</w:t>
      </w:r>
      <w:r>
        <w:t>,</w:t>
      </w:r>
      <w:r w:rsidRPr="00FF6BCE">
        <w:t xml:space="preserve"> including Additional Specifications</w:t>
      </w:r>
      <w:r>
        <w:t>,</w:t>
      </w:r>
      <w:r w:rsidRPr="00FF6BCE">
        <w:t xml:space="preserve"> more than 12 months prior to submitting the survey</w:t>
      </w:r>
      <w:r>
        <w:t>,</w:t>
      </w:r>
      <w:r w:rsidRPr="00FF6BCE">
        <w:t xml:space="preserve"> should have the following in place as part of their “ongoing” programs</w:t>
      </w:r>
      <w:r>
        <w:t>,</w:t>
      </w:r>
      <w:r w:rsidRPr="00FF6BCE">
        <w:t xml:space="preserve"> including:</w:t>
      </w:r>
    </w:p>
    <w:p w14:paraId="6BB893F5" w14:textId="77777777" w:rsidR="00FF653C" w:rsidRPr="00FF6BCE" w:rsidRDefault="00FF653C" w:rsidP="00ED58C1">
      <w:pPr>
        <w:numPr>
          <w:ilvl w:val="0"/>
          <w:numId w:val="67"/>
        </w:numPr>
        <w:tabs>
          <w:tab w:val="left" w:pos="900"/>
        </w:tabs>
      </w:pPr>
      <w:r w:rsidRPr="00FF6BCE">
        <w:t>Identified leader who is accountable to assure improvements are sustained</w:t>
      </w:r>
      <w:r>
        <w:t xml:space="preserve"> and regular updates are made</w:t>
      </w:r>
    </w:p>
    <w:p w14:paraId="23111C2F" w14:textId="77777777" w:rsidR="00FF653C" w:rsidRPr="00FF6BCE" w:rsidRDefault="00FF653C" w:rsidP="00ED58C1">
      <w:pPr>
        <w:numPr>
          <w:ilvl w:val="0"/>
          <w:numId w:val="67"/>
        </w:numPr>
        <w:tabs>
          <w:tab w:val="left" w:pos="900"/>
        </w:tabs>
      </w:pPr>
      <w:r w:rsidRPr="00FF6BCE">
        <w:t xml:space="preserve">Defined and approved policies, procedures, or protocols that are being monitored </w:t>
      </w:r>
    </w:p>
    <w:p w14:paraId="62730C6A" w14:textId="77777777" w:rsidR="00FF653C" w:rsidRDefault="00FF653C" w:rsidP="00ED58C1">
      <w:pPr>
        <w:numPr>
          <w:ilvl w:val="0"/>
          <w:numId w:val="67"/>
        </w:numPr>
        <w:tabs>
          <w:tab w:val="left" w:pos="900"/>
        </w:tabs>
      </w:pPr>
      <w:r w:rsidRPr="00FF6BCE">
        <w:t>Specific metrics with defined targets that are trended and trigger action where appropriate</w:t>
      </w:r>
      <w:r>
        <w:br/>
      </w:r>
    </w:p>
    <w:p w14:paraId="72B03A70" w14:textId="77777777" w:rsidR="00FF653C" w:rsidRDefault="00FF653C" w:rsidP="00FF653C">
      <w:pPr>
        <w:tabs>
          <w:tab w:val="num" w:pos="360"/>
          <w:tab w:val="left" w:pos="900"/>
        </w:tabs>
        <w:rPr>
          <w:b/>
          <w:bCs/>
          <w:color w:val="000080"/>
          <w:sz w:val="24"/>
        </w:rPr>
      </w:pPr>
    </w:p>
    <w:p w14:paraId="6DBEC528" w14:textId="77777777" w:rsidR="00FF653C" w:rsidRDefault="00FF653C" w:rsidP="007A44CB">
      <w:pPr>
        <w:pStyle w:val="Heading3"/>
      </w:pPr>
      <w:bookmarkStart w:id="278" w:name="_Toc447195061"/>
      <w:r w:rsidRPr="007424AB">
        <w:t xml:space="preserve">FAQs </w:t>
      </w:r>
      <w:r>
        <w:t xml:space="preserve">Specific to </w:t>
      </w:r>
      <w:r w:rsidRPr="007424AB">
        <w:t>Safe Practices</w:t>
      </w:r>
      <w:bookmarkEnd w:id="278"/>
    </w:p>
    <w:p w14:paraId="4A9E9414" w14:textId="77777777" w:rsidR="0021169A" w:rsidRPr="0021169A" w:rsidRDefault="0021169A" w:rsidP="0021169A">
      <w:pPr>
        <w:rPr>
          <w:lang w:eastAsia="ja-JP"/>
        </w:rPr>
      </w:pPr>
    </w:p>
    <w:p w14:paraId="40A3A98B" w14:textId="4B51D227" w:rsidR="00FF653C" w:rsidRPr="003F7FFA" w:rsidRDefault="002A499B" w:rsidP="003F7FFA">
      <w:pPr>
        <w:pStyle w:val="Heading44"/>
      </w:pPr>
      <w:r>
        <w:t xml:space="preserve">6A: </w:t>
      </w:r>
      <w:r w:rsidR="00FF653C" w:rsidRPr="003F7FFA">
        <w:t>Safe Practice # 1</w:t>
      </w:r>
      <w:r w:rsidR="0021169A" w:rsidRPr="003F7FFA">
        <w:t xml:space="preserve"> </w:t>
      </w:r>
      <w:r w:rsidR="00FF653C" w:rsidRPr="003F7FFA">
        <w:t xml:space="preserve">Leadership Structures and Systems </w:t>
      </w:r>
    </w:p>
    <w:p w14:paraId="61AC1103" w14:textId="77777777" w:rsidR="00FF653C" w:rsidRDefault="00FF653C" w:rsidP="00FF653C">
      <w:pPr>
        <w:rPr>
          <w:b/>
          <w:u w:val="single"/>
        </w:rPr>
      </w:pPr>
    </w:p>
    <w:p w14:paraId="21157FED" w14:textId="77777777" w:rsidR="00FF653C" w:rsidRDefault="00FF653C" w:rsidP="00ED58C1">
      <w:pPr>
        <w:numPr>
          <w:ilvl w:val="0"/>
          <w:numId w:val="66"/>
        </w:numPr>
        <w:rPr>
          <w:b/>
        </w:rPr>
      </w:pPr>
      <w:r w:rsidRPr="008B1E7E">
        <w:rPr>
          <w:b/>
        </w:rPr>
        <w:t>SP1:  The</w:t>
      </w:r>
      <w:r>
        <w:rPr>
          <w:b/>
        </w:rPr>
        <w:t xml:space="preserve"> term “CEO” is used throughout this Safe Practice. What if our hospital does not have a position with the title “CEO” or the CEO position is over the larger health system?</w:t>
      </w:r>
    </w:p>
    <w:p w14:paraId="50D966C9" w14:textId="77777777" w:rsidR="008B1E7E" w:rsidRPr="009C02E2" w:rsidRDefault="00FF653C" w:rsidP="00FF653C">
      <w:pPr>
        <w:ind w:left="576"/>
      </w:pPr>
      <w:r>
        <w:t>Equivalent functions to CEO at the individual hospital-level would be Hospital Administrator or Chief Administrative Officer.</w:t>
      </w:r>
    </w:p>
    <w:p w14:paraId="3F4915FF" w14:textId="77777777" w:rsidR="00352807" w:rsidRDefault="00352807" w:rsidP="00FF653C">
      <w:pPr>
        <w:ind w:left="576"/>
      </w:pPr>
    </w:p>
    <w:p w14:paraId="71DD9D78" w14:textId="77777777" w:rsidR="00352807" w:rsidRPr="00F73A7D" w:rsidRDefault="00352807" w:rsidP="00ED58C1">
      <w:pPr>
        <w:pStyle w:val="CommentText"/>
        <w:numPr>
          <w:ilvl w:val="0"/>
          <w:numId w:val="66"/>
        </w:numPr>
        <w:rPr>
          <w:b/>
        </w:rPr>
      </w:pPr>
      <w:r w:rsidRPr="00F73A7D">
        <w:rPr>
          <w:b/>
        </w:rPr>
        <w:t>1.1a: In our hospital, our board minutes are very vague. Reports that may have been submitted during a board meeting and discussed are not clearly indicated in the minutes.  Any suggestions on how hospitals could better reflect communication on the three requested topics?</w:t>
      </w:r>
    </w:p>
    <w:p w14:paraId="5DEEE985" w14:textId="77777777" w:rsidR="00352807" w:rsidRDefault="00352807" w:rsidP="00352807">
      <w:pPr>
        <w:pStyle w:val="CommentText"/>
        <w:ind w:left="576"/>
      </w:pPr>
      <w:r>
        <w:t>We would urge hospitals to improve the detail of their board minutes. The discussion of risks and hazards can be a general note in the minutes, without specific detail on those risks and hazards.</w:t>
      </w:r>
    </w:p>
    <w:p w14:paraId="318186EF" w14:textId="77777777" w:rsidR="00352807" w:rsidRDefault="00352807" w:rsidP="00352807">
      <w:pPr>
        <w:ind w:left="576"/>
        <w:rPr>
          <w:b/>
        </w:rPr>
      </w:pPr>
    </w:p>
    <w:p w14:paraId="51223CB7" w14:textId="77777777" w:rsidR="00352807" w:rsidRDefault="00352807" w:rsidP="00ED58C1">
      <w:pPr>
        <w:pStyle w:val="CommentText"/>
        <w:numPr>
          <w:ilvl w:val="0"/>
          <w:numId w:val="66"/>
        </w:numPr>
      </w:pPr>
      <w:r w:rsidRPr="00F73A7D">
        <w:rPr>
          <w:b/>
        </w:rPr>
        <w:t>1.1</w:t>
      </w:r>
      <w:r>
        <w:rPr>
          <w:b/>
        </w:rPr>
        <w:t>b</w:t>
      </w:r>
      <w:r w:rsidRPr="00F73A7D">
        <w:rPr>
          <w:b/>
        </w:rPr>
        <w:t xml:space="preserve">: </w:t>
      </w:r>
      <w:r>
        <w:rPr>
          <w:b/>
        </w:rPr>
        <w:t>For purposes of serving on quality and safety committees, c</w:t>
      </w:r>
      <w:r w:rsidRPr="00F73A7D">
        <w:rPr>
          <w:b/>
        </w:rPr>
        <w:t xml:space="preserve">an a board member who was a patient at the hospital </w:t>
      </w:r>
      <w:r>
        <w:rPr>
          <w:b/>
        </w:rPr>
        <w:t>count for this question</w:t>
      </w:r>
      <w:r w:rsidRPr="00F73A7D">
        <w:rPr>
          <w:b/>
        </w:rPr>
        <w:t xml:space="preserve">?  </w:t>
      </w:r>
      <w:r>
        <w:rPr>
          <w:b/>
        </w:rPr>
        <w:t>As a small hospital, i</w:t>
      </w:r>
      <w:r w:rsidRPr="00F73A7D">
        <w:rPr>
          <w:b/>
        </w:rPr>
        <w:t xml:space="preserve">t can </w:t>
      </w:r>
      <w:r>
        <w:rPr>
          <w:b/>
        </w:rPr>
        <w:t xml:space="preserve">be </w:t>
      </w:r>
      <w:r w:rsidRPr="00F73A7D">
        <w:rPr>
          <w:b/>
        </w:rPr>
        <w:t>challenging to find patients to join committees.</w:t>
      </w:r>
      <w:r>
        <w:t xml:space="preserve"> </w:t>
      </w:r>
      <w:r>
        <w:br/>
        <w:t>The preference would be to find a non-Board member, non-employee to serve on the committee.  As Board members have a fiduciary responsibility for the organization, they may have a potential conflict.</w:t>
      </w:r>
    </w:p>
    <w:p w14:paraId="298013AB" w14:textId="77777777" w:rsidR="008F4CE5" w:rsidRDefault="008F4CE5" w:rsidP="008B1E7E">
      <w:pPr>
        <w:pStyle w:val="CommentText"/>
        <w:ind w:left="576"/>
      </w:pPr>
    </w:p>
    <w:p w14:paraId="317F6322" w14:textId="77777777" w:rsidR="008F4CE5" w:rsidRDefault="008F4CE5" w:rsidP="00ED58C1">
      <w:pPr>
        <w:pStyle w:val="ListParagraph"/>
        <w:numPr>
          <w:ilvl w:val="0"/>
          <w:numId w:val="66"/>
        </w:numPr>
      </w:pPr>
      <w:r w:rsidRPr="008F4CE5">
        <w:rPr>
          <w:b/>
        </w:rPr>
        <w:t xml:space="preserve">1.1b: How can a hospital document that patients and/or family of patients are active participants in safety and quality committees that meet on a regular scheduled basis and what are some examples of types of committees that would meet the intent of this practice element? </w:t>
      </w:r>
      <w:r w:rsidRPr="008F4CE5">
        <w:rPr>
          <w:b/>
        </w:rPr>
        <w:br/>
      </w:r>
      <w:r>
        <w:t xml:space="preserve">Examples of documentation that demonstrates patient and/or family of patients are active participants in safety and quality committees include committee rosters or meeting meetings with attendance </w:t>
      </w:r>
      <w:r w:rsidR="00F443D9">
        <w:t xml:space="preserve">and participation </w:t>
      </w:r>
      <w:r w:rsidR="0047248F">
        <w:t xml:space="preserve">noted. </w:t>
      </w:r>
      <w:r w:rsidR="00F443D9">
        <w:t xml:space="preserve">Examples of </w:t>
      </w:r>
      <w:r w:rsidR="0047248F">
        <w:t>active participation:</w:t>
      </w:r>
      <w:r w:rsidR="00F443D9">
        <w:t xml:space="preserve"> pres</w:t>
      </w:r>
      <w:r w:rsidR="0047248F">
        <w:t>enting or co-presenting a topic;</w:t>
      </w:r>
      <w:r w:rsidR="00F443D9">
        <w:t xml:space="preserve"> lea</w:t>
      </w:r>
      <w:r w:rsidR="0047248F">
        <w:t>ding or co-leading a discussion; having the patient or family member as co-chair of the committee.</w:t>
      </w:r>
    </w:p>
    <w:p w14:paraId="7F0AEB49" w14:textId="77777777" w:rsidR="008E01D1" w:rsidRDefault="008E01D1" w:rsidP="008B1E7E">
      <w:pPr>
        <w:rPr>
          <w:b/>
        </w:rPr>
      </w:pPr>
    </w:p>
    <w:p w14:paraId="60F14ADA" w14:textId="77777777" w:rsidR="00FF653C" w:rsidRDefault="00FF653C" w:rsidP="00ED58C1">
      <w:pPr>
        <w:numPr>
          <w:ilvl w:val="0"/>
          <w:numId w:val="66"/>
        </w:numPr>
        <w:rPr>
          <w:b/>
        </w:rPr>
      </w:pPr>
      <w:r>
        <w:rPr>
          <w:b/>
        </w:rPr>
        <w:t xml:space="preserve">1.1c: What steps can a hospital take to report efforts to the community? </w:t>
      </w:r>
      <w:r>
        <w:rPr>
          <w:b/>
        </w:rPr>
        <w:br/>
      </w:r>
      <w:r>
        <w:t xml:space="preserve">Examples of efforts a hospital could take to report ongoing efforts to improve safety and quality in the organization and the results of these efforts might include: an annual report, a webpage on the </w:t>
      </w:r>
      <w:r>
        <w:lastRenderedPageBreak/>
        <w:t xml:space="preserve">hospitals website, a community newsletter. The effort should be aimed to reach the community at large. </w:t>
      </w:r>
    </w:p>
    <w:p w14:paraId="23D16670" w14:textId="77777777" w:rsidR="00352807" w:rsidRDefault="00352807" w:rsidP="00352807">
      <w:pPr>
        <w:ind w:left="576"/>
        <w:rPr>
          <w:b/>
        </w:rPr>
      </w:pPr>
    </w:p>
    <w:p w14:paraId="335396FA" w14:textId="77777777" w:rsidR="00352807" w:rsidRDefault="00352807" w:rsidP="00ED58C1">
      <w:pPr>
        <w:numPr>
          <w:ilvl w:val="0"/>
          <w:numId w:val="66"/>
        </w:numPr>
        <w:rPr>
          <w:b/>
        </w:rPr>
      </w:pPr>
      <w:r>
        <w:rPr>
          <w:b/>
        </w:rPr>
        <w:t>1.1d: Does the information shared with the community in 1.1c need to match the information shared with staff and independent practitioners in 1.1.d?</w:t>
      </w:r>
    </w:p>
    <w:p w14:paraId="28D3C8D1" w14:textId="77777777" w:rsidR="00352807" w:rsidRPr="00F73A7D" w:rsidRDefault="00352807" w:rsidP="00352807">
      <w:pPr>
        <w:ind w:left="576"/>
      </w:pPr>
      <w:r w:rsidRPr="00F73A7D">
        <w:t>No. The two audiences are different and therefore it may be appropriate to share different information.  Also, you may also choose to use different language to communicate with the different audiences.</w:t>
      </w:r>
    </w:p>
    <w:p w14:paraId="5FCBC527" w14:textId="77777777" w:rsidR="00352807" w:rsidRPr="001D57CE" w:rsidRDefault="00352807" w:rsidP="00352807">
      <w:pPr>
        <w:ind w:left="576"/>
        <w:rPr>
          <w:b/>
        </w:rPr>
      </w:pPr>
    </w:p>
    <w:p w14:paraId="27575118" w14:textId="77777777" w:rsidR="00352807" w:rsidRDefault="00352807" w:rsidP="00ED58C1">
      <w:pPr>
        <w:numPr>
          <w:ilvl w:val="0"/>
          <w:numId w:val="66"/>
        </w:numPr>
      </w:pPr>
      <w:r w:rsidRPr="00F73A7D">
        <w:rPr>
          <w:b/>
        </w:rPr>
        <w:t>1.2: What roles are included in ‘frontline caregivers’?</w:t>
      </w:r>
      <w:r>
        <w:rPr>
          <w:b/>
        </w:rPr>
        <w:br/>
      </w:r>
      <w:r>
        <w:t>Anyone who has direct care with the patient.  Examples include nurses, environmental services staff, and allied health professionals.</w:t>
      </w:r>
    </w:p>
    <w:p w14:paraId="5BCEDD15" w14:textId="77777777" w:rsidR="00352807" w:rsidRDefault="00352807" w:rsidP="00352807">
      <w:pPr>
        <w:ind w:left="576"/>
      </w:pPr>
    </w:p>
    <w:p w14:paraId="2A0466E4" w14:textId="77777777" w:rsidR="00352807" w:rsidRDefault="00352807" w:rsidP="00ED58C1">
      <w:pPr>
        <w:numPr>
          <w:ilvl w:val="0"/>
          <w:numId w:val="66"/>
        </w:numPr>
        <w:rPr>
          <w:b/>
        </w:rPr>
      </w:pPr>
      <w:r>
        <w:rPr>
          <w:b/>
        </w:rPr>
        <w:t>1.2c: It can be challenging to document that all of the roles in the ‘stem’ are held accountable for unsafe practices.  Suggestions on how hospitals can ensure accountability?</w:t>
      </w:r>
    </w:p>
    <w:p w14:paraId="05EC00C3" w14:textId="77777777" w:rsidR="00352807" w:rsidRDefault="00352807" w:rsidP="00352807">
      <w:pPr>
        <w:ind w:left="576"/>
      </w:pPr>
      <w:r>
        <w:t>Every employee should have a patient safety component to their annual review.  Another option is to include in the employee’s competency review (OPPE, FPPE).</w:t>
      </w:r>
    </w:p>
    <w:p w14:paraId="49E5FAB4" w14:textId="77777777" w:rsidR="00352807" w:rsidRDefault="00352807" w:rsidP="00352807">
      <w:pPr>
        <w:ind w:left="576"/>
      </w:pPr>
    </w:p>
    <w:p w14:paraId="16CF9845" w14:textId="77777777" w:rsidR="00352807" w:rsidRDefault="00352807" w:rsidP="00ED58C1">
      <w:pPr>
        <w:numPr>
          <w:ilvl w:val="0"/>
          <w:numId w:val="66"/>
        </w:numPr>
        <w:rPr>
          <w:b/>
        </w:rPr>
      </w:pPr>
      <w:r>
        <w:rPr>
          <w:b/>
        </w:rPr>
        <w:t>1.2e: Our hospital did not have any adverse events.  Can we still check to box?</w:t>
      </w:r>
    </w:p>
    <w:p w14:paraId="3511507B" w14:textId="77777777" w:rsidR="00352807" w:rsidRPr="00F73A7D" w:rsidRDefault="00352807" w:rsidP="00352807">
      <w:pPr>
        <w:ind w:left="576"/>
      </w:pPr>
      <w:r>
        <w:t xml:space="preserve">We would urge your hospital to first reassess its conclusion that no adverse events occurred at your hospital; that would be highly unusual. After that reassessment, if no adverse events were identified, it would be appropriate to check the box if your hospital has policies reporting such events, when they do occur, to a mandatory or voluntary program.  </w:t>
      </w:r>
    </w:p>
    <w:p w14:paraId="7449481C" w14:textId="77777777" w:rsidR="00FF653C" w:rsidRPr="001D57CE" w:rsidRDefault="00FF653C" w:rsidP="00352807">
      <w:pPr>
        <w:rPr>
          <w:b/>
        </w:rPr>
      </w:pPr>
    </w:p>
    <w:p w14:paraId="3A605AAD" w14:textId="77777777" w:rsidR="00FF653C" w:rsidRPr="00A443A4" w:rsidRDefault="00FF653C" w:rsidP="00ED58C1">
      <w:pPr>
        <w:numPr>
          <w:ilvl w:val="0"/>
          <w:numId w:val="66"/>
        </w:numPr>
        <w:rPr>
          <w:b/>
        </w:rPr>
      </w:pPr>
      <w:r w:rsidRPr="008B1E7E">
        <w:rPr>
          <w:b/>
        </w:rPr>
        <w:t>1.4a:</w:t>
      </w:r>
      <w:r w:rsidR="008B1E7E">
        <w:rPr>
          <w:b/>
        </w:rPr>
        <w:t xml:space="preserve"> </w:t>
      </w:r>
      <w:r w:rsidRPr="008B1E7E">
        <w:rPr>
          <w:b/>
        </w:rPr>
        <w:t>What is meant by Executive Walk-Rounds and how often should they take place?</w:t>
      </w:r>
      <w:r w:rsidRPr="008B1E7E">
        <w:rPr>
          <w:b/>
        </w:rPr>
        <w:br/>
      </w:r>
      <w:r w:rsidRPr="008B1E7E">
        <w:t>The Executive</w:t>
      </w:r>
      <w:r>
        <w:t xml:space="preserve"> Walk-Rounds provide visibility and access to senior management by front-line clinical staff. Management has the opportunity to address issues and concerns in various departments while they are on site. The process also provides an opportunity for feedback on implementation of improvement strategies and tactics. Monthly meetings with staff in a centralized location do not meet the intent of this Safe Practice.</w:t>
      </w:r>
      <w:r>
        <w:br/>
      </w:r>
    </w:p>
    <w:p w14:paraId="1D83661B" w14:textId="77777777" w:rsidR="00FF653C" w:rsidRPr="008B1E7E" w:rsidRDefault="00FF653C" w:rsidP="00ED58C1">
      <w:pPr>
        <w:numPr>
          <w:ilvl w:val="0"/>
          <w:numId w:val="66"/>
        </w:numPr>
      </w:pPr>
      <w:r w:rsidRPr="008B1E7E">
        <w:rPr>
          <w:b/>
        </w:rPr>
        <w:t>1.4a:</w:t>
      </w:r>
      <w:r w:rsidR="008B1E7E">
        <w:rPr>
          <w:b/>
        </w:rPr>
        <w:t xml:space="preserve"> </w:t>
      </w:r>
      <w:r w:rsidRPr="008B1E7E">
        <w:rPr>
          <w:b/>
        </w:rPr>
        <w:t>How can progress on the implementation of Executive Walk Rounds be measured?</w:t>
      </w:r>
    </w:p>
    <w:p w14:paraId="54F0E9AE" w14:textId="77777777" w:rsidR="00FF653C" w:rsidRDefault="00FF653C" w:rsidP="00ED58C1">
      <w:pPr>
        <w:numPr>
          <w:ilvl w:val="0"/>
          <w:numId w:val="68"/>
        </w:numPr>
      </w:pPr>
      <w:r>
        <w:t>The</w:t>
      </w:r>
      <w:r w:rsidRPr="00AF1193">
        <w:t xml:space="preserve"> number of walk</w:t>
      </w:r>
      <w:r>
        <w:t>-</w:t>
      </w:r>
      <w:r w:rsidRPr="00AF1193">
        <w:t>rounds performed per unit or clinical area</w:t>
      </w:r>
      <w:r>
        <w:t xml:space="preserve"> may be measured for designated time periods as shown in the Executive’s calendar. Some progressive hospitals have tied incentives to regular executive walk-rounds and to reliable exchange of information on clinical unit performance</w:t>
      </w:r>
      <w:r w:rsidRPr="00AF1193">
        <w:t>.</w:t>
      </w:r>
    </w:p>
    <w:p w14:paraId="3941AA2D" w14:textId="77777777" w:rsidR="00FF653C" w:rsidRDefault="00FF653C" w:rsidP="00ED58C1">
      <w:pPr>
        <w:numPr>
          <w:ilvl w:val="0"/>
          <w:numId w:val="68"/>
        </w:numPr>
      </w:pPr>
      <w:r>
        <w:t>Some hospitals have established</w:t>
      </w:r>
      <w:r w:rsidRPr="0085158D">
        <w:t xml:space="preserve"> a feedback loop between senior executives and front</w:t>
      </w:r>
      <w:r>
        <w:t>-</w:t>
      </w:r>
      <w:r w:rsidRPr="0085158D">
        <w:t xml:space="preserve">line staff </w:t>
      </w:r>
      <w:r>
        <w:t>to measure the implementation of performance improvement ideas that were generated by Executive Walk-Rounds</w:t>
      </w:r>
      <w:r w:rsidRPr="0085158D">
        <w:t>.</w:t>
      </w:r>
    </w:p>
    <w:p w14:paraId="272A64C1" w14:textId="77777777" w:rsidR="00FF653C" w:rsidRDefault="00FF653C" w:rsidP="00FF653C"/>
    <w:p w14:paraId="206802E0" w14:textId="77777777" w:rsidR="00FF653C" w:rsidRPr="008B1E7E" w:rsidRDefault="00FF653C" w:rsidP="00ED58C1">
      <w:pPr>
        <w:numPr>
          <w:ilvl w:val="0"/>
          <w:numId w:val="66"/>
        </w:numPr>
        <w:tabs>
          <w:tab w:val="num" w:pos="0"/>
        </w:tabs>
        <w:rPr>
          <w:b/>
        </w:rPr>
      </w:pPr>
      <w:r w:rsidRPr="008B1E7E">
        <w:rPr>
          <w:b/>
        </w:rPr>
        <w:t xml:space="preserve">1.2b: Does the hospital </w:t>
      </w:r>
      <w:r w:rsidR="00F11CA5">
        <w:rPr>
          <w:b/>
        </w:rPr>
        <w:t>need</w:t>
      </w:r>
      <w:r w:rsidR="00F11CA5" w:rsidRPr="008B1E7E">
        <w:rPr>
          <w:b/>
        </w:rPr>
        <w:t xml:space="preserve"> </w:t>
      </w:r>
      <w:r w:rsidRPr="008B1E7E">
        <w:rPr>
          <w:b/>
        </w:rPr>
        <w:t>to have a full-time Patient Safety Officer to receive full credit for question 1.2b?</w:t>
      </w:r>
      <w:r w:rsidRPr="008B1E7E">
        <w:br/>
        <w:t>The organization may appoint an officer who may have other assigned duties or may specifically employ a patient safety officer designated with this accountability. A senior executive satisfies the reporting requirement if he has responsibility for multiple and integrated areas of patient safety as outlined in NQF Safe Practice 1, Additional Specifications. Multiple executives who may be responsible for one area of safety each, and who do not assess the overall integrated safety issues, would not qualify.</w:t>
      </w:r>
      <w:r w:rsidRPr="008B1E7E">
        <w:rPr>
          <w:b/>
        </w:rPr>
        <w:br/>
      </w:r>
    </w:p>
    <w:p w14:paraId="51431F25" w14:textId="77777777" w:rsidR="00FF653C" w:rsidRPr="008B1E7E" w:rsidRDefault="00FF653C" w:rsidP="00ED58C1">
      <w:pPr>
        <w:numPr>
          <w:ilvl w:val="0"/>
          <w:numId w:val="66"/>
        </w:numPr>
        <w:tabs>
          <w:tab w:val="num" w:pos="0"/>
        </w:tabs>
      </w:pPr>
      <w:r w:rsidRPr="008B1E7E">
        <w:rPr>
          <w:b/>
        </w:rPr>
        <w:t>1.2d:  What is an interdisciplinary patient safety committee?</w:t>
      </w:r>
      <w:r w:rsidRPr="008B1E7E">
        <w:br/>
        <w:t>An interdisciplinary patient safety committee is an internal hospital committee that oversees the activities defined in the NQF Safe Practice 1 Practice Element Specifications and develops action plans to create solutions and changes in performance.</w:t>
      </w:r>
      <w:r w:rsidRPr="008B1E7E">
        <w:br/>
      </w:r>
    </w:p>
    <w:p w14:paraId="170EAB21" w14:textId="77777777" w:rsidR="00FF653C" w:rsidRPr="00AB0820" w:rsidRDefault="00FF653C" w:rsidP="00ED58C1">
      <w:pPr>
        <w:numPr>
          <w:ilvl w:val="0"/>
          <w:numId w:val="66"/>
        </w:numPr>
        <w:tabs>
          <w:tab w:val="num" w:pos="0"/>
        </w:tabs>
      </w:pPr>
      <w:r w:rsidRPr="008B1E7E">
        <w:rPr>
          <w:b/>
        </w:rPr>
        <w:t>1.1c, 1.2e:  What</w:t>
      </w:r>
      <w:r w:rsidRPr="00AD256E">
        <w:rPr>
          <w:b/>
        </w:rPr>
        <w:t xml:space="preserve"> would qualify to </w:t>
      </w:r>
      <w:r>
        <w:rPr>
          <w:b/>
        </w:rPr>
        <w:t xml:space="preserve">fulfill the additional specification </w:t>
      </w:r>
      <w:r w:rsidRPr="00AD256E">
        <w:rPr>
          <w:b/>
        </w:rPr>
        <w:t>“</w:t>
      </w:r>
      <w:r>
        <w:rPr>
          <w:b/>
        </w:rPr>
        <w:t>the community was made aware of ongoing efforts to improve safety and quality in the organization”</w:t>
      </w:r>
      <w:r w:rsidRPr="00FF6BCE">
        <w:rPr>
          <w:b/>
        </w:rPr>
        <w:t xml:space="preserve"> (</w:t>
      </w:r>
      <w:r>
        <w:rPr>
          <w:b/>
        </w:rPr>
        <w:t>Also r</w:t>
      </w:r>
      <w:r w:rsidRPr="00FF6BCE">
        <w:rPr>
          <w:b/>
        </w:rPr>
        <w:t>efer to “</w:t>
      </w:r>
      <w:r>
        <w:rPr>
          <w:b/>
        </w:rPr>
        <w:t>Facility reports adverse events to external mandatory or voluntary programs”</w:t>
      </w:r>
    </w:p>
    <w:p w14:paraId="28C7DEEA" w14:textId="77777777" w:rsidR="00FF653C" w:rsidRDefault="00FF653C" w:rsidP="00ED58C1">
      <w:pPr>
        <w:numPr>
          <w:ilvl w:val="0"/>
          <w:numId w:val="69"/>
        </w:numPr>
        <w:tabs>
          <w:tab w:val="left" w:pos="270"/>
          <w:tab w:val="left" w:pos="4410"/>
        </w:tabs>
      </w:pPr>
      <w:r w:rsidRPr="00320B00">
        <w:lastRenderedPageBreak/>
        <w:t xml:space="preserve">The Leapfrog </w:t>
      </w:r>
      <w:r>
        <w:t>G</w:t>
      </w:r>
      <w:r w:rsidRPr="00320B00">
        <w:t xml:space="preserve">roup will be publishing the results of this survey on </w:t>
      </w:r>
      <w:r>
        <w:t>its</w:t>
      </w:r>
      <w:r w:rsidRPr="00320B00">
        <w:t xml:space="preserve"> </w:t>
      </w:r>
      <w:r>
        <w:t>W</w:t>
      </w:r>
      <w:r w:rsidRPr="00320B00">
        <w:t>eb</w:t>
      </w:r>
      <w:r>
        <w:t xml:space="preserve"> </w:t>
      </w:r>
      <w:r w:rsidRPr="00320B00">
        <w:t>site which will be open to the public. However</w:t>
      </w:r>
      <w:r>
        <w:t>,</w:t>
      </w:r>
      <w:r w:rsidRPr="00320B00">
        <w:t xml:space="preserve"> each organization must determine how to publicize </w:t>
      </w:r>
      <w:r>
        <w:t>its</w:t>
      </w:r>
      <w:r w:rsidRPr="00320B00">
        <w:t xml:space="preserve"> compliance with the safe practices in </w:t>
      </w:r>
      <w:r>
        <w:t>its</w:t>
      </w:r>
      <w:r w:rsidRPr="00320B00">
        <w:t xml:space="preserve"> </w:t>
      </w:r>
      <w:r>
        <w:t xml:space="preserve">individual </w:t>
      </w:r>
      <w:r w:rsidRPr="00320B00">
        <w:t>marke</w:t>
      </w:r>
      <w:r>
        <w:t>t</w:t>
      </w:r>
      <w:r w:rsidRPr="00320B00">
        <w:t xml:space="preserve"> area.</w:t>
      </w:r>
    </w:p>
    <w:p w14:paraId="16BF8D41" w14:textId="77777777" w:rsidR="00FF653C" w:rsidRDefault="00FF653C" w:rsidP="00ED58C1">
      <w:pPr>
        <w:numPr>
          <w:ilvl w:val="0"/>
          <w:numId w:val="69"/>
        </w:numPr>
        <w:tabs>
          <w:tab w:val="left" w:pos="270"/>
          <w:tab w:val="left" w:pos="4410"/>
        </w:tabs>
      </w:pPr>
      <w:r>
        <w:t xml:space="preserve">Public disclosure </w:t>
      </w:r>
      <w:r w:rsidRPr="00320B00">
        <w:t xml:space="preserve">may include </w:t>
      </w:r>
      <w:r>
        <w:t xml:space="preserve">reporting </w:t>
      </w:r>
      <w:r w:rsidRPr="00320B00">
        <w:t xml:space="preserve">the results of this survey on a hospital </w:t>
      </w:r>
      <w:r>
        <w:t>W</w:t>
      </w:r>
      <w:r w:rsidRPr="00320B00">
        <w:t>eb site if available, placing notices or posters throughout the organization, including information in newsletters and annual reports that are sent to the public with other marketing materials.</w:t>
      </w:r>
    </w:p>
    <w:p w14:paraId="4D9AACB6" w14:textId="77777777" w:rsidR="00FF653C" w:rsidRPr="00AB0820" w:rsidRDefault="00FF653C" w:rsidP="00ED58C1">
      <w:pPr>
        <w:numPr>
          <w:ilvl w:val="0"/>
          <w:numId w:val="69"/>
        </w:numPr>
        <w:tabs>
          <w:tab w:val="left" w:pos="270"/>
          <w:tab w:val="left" w:pos="4410"/>
        </w:tabs>
      </w:pPr>
      <w:r>
        <w:t>If a hospital has a mechanism in place (e.g., an annual report) to annually report quality and safety performance outcomes to the public, that includes a subset of the NQF Safe Practices, the expectations of this question have been met.</w:t>
      </w:r>
      <w:r w:rsidRPr="00320B00">
        <w:t xml:space="preserve"> </w:t>
      </w:r>
    </w:p>
    <w:p w14:paraId="41E0A180" w14:textId="77777777" w:rsidR="00FF653C" w:rsidRDefault="00FF653C" w:rsidP="00ED58C1">
      <w:pPr>
        <w:numPr>
          <w:ilvl w:val="0"/>
          <w:numId w:val="69"/>
        </w:numPr>
        <w:tabs>
          <w:tab w:val="left" w:pos="270"/>
          <w:tab w:val="left" w:pos="4410"/>
        </w:tabs>
      </w:pPr>
      <w:r>
        <w:t>The requirements of this question have been met if a hospital has a mechanism in place to report publicly, at least yearly, quality and safety performance outcomes that includes a subset of the NQF Safe Practices.</w:t>
      </w:r>
    </w:p>
    <w:p w14:paraId="61A08E1B" w14:textId="77777777" w:rsidR="00FF653C" w:rsidRDefault="00FF653C" w:rsidP="00ED58C1">
      <w:pPr>
        <w:numPr>
          <w:ilvl w:val="0"/>
          <w:numId w:val="69"/>
        </w:numPr>
        <w:tabs>
          <w:tab w:val="left" w:pos="270"/>
          <w:tab w:val="left" w:pos="4410"/>
        </w:tabs>
      </w:pPr>
      <w:r>
        <w:t xml:space="preserve">If a hospital has indicated in Section 7 of the Leapfrog Survey that they agree to uphold the Serious Reportable Events Policy Statement. </w:t>
      </w:r>
    </w:p>
    <w:p w14:paraId="67787D25" w14:textId="77777777" w:rsidR="00FF653C" w:rsidRDefault="00FF653C" w:rsidP="00FF653C">
      <w:pPr>
        <w:tabs>
          <w:tab w:val="left" w:pos="270"/>
          <w:tab w:val="left" w:pos="4410"/>
        </w:tabs>
      </w:pPr>
    </w:p>
    <w:p w14:paraId="1465DE65" w14:textId="77777777" w:rsidR="00FF653C" w:rsidRPr="008B1E7E" w:rsidRDefault="00FF653C" w:rsidP="00ED58C1">
      <w:pPr>
        <w:numPr>
          <w:ilvl w:val="0"/>
          <w:numId w:val="66"/>
        </w:numPr>
        <w:tabs>
          <w:tab w:val="num" w:pos="0"/>
        </w:tabs>
      </w:pPr>
      <w:r w:rsidRPr="008B1E7E">
        <w:rPr>
          <w:b/>
        </w:rPr>
        <w:t>1.3a</w:t>
      </w:r>
      <w:r w:rsidR="008B1E7E" w:rsidRPr="008B1E7E">
        <w:rPr>
          <w:b/>
        </w:rPr>
        <w:t xml:space="preserve">: </w:t>
      </w:r>
      <w:r w:rsidRPr="008B1E7E">
        <w:rPr>
          <w:b/>
        </w:rPr>
        <w:t>Does the budget presented to the Board have to describe each line item included in the patient safety program?</w:t>
      </w:r>
    </w:p>
    <w:p w14:paraId="23117606" w14:textId="77777777" w:rsidR="00FF653C" w:rsidRPr="008B1E7E" w:rsidRDefault="00FF653C" w:rsidP="00FF653C">
      <w:pPr>
        <w:ind w:left="576"/>
      </w:pPr>
      <w:r w:rsidRPr="008B1E7E">
        <w:t>No. The budget presented to the Board may be broad. However, the elements that make-up the patient safety program should be identified in a line item manner within a department budget that rolls up into the overall hospital budget.</w:t>
      </w:r>
    </w:p>
    <w:p w14:paraId="6FE999E5" w14:textId="77777777" w:rsidR="00FF653C" w:rsidRPr="008B1E7E" w:rsidRDefault="00FF653C" w:rsidP="00FF653C">
      <w:pPr>
        <w:ind w:left="576"/>
      </w:pPr>
    </w:p>
    <w:p w14:paraId="6FC1DE99" w14:textId="77777777" w:rsidR="00FF653C" w:rsidRPr="008B1E7E" w:rsidRDefault="00FF653C" w:rsidP="00ED58C1">
      <w:pPr>
        <w:numPr>
          <w:ilvl w:val="0"/>
          <w:numId w:val="66"/>
        </w:numPr>
        <w:tabs>
          <w:tab w:val="num" w:pos="0"/>
        </w:tabs>
      </w:pPr>
      <w:r w:rsidRPr="008B1E7E">
        <w:rPr>
          <w:b/>
        </w:rPr>
        <w:t>1.4b:</w:t>
      </w:r>
      <w:r w:rsidR="008B1E7E" w:rsidRPr="008B1E7E">
        <w:rPr>
          <w:b/>
        </w:rPr>
        <w:t xml:space="preserve"> </w:t>
      </w:r>
      <w:r w:rsidRPr="008B1E7E">
        <w:rPr>
          <w:b/>
        </w:rPr>
        <w:t xml:space="preserve">What are some examples of how the CEO has </w:t>
      </w:r>
      <w:r w:rsidR="008F4CE5" w:rsidRPr="008B1E7E">
        <w:rPr>
          <w:b/>
        </w:rPr>
        <w:t xml:space="preserve">actively </w:t>
      </w:r>
      <w:r w:rsidRPr="008B1E7E">
        <w:rPr>
          <w:b/>
        </w:rPr>
        <w:t>engaged leaders in patient safety improvement actions?</w:t>
      </w:r>
      <w:r w:rsidRPr="008B1E7E">
        <w:rPr>
          <w:b/>
        </w:rPr>
        <w:br/>
      </w:r>
      <w:r w:rsidRPr="008B1E7E">
        <w:t>Examples may include:</w:t>
      </w:r>
    </w:p>
    <w:p w14:paraId="7B858FE2" w14:textId="77777777" w:rsidR="008B1E7E" w:rsidRPr="008B1E7E" w:rsidRDefault="00FF653C" w:rsidP="00ED58C1">
      <w:pPr>
        <w:numPr>
          <w:ilvl w:val="0"/>
          <w:numId w:val="70"/>
        </w:numPr>
        <w:tabs>
          <w:tab w:val="left" w:pos="270"/>
          <w:tab w:val="left" w:pos="4410"/>
        </w:tabs>
      </w:pPr>
      <w:r w:rsidRPr="008B1E7E">
        <w:t xml:space="preserve">Senior leadership appoints a clinical staff member as leader of a specific strategic safety initiative, allocates 20% of his regular work hours to this effort, budgets team training for the leader and initiative participants, signs off on a sanctioned charter, sends an invitation to other disciplines to join this initiative, and adds an update on progress to the senior leadership regular operational meetings. </w:t>
      </w:r>
    </w:p>
    <w:p w14:paraId="4DEDDE7E" w14:textId="77777777" w:rsidR="008F4CE5" w:rsidRPr="008B1E7E" w:rsidRDefault="00FF653C" w:rsidP="00ED58C1">
      <w:pPr>
        <w:numPr>
          <w:ilvl w:val="0"/>
          <w:numId w:val="70"/>
        </w:numPr>
        <w:tabs>
          <w:tab w:val="left" w:pos="270"/>
          <w:tab w:val="left" w:pos="4410"/>
        </w:tabs>
      </w:pPr>
      <w:r w:rsidRPr="008B1E7E">
        <w:t>The department manager assures that there is clinical coverage for the staff member’s time allotted for this effort.</w:t>
      </w:r>
    </w:p>
    <w:p w14:paraId="397D5852" w14:textId="77777777" w:rsidR="008B1E7E" w:rsidRPr="008B1E7E" w:rsidRDefault="008B1E7E" w:rsidP="00ED58C1">
      <w:pPr>
        <w:numPr>
          <w:ilvl w:val="0"/>
          <w:numId w:val="70"/>
        </w:numPr>
        <w:tabs>
          <w:tab w:val="left" w:pos="270"/>
          <w:tab w:val="left" w:pos="4410"/>
        </w:tabs>
      </w:pPr>
      <w:r w:rsidRPr="008B1E7E">
        <w:t xml:space="preserve">Refer to the following American College of Healthcare Executives professional policy statement, which outcomes how leaders should be engaged in patient safety and quality: </w:t>
      </w:r>
      <w:hyperlink r:id="rId159" w:history="1">
        <w:r w:rsidRPr="008B1E7E">
          <w:rPr>
            <w:rStyle w:val="Hyperlink"/>
            <w:u w:val="none"/>
          </w:rPr>
          <w:t>https://www.ache.org/policy/exec-ensure-patsafe.cfm</w:t>
        </w:r>
      </w:hyperlink>
      <w:r w:rsidRPr="008B1E7E">
        <w:t xml:space="preserve">. </w:t>
      </w:r>
    </w:p>
    <w:p w14:paraId="18B225BF" w14:textId="77777777" w:rsidR="00FF653C" w:rsidRPr="008B1E7E" w:rsidRDefault="00FF653C" w:rsidP="00FF653C">
      <w:pPr>
        <w:rPr>
          <w:b/>
        </w:rPr>
      </w:pPr>
    </w:p>
    <w:p w14:paraId="055ECFB4" w14:textId="77777777" w:rsidR="00FF653C" w:rsidRPr="008B1E7E" w:rsidRDefault="00FF653C" w:rsidP="00ED58C1">
      <w:pPr>
        <w:numPr>
          <w:ilvl w:val="0"/>
          <w:numId w:val="66"/>
        </w:numPr>
        <w:tabs>
          <w:tab w:val="num" w:pos="0"/>
        </w:tabs>
      </w:pPr>
      <w:r w:rsidRPr="008B1E7E">
        <w:rPr>
          <w:b/>
        </w:rPr>
        <w:t>1.4c:</w:t>
      </w:r>
      <w:r w:rsidRPr="008B1E7E">
        <w:t xml:space="preserve"> </w:t>
      </w:r>
      <w:r w:rsidRPr="008B1E7E">
        <w:rPr>
          <w:b/>
        </w:rPr>
        <w:t>What are some examples of how the board and leadership might engage the medical staff as direct contributors to my organization’s patient safety program?</w:t>
      </w:r>
      <w:r w:rsidRPr="008B1E7E">
        <w:rPr>
          <w:b/>
        </w:rPr>
        <w:br/>
      </w:r>
      <w:r w:rsidRPr="008B1E7E">
        <w:t>Examples may include:</w:t>
      </w:r>
    </w:p>
    <w:p w14:paraId="2152F287" w14:textId="77777777" w:rsidR="00FF653C" w:rsidRPr="008B1E7E" w:rsidRDefault="00FF653C" w:rsidP="00ED58C1">
      <w:pPr>
        <w:numPr>
          <w:ilvl w:val="0"/>
          <w:numId w:val="70"/>
        </w:numPr>
        <w:tabs>
          <w:tab w:val="left" w:pos="270"/>
          <w:tab w:val="left" w:pos="4410"/>
        </w:tabs>
      </w:pPr>
      <w:r w:rsidRPr="008B1E7E">
        <w:t>Senior leadership requests time on Medical Staff Department standing agendas to provide patient safety updates and elicit direct feedback on specific areas as well as ”what keeps the medical staff up at night.”</w:t>
      </w:r>
    </w:p>
    <w:p w14:paraId="062ED91F" w14:textId="77777777" w:rsidR="00FF653C" w:rsidRPr="008B1E7E" w:rsidRDefault="00FF653C" w:rsidP="00ED58C1">
      <w:pPr>
        <w:numPr>
          <w:ilvl w:val="0"/>
          <w:numId w:val="70"/>
        </w:numPr>
        <w:tabs>
          <w:tab w:val="left" w:pos="270"/>
          <w:tab w:val="left" w:pos="4410"/>
        </w:tabs>
      </w:pPr>
      <w:r w:rsidRPr="008B1E7E">
        <w:t xml:space="preserve">Medical staff are invited and encouraged to be active participants on clinical unit meetings where patient safety is addressed. </w:t>
      </w:r>
    </w:p>
    <w:p w14:paraId="4E4C36F4" w14:textId="77777777" w:rsidR="00FF653C" w:rsidRPr="008B1E7E" w:rsidRDefault="00FF653C" w:rsidP="00ED58C1">
      <w:pPr>
        <w:numPr>
          <w:ilvl w:val="0"/>
          <w:numId w:val="70"/>
        </w:numPr>
        <w:tabs>
          <w:tab w:val="left" w:pos="270"/>
          <w:tab w:val="left" w:pos="4410"/>
        </w:tabs>
        <w:rPr>
          <w:b/>
        </w:rPr>
      </w:pPr>
      <w:r w:rsidRPr="008B1E7E">
        <w:t xml:space="preserve">The board appoints a community-based active medical staff member to represent the organization on a regional patient safety initiative. </w:t>
      </w:r>
      <w:r w:rsidRPr="008B1E7E">
        <w:rPr>
          <w:b/>
        </w:rPr>
        <w:br/>
      </w:r>
    </w:p>
    <w:p w14:paraId="5CE50D6C" w14:textId="77777777" w:rsidR="00FF653C" w:rsidRPr="00F02807" w:rsidRDefault="00FF653C" w:rsidP="00ED58C1">
      <w:pPr>
        <w:numPr>
          <w:ilvl w:val="0"/>
          <w:numId w:val="66"/>
        </w:numPr>
        <w:tabs>
          <w:tab w:val="num" w:pos="0"/>
        </w:tabs>
      </w:pPr>
      <w:r w:rsidRPr="008B1E7E">
        <w:rPr>
          <w:rFonts w:cs="Arial"/>
          <w:b/>
        </w:rPr>
        <w:t>1.4c:</w:t>
      </w:r>
      <w:r w:rsidR="008B1E7E" w:rsidRPr="008B1E7E">
        <w:rPr>
          <w:rFonts w:cs="Arial"/>
          <w:b/>
        </w:rPr>
        <w:t xml:space="preserve"> </w:t>
      </w:r>
      <w:r w:rsidRPr="008B1E7E">
        <w:rPr>
          <w:rFonts w:cs="Arial"/>
          <w:b/>
        </w:rPr>
        <w:t>In an organization where all medical staff is employed, there are no “</w:t>
      </w:r>
      <w:r w:rsidR="00E0280E" w:rsidRPr="008B1E7E">
        <w:rPr>
          <w:rFonts w:cs="Arial"/>
          <w:b/>
        </w:rPr>
        <w:t xml:space="preserve">licensed </w:t>
      </w:r>
      <w:r w:rsidRPr="008B1E7E">
        <w:rPr>
          <w:rFonts w:cs="Arial"/>
          <w:b/>
        </w:rPr>
        <w:t>independent practitioners”. How do we answer this question?</w:t>
      </w:r>
      <w:r w:rsidRPr="008B1E7E">
        <w:rPr>
          <w:rFonts w:cs="Arial"/>
          <w:b/>
        </w:rPr>
        <w:br/>
      </w:r>
      <w:r w:rsidRPr="008B1E7E">
        <w:rPr>
          <w:rFonts w:ascii="ArialMT" w:hAnsi="ArialMT" w:cs="ArialMT"/>
        </w:rPr>
        <w:t xml:space="preserve">The spirit of the issue question is to gain input from </w:t>
      </w:r>
      <w:r w:rsidRPr="008B1E7E">
        <w:rPr>
          <w:rFonts w:ascii="ArialMT" w:hAnsi="ArialMT" w:cs="ArialMT"/>
          <w:b/>
          <w:i/>
        </w:rPr>
        <w:t>informal medical leaders</w:t>
      </w:r>
      <w:r w:rsidRPr="008B1E7E">
        <w:rPr>
          <w:rFonts w:ascii="ArialMT" w:hAnsi="ArialMT" w:cs="ArialMT"/>
        </w:rPr>
        <w:t xml:space="preserve"> who everyone respects in an organization</w:t>
      </w:r>
      <w:r w:rsidRPr="00F02807">
        <w:rPr>
          <w:rFonts w:ascii="ArialMT" w:hAnsi="ArialMT" w:cs="ArialMT"/>
        </w:rPr>
        <w:t xml:space="preserve"> either for great competence or for significant volume of patients they see and care for or both. Often they do not have a significant position in the hierarchal structure of an organization; however carry a great deal of influence over how the organization is run thus they are informal leaders who can be change agents and “accelerators or barriers for improvement”.</w:t>
      </w:r>
      <w:r>
        <w:rPr>
          <w:rFonts w:ascii="ArialMT" w:hAnsi="ArialMT" w:cs="ArialMT"/>
        </w:rPr>
        <w:t xml:space="preserve"> </w:t>
      </w:r>
      <w:r w:rsidRPr="00F02807">
        <w:rPr>
          <w:rFonts w:ascii="ArialMT" w:hAnsi="ArialMT" w:cs="ArialMT"/>
        </w:rPr>
        <w:t xml:space="preserve">If governance and administrative leaders ensure that input regarding patient safety programs is sought from such informal medical leaders in a routine manner and is documented, then an organization may affirmatively acknowledge that such actions have been taken and if a mechanism is established to seek such information then an organization may affirmatively acknowledge so in </w:t>
      </w:r>
      <w:r w:rsidRPr="00F02807">
        <w:rPr>
          <w:rFonts w:ascii="ArialMT" w:hAnsi="ArialMT" w:cs="ArialMT"/>
        </w:rPr>
        <w:lastRenderedPageBreak/>
        <w:t>their answer.</w:t>
      </w:r>
      <w:r>
        <w:rPr>
          <w:rFonts w:ascii="ArialMT" w:hAnsi="ArialMT" w:cs="ArialMT"/>
        </w:rPr>
        <w:br/>
      </w:r>
    </w:p>
    <w:p w14:paraId="5A40DFD2" w14:textId="1CF7F2A5" w:rsidR="00FF653C" w:rsidRPr="003F7FFA" w:rsidRDefault="002A499B" w:rsidP="003F7FFA">
      <w:pPr>
        <w:pStyle w:val="Heading44"/>
      </w:pPr>
      <w:r>
        <w:t xml:space="preserve">6B: </w:t>
      </w:r>
      <w:r w:rsidR="00FF653C" w:rsidRPr="003F7FFA">
        <w:t>Safe Practice # 2</w:t>
      </w:r>
      <w:r w:rsidR="00E2138E" w:rsidRPr="003F7FFA">
        <w:t xml:space="preserve"> </w:t>
      </w:r>
      <w:r w:rsidR="00FF653C" w:rsidRPr="003F7FFA">
        <w:t>Culture Measurement, Feedback, and Intervention</w:t>
      </w:r>
    </w:p>
    <w:p w14:paraId="05D7513C" w14:textId="77777777" w:rsidR="00DA026D" w:rsidRPr="00E2138E" w:rsidRDefault="00DA026D" w:rsidP="00FB3C44">
      <w:pPr>
        <w:pStyle w:val="Heading44"/>
        <w:rPr>
          <w:sz w:val="24"/>
        </w:rPr>
      </w:pPr>
    </w:p>
    <w:p w14:paraId="30542B63" w14:textId="3DEE8293" w:rsidR="00FF653C" w:rsidRPr="008B1E7E" w:rsidRDefault="00FF653C" w:rsidP="00ED58C1">
      <w:pPr>
        <w:numPr>
          <w:ilvl w:val="0"/>
          <w:numId w:val="66"/>
        </w:numPr>
        <w:tabs>
          <w:tab w:val="num" w:pos="0"/>
        </w:tabs>
        <w:rPr>
          <w:b/>
          <w:color w:val="000080"/>
        </w:rPr>
      </w:pPr>
      <w:r w:rsidRPr="008B1E7E">
        <w:rPr>
          <w:b/>
        </w:rPr>
        <w:t>2.1a:</w:t>
      </w:r>
      <w:r w:rsidR="008B1E7E" w:rsidRPr="008B1E7E">
        <w:rPr>
          <w:b/>
        </w:rPr>
        <w:t xml:space="preserve"> </w:t>
      </w:r>
      <w:r w:rsidRPr="008B1E7E">
        <w:rPr>
          <w:b/>
        </w:rPr>
        <w:t>What qualifies as a cultural survey? Does an employee satisfaction survey qualify?</w:t>
      </w:r>
      <w:r w:rsidRPr="008B1E7E">
        <w:rPr>
          <w:b/>
        </w:rPr>
        <w:br/>
      </w:r>
      <w:r w:rsidRPr="008B1E7E">
        <w:t>A number of surveys are readily available that specifically address culture, safety climate, and teamwork. These surveys incorporate all of the additional specifications as outlined in NQF Safe Practice 2 (see 2010 NQF Safe Practice Report). A general employee satisfaction survey that has a small component of the survey addressing organizational culture does not qualify.</w:t>
      </w:r>
      <w:r w:rsidR="002C7112">
        <w:t xml:space="preserve"> See end</w:t>
      </w:r>
      <w:r w:rsidR="008B1E7E" w:rsidRPr="008B1E7E">
        <w:t xml:space="preserve">note </w:t>
      </w:r>
      <w:r w:rsidR="002C7112" w:rsidRPr="008B1E7E">
        <w:t>3</w:t>
      </w:r>
      <w:r w:rsidR="002C7112">
        <w:t>5</w:t>
      </w:r>
      <w:r w:rsidR="008B1E7E" w:rsidRPr="008B1E7E">
        <w:t>.</w:t>
      </w:r>
      <w:r w:rsidRPr="008B1E7E">
        <w:t xml:space="preserve"> </w:t>
      </w:r>
    </w:p>
    <w:p w14:paraId="28113E79" w14:textId="77777777" w:rsidR="00DA026D" w:rsidRPr="008B1E7E" w:rsidRDefault="00DA026D" w:rsidP="00DA026D">
      <w:pPr>
        <w:ind w:left="576"/>
        <w:rPr>
          <w:b/>
          <w:color w:val="000080"/>
        </w:rPr>
      </w:pPr>
    </w:p>
    <w:p w14:paraId="389662B4" w14:textId="77777777" w:rsidR="00DA026D" w:rsidRPr="008B1E7E" w:rsidRDefault="00DA026D" w:rsidP="00ED58C1">
      <w:pPr>
        <w:numPr>
          <w:ilvl w:val="0"/>
          <w:numId w:val="66"/>
        </w:numPr>
        <w:tabs>
          <w:tab w:val="num" w:pos="0"/>
        </w:tabs>
        <w:rPr>
          <w:b/>
          <w:color w:val="000080"/>
        </w:rPr>
      </w:pPr>
      <w:r w:rsidRPr="008B1E7E">
        <w:rPr>
          <w:b/>
        </w:rPr>
        <w:t>2.1b</w:t>
      </w:r>
      <w:r w:rsidR="008B1E7E" w:rsidRPr="008B1E7E">
        <w:rPr>
          <w:b/>
        </w:rPr>
        <w:t xml:space="preserve">: </w:t>
      </w:r>
      <w:r w:rsidRPr="008B1E7E">
        <w:rPr>
          <w:b/>
        </w:rPr>
        <w:t>For reporting individual unit level results, what is the minimum number of responses we should have?</w:t>
      </w:r>
    </w:p>
    <w:p w14:paraId="7C555673" w14:textId="77777777" w:rsidR="001A387F" w:rsidRPr="008B1E7E" w:rsidRDefault="00DA026D" w:rsidP="001A387F">
      <w:pPr>
        <w:ind w:left="576"/>
      </w:pPr>
      <w:r w:rsidRPr="008B1E7E">
        <w:t>Major vendors use a threshold of 5 or more responses and 40% response rate.  For larger units, a lower response rate may be acceptable. If a unit does not meet these thresholds, your hospital could aggregate the results of ‘like’ units together (e.g., med/surg units, ICUs, ORs).  Hospitals should not combine results across ‘dislike’ units.</w:t>
      </w:r>
    </w:p>
    <w:p w14:paraId="70E2696B" w14:textId="77777777" w:rsidR="001A387F" w:rsidRPr="008B1E7E" w:rsidRDefault="001A387F" w:rsidP="001A387F">
      <w:pPr>
        <w:ind w:left="576"/>
        <w:rPr>
          <w:color w:val="000080"/>
        </w:rPr>
      </w:pPr>
    </w:p>
    <w:p w14:paraId="38F32096" w14:textId="77777777" w:rsidR="001A387F" w:rsidRPr="008B1E7E" w:rsidRDefault="001A387F" w:rsidP="00ED58C1">
      <w:pPr>
        <w:pStyle w:val="ListParagraph"/>
        <w:numPr>
          <w:ilvl w:val="0"/>
          <w:numId w:val="66"/>
        </w:numPr>
      </w:pPr>
      <w:r w:rsidRPr="008B1E7E">
        <w:rPr>
          <w:b/>
        </w:rPr>
        <w:t>2.2a:</w:t>
      </w:r>
      <w:r w:rsidRPr="008B1E7E">
        <w:t xml:space="preserve"> </w:t>
      </w:r>
      <w:r w:rsidRPr="008B1E7E">
        <w:rPr>
          <w:b/>
        </w:rPr>
        <w:t>Senior administrative leadership requires that all departments participate in the culture of safety survey.  Does this requirement meet the intent of Safe Practice?</w:t>
      </w:r>
    </w:p>
    <w:p w14:paraId="6235F7ED" w14:textId="77777777" w:rsidR="001A387F" w:rsidRPr="008B1E7E" w:rsidRDefault="001A387F" w:rsidP="001A387F">
      <w:pPr>
        <w:pStyle w:val="ListParagraph"/>
        <w:ind w:left="576"/>
      </w:pPr>
      <w:r w:rsidRPr="008B1E7E">
        <w:t>If senior leadership requires that ALL departments participate in the survey, then the intent of this safe practice is met.</w:t>
      </w:r>
    </w:p>
    <w:p w14:paraId="4B752C58" w14:textId="77777777" w:rsidR="00DA026D" w:rsidRPr="008B1E7E" w:rsidRDefault="00DA026D" w:rsidP="00DA026D">
      <w:pPr>
        <w:ind w:left="576"/>
      </w:pPr>
    </w:p>
    <w:p w14:paraId="6932FF5D" w14:textId="77777777" w:rsidR="00DA026D" w:rsidRPr="008B1E7E" w:rsidRDefault="00DA026D" w:rsidP="00ED58C1">
      <w:pPr>
        <w:numPr>
          <w:ilvl w:val="0"/>
          <w:numId w:val="66"/>
        </w:numPr>
        <w:tabs>
          <w:tab w:val="num" w:pos="0"/>
        </w:tabs>
        <w:rPr>
          <w:b/>
        </w:rPr>
      </w:pPr>
      <w:r w:rsidRPr="008B1E7E">
        <w:rPr>
          <w:b/>
        </w:rPr>
        <w:t>2.3a</w:t>
      </w:r>
      <w:r w:rsidR="008B1E7E">
        <w:rPr>
          <w:b/>
        </w:rPr>
        <w:t xml:space="preserve">: </w:t>
      </w:r>
      <w:r w:rsidRPr="008B1E7E">
        <w:rPr>
          <w:b/>
        </w:rPr>
        <w:t>Which employees should be included in the staff education program?  Employees in all units or just those in low-performing units?</w:t>
      </w:r>
    </w:p>
    <w:p w14:paraId="647B72FE" w14:textId="77777777" w:rsidR="00DA026D" w:rsidRPr="008B1E7E" w:rsidRDefault="00DA026D" w:rsidP="00DA026D">
      <w:pPr>
        <w:ind w:left="576"/>
      </w:pPr>
      <w:r w:rsidRPr="008B1E7E">
        <w:t>Staff education needs to include education for senior executives and leadership.  As all units have opportunities for improvement, the staff education should be given to every employee, focusing on the deficiencies of that specific unit.</w:t>
      </w:r>
    </w:p>
    <w:p w14:paraId="6EF75CCD" w14:textId="77777777" w:rsidR="00FF653C" w:rsidRDefault="00FF653C" w:rsidP="00FF653C">
      <w:pPr>
        <w:rPr>
          <w:b/>
          <w:color w:val="000080"/>
          <w:sz w:val="24"/>
          <w:szCs w:val="24"/>
        </w:rPr>
      </w:pPr>
    </w:p>
    <w:p w14:paraId="22B01F35" w14:textId="6F245A90" w:rsidR="00FF653C" w:rsidRPr="003F7FFA" w:rsidRDefault="002A499B" w:rsidP="003F7FFA">
      <w:pPr>
        <w:pStyle w:val="Heading44"/>
      </w:pPr>
      <w:r>
        <w:t xml:space="preserve">6C: </w:t>
      </w:r>
      <w:r w:rsidR="00FF653C" w:rsidRPr="003F7FFA">
        <w:t>Safe Practice #3</w:t>
      </w:r>
      <w:r w:rsidR="00E2138E" w:rsidRPr="003F7FFA">
        <w:t xml:space="preserve"> </w:t>
      </w:r>
      <w:r w:rsidR="00FF653C" w:rsidRPr="003F7FFA">
        <w:t>Teamwork Training and Skill Building</w:t>
      </w:r>
    </w:p>
    <w:p w14:paraId="59A9FC1C" w14:textId="77777777" w:rsidR="00AF221D" w:rsidRPr="008B1E7E" w:rsidRDefault="00AF221D" w:rsidP="008B1E7E">
      <w:pPr>
        <w:ind w:left="576"/>
        <w:rPr>
          <w:b/>
          <w:color w:val="000080"/>
          <w:u w:val="single"/>
        </w:rPr>
      </w:pPr>
    </w:p>
    <w:p w14:paraId="69399F6D" w14:textId="77777777" w:rsidR="009B2298" w:rsidRPr="008B1E7E" w:rsidRDefault="009B2298" w:rsidP="00ED58C1">
      <w:pPr>
        <w:numPr>
          <w:ilvl w:val="0"/>
          <w:numId w:val="66"/>
        </w:numPr>
        <w:tabs>
          <w:tab w:val="num" w:pos="0"/>
        </w:tabs>
        <w:rPr>
          <w:b/>
        </w:rPr>
      </w:pPr>
      <w:r w:rsidRPr="008B1E7E">
        <w:rPr>
          <w:b/>
        </w:rPr>
        <w:t>3.1b</w:t>
      </w:r>
      <w:r w:rsidR="008B1E7E">
        <w:rPr>
          <w:b/>
        </w:rPr>
        <w:t xml:space="preserve">: </w:t>
      </w:r>
      <w:r w:rsidRPr="008B1E7E">
        <w:rPr>
          <w:b/>
        </w:rPr>
        <w:t>Any suggestions of resources we can use to determine processes in need</w:t>
      </w:r>
      <w:r w:rsidR="001B32C9" w:rsidRPr="008B1E7E">
        <w:rPr>
          <w:b/>
        </w:rPr>
        <w:t xml:space="preserve"> of</w:t>
      </w:r>
      <w:r w:rsidRPr="008B1E7E">
        <w:rPr>
          <w:b/>
        </w:rPr>
        <w:t xml:space="preserve"> teamwork improvement?</w:t>
      </w:r>
    </w:p>
    <w:p w14:paraId="62A60FF5" w14:textId="77777777" w:rsidR="009B2298" w:rsidRPr="008B1E7E" w:rsidRDefault="009B2298" w:rsidP="009B2298">
      <w:pPr>
        <w:ind w:left="576"/>
      </w:pPr>
      <w:r w:rsidRPr="008B1E7E">
        <w:t>One helpful resource may be the Team Training Needs Analysis.</w:t>
      </w:r>
    </w:p>
    <w:p w14:paraId="17BF1168" w14:textId="77777777" w:rsidR="009B2298" w:rsidRPr="008B1E7E" w:rsidRDefault="009B2298" w:rsidP="009B2298">
      <w:pPr>
        <w:ind w:left="576"/>
      </w:pPr>
    </w:p>
    <w:p w14:paraId="180B8FBC" w14:textId="77777777" w:rsidR="009B2298" w:rsidRPr="008B1E7E" w:rsidRDefault="009B2298" w:rsidP="00ED58C1">
      <w:pPr>
        <w:numPr>
          <w:ilvl w:val="0"/>
          <w:numId w:val="66"/>
        </w:numPr>
        <w:tabs>
          <w:tab w:val="num" w:pos="0"/>
        </w:tabs>
        <w:rPr>
          <w:b/>
        </w:rPr>
      </w:pPr>
      <w:r w:rsidRPr="008B1E7E">
        <w:rPr>
          <w:b/>
        </w:rPr>
        <w:t>3.1e</w:t>
      </w:r>
      <w:r w:rsidR="008B1E7E">
        <w:rPr>
          <w:b/>
        </w:rPr>
        <w:t xml:space="preserve">: </w:t>
      </w:r>
      <w:r w:rsidRPr="008B1E7E">
        <w:rPr>
          <w:b/>
        </w:rPr>
        <w:t>What is the conceptual link between teamwork and rapid response systems?</w:t>
      </w:r>
    </w:p>
    <w:p w14:paraId="0E95E7AE" w14:textId="77777777" w:rsidR="009B2298" w:rsidRPr="008B1E7E" w:rsidRDefault="009B2298" w:rsidP="009B2298">
      <w:pPr>
        <w:ind w:left="576"/>
      </w:pPr>
      <w:r w:rsidRPr="008B1E7E">
        <w:t xml:space="preserve">Rapid response systems are ideally multidisciplinary, which requires a particular focus on teamwork.  For more information, please see </w:t>
      </w:r>
      <w:r w:rsidRPr="008B1E7E">
        <w:rPr>
          <w:i/>
        </w:rPr>
        <w:t>AHRQ’s TEAMSTEEPPS Training</w:t>
      </w:r>
      <w:r w:rsidRPr="008B1E7E">
        <w:t xml:space="preserve"> and </w:t>
      </w:r>
      <w:r w:rsidRPr="008B1E7E">
        <w:rPr>
          <w:i/>
        </w:rPr>
        <w:t>AHA’s Team-Based Health Care Delivery: Lessons from the Field.</w:t>
      </w:r>
    </w:p>
    <w:p w14:paraId="27E5C385" w14:textId="77777777" w:rsidR="009B2298" w:rsidRPr="008B1E7E" w:rsidRDefault="009B2298" w:rsidP="009B2298">
      <w:pPr>
        <w:rPr>
          <w:b/>
        </w:rPr>
      </w:pPr>
    </w:p>
    <w:p w14:paraId="348A9FD5" w14:textId="77777777" w:rsidR="009B2298" w:rsidRPr="008B1E7E" w:rsidRDefault="009B2298" w:rsidP="00ED58C1">
      <w:pPr>
        <w:numPr>
          <w:ilvl w:val="0"/>
          <w:numId w:val="66"/>
        </w:numPr>
        <w:tabs>
          <w:tab w:val="num" w:pos="0"/>
        </w:tabs>
        <w:rPr>
          <w:b/>
        </w:rPr>
      </w:pPr>
      <w:r w:rsidRPr="008B1E7E">
        <w:rPr>
          <w:b/>
        </w:rPr>
        <w:t>3.2b: How should teamwork training be provided to the stakeholder groups listed?</w:t>
      </w:r>
    </w:p>
    <w:p w14:paraId="4522720A" w14:textId="77777777" w:rsidR="009B2298" w:rsidRPr="008B1E7E" w:rsidRDefault="009B2298" w:rsidP="009B2298">
      <w:pPr>
        <w:ind w:left="576"/>
      </w:pPr>
      <w:r w:rsidRPr="008B1E7E">
        <w:t>For front-line staff, the most valuable way of teaching teamwork are practice-based methods (e.g., simulation) followed by a discussion. For senior leaders and the Board, it would be appropriate for them to watch a taped simulation and to have case-based discussions around sentinel events, causes of failure, and how teamwork could be improved to help prevent those from happening again.</w:t>
      </w:r>
    </w:p>
    <w:p w14:paraId="557DC44C" w14:textId="77777777" w:rsidR="00FF653C" w:rsidRDefault="00FF653C" w:rsidP="00FF653C">
      <w:pPr>
        <w:rPr>
          <w:b/>
          <w:color w:val="000080"/>
          <w:u w:val="single"/>
        </w:rPr>
      </w:pPr>
    </w:p>
    <w:p w14:paraId="54E06935" w14:textId="60B3301C" w:rsidR="00FF653C" w:rsidRPr="003F7FFA" w:rsidRDefault="002A499B" w:rsidP="003F7FFA">
      <w:pPr>
        <w:pStyle w:val="Heading44"/>
      </w:pPr>
      <w:r>
        <w:t xml:space="preserve">6D: </w:t>
      </w:r>
      <w:r w:rsidR="00FF653C" w:rsidRPr="003F7FFA">
        <w:t>Safe Practice #4</w:t>
      </w:r>
      <w:r w:rsidR="00E2138E" w:rsidRPr="003F7FFA">
        <w:t xml:space="preserve"> </w:t>
      </w:r>
      <w:r w:rsidR="00FF653C" w:rsidRPr="003F7FFA">
        <w:t>Identification &amp; Mitigation of Risks and Hazards</w:t>
      </w:r>
    </w:p>
    <w:p w14:paraId="4030E8AD" w14:textId="77777777" w:rsidR="00DA026D" w:rsidRPr="00E2138E" w:rsidRDefault="00DA026D" w:rsidP="00FB3C44">
      <w:pPr>
        <w:pStyle w:val="Heading44"/>
        <w:rPr>
          <w:sz w:val="24"/>
          <w:szCs w:val="24"/>
        </w:rPr>
      </w:pPr>
    </w:p>
    <w:p w14:paraId="2F5B0732" w14:textId="77777777" w:rsidR="00FF653C" w:rsidRPr="000B316F" w:rsidRDefault="00FF653C" w:rsidP="00ED58C1">
      <w:pPr>
        <w:numPr>
          <w:ilvl w:val="0"/>
          <w:numId w:val="66"/>
        </w:numPr>
        <w:tabs>
          <w:tab w:val="left" w:pos="0"/>
        </w:tabs>
      </w:pPr>
      <w:r w:rsidRPr="000B316F">
        <w:rPr>
          <w:b/>
        </w:rPr>
        <w:t>4.1a</w:t>
      </w:r>
      <w:r w:rsidR="000B316F" w:rsidRPr="000B316F">
        <w:rPr>
          <w:b/>
        </w:rPr>
        <w:t xml:space="preserve">: </w:t>
      </w:r>
      <w:r w:rsidRPr="000B316F">
        <w:rPr>
          <w:b/>
        </w:rPr>
        <w:t>Can</w:t>
      </w:r>
      <w:r w:rsidRPr="00AF1193">
        <w:rPr>
          <w:b/>
        </w:rPr>
        <w:t xml:space="preserve"> data collection from use of Trigger Tool</w:t>
      </w:r>
      <w:r>
        <w:rPr>
          <w:b/>
        </w:rPr>
        <w:t>s</w:t>
      </w:r>
      <w:r w:rsidRPr="00AF1193">
        <w:rPr>
          <w:b/>
        </w:rPr>
        <w:t xml:space="preserve"> be used for this </w:t>
      </w:r>
      <w:r>
        <w:rPr>
          <w:b/>
        </w:rPr>
        <w:t>S</w:t>
      </w:r>
      <w:r w:rsidRPr="00AF1193">
        <w:rPr>
          <w:b/>
        </w:rPr>
        <w:t xml:space="preserve">afe </w:t>
      </w:r>
      <w:r>
        <w:rPr>
          <w:b/>
        </w:rPr>
        <w:t>P</w:t>
      </w:r>
      <w:r w:rsidRPr="00AF1193">
        <w:rPr>
          <w:b/>
        </w:rPr>
        <w:t>ractice</w:t>
      </w:r>
      <w:r>
        <w:rPr>
          <w:b/>
        </w:rPr>
        <w:t xml:space="preserve"> </w:t>
      </w:r>
      <w:r w:rsidRPr="008C467D">
        <w:rPr>
          <w:b/>
        </w:rPr>
        <w:t>Element?</w:t>
      </w:r>
      <w:r>
        <w:rPr>
          <w:b/>
        </w:rPr>
        <w:br/>
      </w:r>
      <w:r w:rsidRPr="000B316F">
        <w:t>Yes. As outlined in the Additional Specifications Retrospective as well as Real Time or Near Real Time Trigger Tools are an important component. Supporting source data may include the number of charts reviewed using a Trigger Tool performed manually or on an automated basis.</w:t>
      </w:r>
      <w:r w:rsidRPr="000B316F">
        <w:br/>
      </w:r>
    </w:p>
    <w:p w14:paraId="522FD48B" w14:textId="77777777" w:rsidR="009B2298" w:rsidRPr="000B316F" w:rsidRDefault="00FF653C" w:rsidP="00ED58C1">
      <w:pPr>
        <w:numPr>
          <w:ilvl w:val="0"/>
          <w:numId w:val="66"/>
        </w:numPr>
        <w:tabs>
          <w:tab w:val="left" w:pos="0"/>
        </w:tabs>
        <w:rPr>
          <w:b/>
        </w:rPr>
      </w:pPr>
      <w:r w:rsidRPr="000B316F">
        <w:rPr>
          <w:b/>
        </w:rPr>
        <w:t>4.1a:  What is meant by “reviewing retrospective sources”?</w:t>
      </w:r>
      <w:r w:rsidRPr="000B316F">
        <w:rPr>
          <w:b/>
        </w:rPr>
        <w:br/>
      </w:r>
      <w:r w:rsidRPr="000B316F">
        <w:t xml:space="preserve">As addressed in the NQF Safe Practice Report, organizations should employ various tools that assist them in identification of risks and hazards as close to or at the time that they may occur. </w:t>
      </w:r>
      <w:r w:rsidRPr="000B316F">
        <w:lastRenderedPageBreak/>
        <w:t xml:space="preserve">Some of these may include Trigger Tools that send “flags” or messaging electronically that something could or already has transpired that needs immediate attention, direct observations of potential or real safety-related instances during the walk-rounds process, as well as immediate identification through “stop the line” actions that are further evaluated. </w:t>
      </w:r>
      <w:r w:rsidRPr="000B316F">
        <w:br/>
      </w:r>
      <w:r w:rsidRPr="000B316F">
        <w:br/>
        <w:t>Other tools may include analysis of existing documentation of problems with safety—such as: complaints, litigation, problems with accreditation, etc. These events should trigger action at the time of occurrence and can be analyzed with other important indicators, such as mortality and morb</w:t>
      </w:r>
      <w:r w:rsidR="009B2298" w:rsidRPr="000B316F">
        <w:t>idity related to care delivery.</w:t>
      </w:r>
    </w:p>
    <w:p w14:paraId="0FF9A800" w14:textId="77777777" w:rsidR="009B2298" w:rsidRPr="000B316F" w:rsidRDefault="009B2298" w:rsidP="009B2298">
      <w:pPr>
        <w:tabs>
          <w:tab w:val="left" w:pos="0"/>
        </w:tabs>
        <w:ind w:left="576"/>
        <w:rPr>
          <w:b/>
        </w:rPr>
      </w:pPr>
    </w:p>
    <w:p w14:paraId="77AEB0C2" w14:textId="77777777" w:rsidR="009B2298" w:rsidRPr="000B316F" w:rsidRDefault="009B2298" w:rsidP="00ED58C1">
      <w:pPr>
        <w:numPr>
          <w:ilvl w:val="0"/>
          <w:numId w:val="66"/>
        </w:numPr>
        <w:tabs>
          <w:tab w:val="num" w:pos="0"/>
        </w:tabs>
        <w:rPr>
          <w:b/>
        </w:rPr>
      </w:pPr>
      <w:r w:rsidRPr="000B316F">
        <w:rPr>
          <w:b/>
        </w:rPr>
        <w:t>4.1a:  Does our hospital need to have a list of recommendations for improvement based on the analysis from using multiple retrospective sources?</w:t>
      </w:r>
    </w:p>
    <w:p w14:paraId="03BFFB7D" w14:textId="77777777" w:rsidR="009B2298" w:rsidRPr="000B316F" w:rsidRDefault="009B2298" w:rsidP="009B2298">
      <w:pPr>
        <w:ind w:left="576"/>
      </w:pPr>
      <w:r w:rsidRPr="000B316F">
        <w:t xml:space="preserve">Yes, that is a fair expectation of hospitals that they generate a list of recommendations for improvement. Hospitals may find using a severity/frequency/risk assessment grid to identify which risks and hazards the hospital needs to focus on. </w:t>
      </w:r>
    </w:p>
    <w:p w14:paraId="771FAB5F" w14:textId="77777777" w:rsidR="00FF653C" w:rsidRPr="000B316F" w:rsidRDefault="00FF653C" w:rsidP="009B2298">
      <w:pPr>
        <w:tabs>
          <w:tab w:val="left" w:pos="0"/>
        </w:tabs>
        <w:rPr>
          <w:b/>
        </w:rPr>
      </w:pPr>
    </w:p>
    <w:p w14:paraId="14FE47DC" w14:textId="77777777" w:rsidR="00FF653C" w:rsidRPr="000B316F" w:rsidRDefault="00FF653C" w:rsidP="00ED58C1">
      <w:pPr>
        <w:numPr>
          <w:ilvl w:val="0"/>
          <w:numId w:val="66"/>
        </w:numPr>
        <w:tabs>
          <w:tab w:val="left" w:pos="0"/>
        </w:tabs>
      </w:pPr>
      <w:r w:rsidRPr="000B316F">
        <w:rPr>
          <w:b/>
        </w:rPr>
        <w:t xml:space="preserve">4.1b:  What is meant by “prospective identification </w:t>
      </w:r>
      <w:r w:rsidR="00F50F1A">
        <w:rPr>
          <w:b/>
        </w:rPr>
        <w:t>methods</w:t>
      </w:r>
      <w:r w:rsidRPr="000B316F">
        <w:rPr>
          <w:b/>
        </w:rPr>
        <w:t xml:space="preserve">”? </w:t>
      </w:r>
      <w:r w:rsidRPr="000B316F">
        <w:rPr>
          <w:b/>
        </w:rPr>
        <w:br/>
      </w:r>
      <w:r w:rsidRPr="000B316F">
        <w:t xml:space="preserve">Proactive identification of risks and hazards involves use of </w:t>
      </w:r>
      <w:r w:rsidR="00F50F1A">
        <w:t>methods</w:t>
      </w:r>
      <w:r w:rsidR="00F50F1A" w:rsidRPr="000B316F">
        <w:t xml:space="preserve"> </w:t>
      </w:r>
      <w:r w:rsidRPr="000B316F">
        <w:t xml:space="preserve">in areas identified as being high-risk, such as Failure Modes and Effects Analysis (FMEA) and Probabilistic Risk Assessment (PRA). Organizations are most likely most familiar and have some experience with the FMEA process in conjunction with current Joint Commission standards requirements. </w:t>
      </w:r>
      <w:r w:rsidRPr="000B316F">
        <w:br/>
      </w:r>
      <w:r w:rsidRPr="000B316F">
        <w:br/>
        <w:t xml:space="preserve">The NQF Report includes several references that further illustrate how to employ use of these tools as a means to systematically identify possible failure areas before these events occur. </w:t>
      </w:r>
    </w:p>
    <w:p w14:paraId="7A178F92" w14:textId="77777777" w:rsidR="00FF653C" w:rsidRPr="000B316F" w:rsidRDefault="00FF653C" w:rsidP="00FF653C">
      <w:pPr>
        <w:tabs>
          <w:tab w:val="left" w:pos="0"/>
        </w:tabs>
      </w:pPr>
    </w:p>
    <w:p w14:paraId="74EBCD45" w14:textId="02342603" w:rsidR="00FF653C" w:rsidRPr="000B316F" w:rsidRDefault="00FF653C" w:rsidP="00ED58C1">
      <w:pPr>
        <w:numPr>
          <w:ilvl w:val="0"/>
          <w:numId w:val="66"/>
        </w:numPr>
        <w:tabs>
          <w:tab w:val="left" w:pos="0"/>
        </w:tabs>
      </w:pPr>
      <w:r w:rsidRPr="000B316F">
        <w:rPr>
          <w:b/>
        </w:rPr>
        <w:t>4.3b:  What would be an example of training that can be provided to managers on tools for monitoring risk?</w:t>
      </w:r>
    </w:p>
    <w:p w14:paraId="152ECC60" w14:textId="77777777" w:rsidR="00FF653C" w:rsidRPr="000B316F" w:rsidRDefault="00FF653C" w:rsidP="00FF653C">
      <w:pPr>
        <w:tabs>
          <w:tab w:val="left" w:pos="0"/>
        </w:tabs>
        <w:ind w:left="576" w:hanging="576"/>
      </w:pPr>
      <w:r w:rsidRPr="000B316F">
        <w:rPr>
          <w:b/>
        </w:rPr>
        <w:tab/>
      </w:r>
      <w:r w:rsidRPr="000B316F">
        <w:t>One example of training provided to managers on a tool that monitors risk is the Tinetti Balance Assessment. Training on the use of risk monitoring tools, such as the Tinetti Balance Assessment, may be performed by external educators or may utilize internal resources.</w:t>
      </w:r>
    </w:p>
    <w:p w14:paraId="3F633F8A" w14:textId="77777777" w:rsidR="002240F4" w:rsidRPr="000B316F" w:rsidRDefault="002240F4" w:rsidP="00FF653C">
      <w:pPr>
        <w:tabs>
          <w:tab w:val="left" w:pos="0"/>
        </w:tabs>
        <w:ind w:left="576" w:hanging="576"/>
      </w:pPr>
    </w:p>
    <w:p w14:paraId="5D89619B" w14:textId="77777777" w:rsidR="002240F4" w:rsidRPr="000B316F" w:rsidRDefault="002240F4" w:rsidP="00ED58C1">
      <w:pPr>
        <w:numPr>
          <w:ilvl w:val="0"/>
          <w:numId w:val="66"/>
        </w:numPr>
        <w:tabs>
          <w:tab w:val="num" w:pos="0"/>
        </w:tabs>
        <w:rPr>
          <w:b/>
        </w:rPr>
      </w:pPr>
      <w:r w:rsidRPr="000B316F">
        <w:rPr>
          <w:b/>
        </w:rPr>
        <w:t>4.4a: Is it acceptable for a hospital to provide risk identification training on one specific risk?</w:t>
      </w:r>
    </w:p>
    <w:p w14:paraId="7A72544B" w14:textId="77777777" w:rsidR="002240F4" w:rsidRPr="000B316F" w:rsidRDefault="002240F4" w:rsidP="002240F4">
      <w:pPr>
        <w:ind w:left="576"/>
      </w:pPr>
      <w:r w:rsidRPr="000B316F">
        <w:t>No.  Training would need to be on a broader set of risks.  Ideally, hospitals would stress in the training a generalizable set of skills that could help with the mitigation of all risks.</w:t>
      </w:r>
    </w:p>
    <w:p w14:paraId="0F18AB0C" w14:textId="77777777" w:rsidR="00FF653C" w:rsidRPr="000B316F" w:rsidRDefault="00FF653C" w:rsidP="00FF653C">
      <w:pPr>
        <w:rPr>
          <w:b/>
          <w:sz w:val="24"/>
        </w:rPr>
      </w:pPr>
    </w:p>
    <w:p w14:paraId="4066B11E" w14:textId="55498E4B" w:rsidR="00FF653C" w:rsidRPr="003F7FFA" w:rsidRDefault="002A499B" w:rsidP="003F7FFA">
      <w:pPr>
        <w:pStyle w:val="Heading44"/>
      </w:pPr>
      <w:r>
        <w:t xml:space="preserve">6E: </w:t>
      </w:r>
      <w:r w:rsidR="00FF653C" w:rsidRPr="003F7FFA">
        <w:t>Safe Practice # 9</w:t>
      </w:r>
      <w:r w:rsidR="00E2138E" w:rsidRPr="003F7FFA">
        <w:t xml:space="preserve"> </w:t>
      </w:r>
      <w:r w:rsidR="00FF653C" w:rsidRPr="003F7FFA">
        <w:t>Nursing Workforce</w:t>
      </w:r>
    </w:p>
    <w:p w14:paraId="3EA5A9DC" w14:textId="77777777" w:rsidR="00DA026D" w:rsidRPr="000B316F" w:rsidRDefault="00DA026D" w:rsidP="00FB3C44">
      <w:pPr>
        <w:pStyle w:val="Heading44"/>
        <w:rPr>
          <w:color w:val="auto"/>
        </w:rPr>
      </w:pPr>
    </w:p>
    <w:p w14:paraId="74722E37" w14:textId="77777777" w:rsidR="00FF653C" w:rsidRPr="000B316F" w:rsidRDefault="00FF653C" w:rsidP="00ED58C1">
      <w:pPr>
        <w:numPr>
          <w:ilvl w:val="0"/>
          <w:numId w:val="66"/>
        </w:numPr>
        <w:tabs>
          <w:tab w:val="left" w:pos="0"/>
        </w:tabs>
      </w:pPr>
      <w:r w:rsidRPr="000B316F">
        <w:rPr>
          <w:b/>
          <w:bCs/>
        </w:rPr>
        <w:t>9.3:</w:t>
      </w:r>
      <w:r w:rsidR="000B316F">
        <w:rPr>
          <w:b/>
          <w:bCs/>
        </w:rPr>
        <w:t xml:space="preserve"> </w:t>
      </w:r>
      <w:r w:rsidRPr="000B316F">
        <w:rPr>
          <w:b/>
          <w:bCs/>
        </w:rPr>
        <w:t>How does a hospital receive credit for staffing performance improvement activities not planned in the budget?</w:t>
      </w:r>
      <w:r w:rsidRPr="000B316F">
        <w:rPr>
          <w:b/>
          <w:bCs/>
        </w:rPr>
        <w:br/>
      </w:r>
      <w:r w:rsidRPr="000B316F">
        <w:t>If a hospital has not allocated budget dollars for a performance improvement project tied to this safe practice but can demonstrate expenses tied to a project to improve nurse staffing targets in their organization they can receive credit for this question. In addition, plans to allocate specific budget dollars to this safe practice should be incorporated into the next upcoming budget year as an ongoing process to maintain appropriate staffing patterns.</w:t>
      </w:r>
      <w:r w:rsidRPr="000B316F">
        <w:br/>
      </w:r>
    </w:p>
    <w:p w14:paraId="5B63F741" w14:textId="77777777" w:rsidR="00FF653C" w:rsidRPr="000B316F" w:rsidRDefault="00FF653C" w:rsidP="00ED58C1">
      <w:pPr>
        <w:numPr>
          <w:ilvl w:val="0"/>
          <w:numId w:val="66"/>
        </w:numPr>
        <w:tabs>
          <w:tab w:val="left" w:pos="0"/>
        </w:tabs>
      </w:pPr>
      <w:r w:rsidRPr="000B316F">
        <w:rPr>
          <w:b/>
          <w:bCs/>
        </w:rPr>
        <w:t xml:space="preserve">9.4a: </w:t>
      </w:r>
      <w:r w:rsidRPr="000B316F">
        <w:rPr>
          <w:b/>
        </w:rPr>
        <w:t>What constitutes “</w:t>
      </w:r>
      <w:r w:rsidR="00476095" w:rsidRPr="000B316F">
        <w:rPr>
          <w:b/>
        </w:rPr>
        <w:t>a staffing plan</w:t>
      </w:r>
      <w:r w:rsidRPr="000B316F">
        <w:rPr>
          <w:b/>
        </w:rPr>
        <w:t>” related to nurse staffing targets?</w:t>
      </w:r>
      <w:r w:rsidRPr="000B316F">
        <w:rPr>
          <w:b/>
        </w:rPr>
        <w:br/>
      </w:r>
      <w:r w:rsidRPr="000B316F">
        <w:t>“</w:t>
      </w:r>
      <w:r w:rsidR="00476095" w:rsidRPr="000B316F">
        <w:t>A staffing plan</w:t>
      </w:r>
      <w:r w:rsidRPr="000B316F">
        <w:t>” refers to nursing policies and procedures or a specific process used by the organization to pre-determine appropriate staffing patterns based on usual patient mix and nursing qualifications.</w:t>
      </w:r>
      <w:r w:rsidR="000B316F">
        <w:t xml:space="preserve"> </w:t>
      </w:r>
      <w:r w:rsidR="00476095" w:rsidRPr="000B316F">
        <w:t>A hospital must demonstrate full achievement of their targets.</w:t>
      </w:r>
      <w:r w:rsidRPr="000B316F">
        <w:br/>
      </w:r>
    </w:p>
    <w:p w14:paraId="25115B72" w14:textId="77777777" w:rsidR="00FF653C" w:rsidRPr="000B316F" w:rsidRDefault="00FF653C" w:rsidP="00ED58C1">
      <w:pPr>
        <w:numPr>
          <w:ilvl w:val="0"/>
          <w:numId w:val="66"/>
        </w:numPr>
        <w:tabs>
          <w:tab w:val="left" w:pos="0"/>
        </w:tabs>
      </w:pPr>
      <w:r w:rsidRPr="000B316F">
        <w:rPr>
          <w:b/>
        </w:rPr>
        <w:t>9.4:</w:t>
      </w:r>
      <w:r w:rsidR="002410C4">
        <w:rPr>
          <w:b/>
        </w:rPr>
        <w:t xml:space="preserve"> </w:t>
      </w:r>
      <w:r w:rsidRPr="000B316F">
        <w:rPr>
          <w:b/>
        </w:rPr>
        <w:t>What staffing processes address the expectations of the Action answer of this Safe Practice?</w:t>
      </w:r>
      <w:r w:rsidRPr="000B316F">
        <w:rPr>
          <w:b/>
        </w:rPr>
        <w:br/>
      </w:r>
      <w:r w:rsidRPr="000B316F">
        <w:t>Recognizing that there is no galvanized number that represents “the correct” nurse staffing pattern, organizations must integrate a number of data sets into a staffing system that pre-defines and quantifies appropriate staffing targets. These data sets include:</w:t>
      </w:r>
    </w:p>
    <w:p w14:paraId="25EDEE4C" w14:textId="77777777" w:rsidR="00FF653C" w:rsidRPr="000B316F" w:rsidRDefault="00FF653C" w:rsidP="00ED58C1">
      <w:pPr>
        <w:numPr>
          <w:ilvl w:val="0"/>
          <w:numId w:val="71"/>
        </w:numPr>
      </w:pPr>
      <w:r w:rsidRPr="000B316F">
        <w:t>Historical Data (e.g., patient volumes, acuity levels, and staff volumes of direct caregivers)</w:t>
      </w:r>
    </w:p>
    <w:p w14:paraId="33DB90D5" w14:textId="77777777" w:rsidR="00FF653C" w:rsidRPr="000B316F" w:rsidRDefault="00FF653C" w:rsidP="00ED58C1">
      <w:pPr>
        <w:numPr>
          <w:ilvl w:val="0"/>
          <w:numId w:val="71"/>
        </w:numPr>
      </w:pPr>
      <w:r w:rsidRPr="000B316F">
        <w:lastRenderedPageBreak/>
        <w:t>Comparative Data (e.g., comparisons between similar units internally and comparative external data from hospitals of like size and geographic location)</w:t>
      </w:r>
    </w:p>
    <w:p w14:paraId="09501034" w14:textId="77777777" w:rsidR="00FF653C" w:rsidRPr="000B316F" w:rsidRDefault="00FF653C" w:rsidP="00ED58C1">
      <w:pPr>
        <w:numPr>
          <w:ilvl w:val="0"/>
          <w:numId w:val="71"/>
        </w:numPr>
      </w:pPr>
      <w:r w:rsidRPr="000B316F">
        <w:t>Clinical Outcomes</w:t>
      </w:r>
    </w:p>
    <w:p w14:paraId="5F8A3FAE" w14:textId="77777777" w:rsidR="00FF653C" w:rsidRPr="000B316F" w:rsidRDefault="00FF653C" w:rsidP="00ED58C1">
      <w:pPr>
        <w:numPr>
          <w:ilvl w:val="0"/>
          <w:numId w:val="71"/>
        </w:numPr>
      </w:pPr>
      <w:r w:rsidRPr="000B316F">
        <w:t>Skill Mix of Staff (e.g., licensing levels and educational training, years of experience, and volume of new graduates on a unit)</w:t>
      </w:r>
    </w:p>
    <w:p w14:paraId="55B9D72B" w14:textId="77777777" w:rsidR="00FF653C" w:rsidRPr="000B316F" w:rsidRDefault="00FF653C" w:rsidP="00ED58C1">
      <w:pPr>
        <w:numPr>
          <w:ilvl w:val="0"/>
          <w:numId w:val="71"/>
        </w:numPr>
      </w:pPr>
      <w:r w:rsidRPr="000B316F">
        <w:t>Physical environment (distance staff have to travel to access support equipment, visibility of patients, locations of nursing stations to patient rooms, etc.)</w:t>
      </w:r>
    </w:p>
    <w:p w14:paraId="5580681C" w14:textId="77777777" w:rsidR="00FF653C" w:rsidRPr="000B316F" w:rsidRDefault="00FF653C" w:rsidP="00ED58C1">
      <w:pPr>
        <w:numPr>
          <w:ilvl w:val="0"/>
          <w:numId w:val="71"/>
        </w:numPr>
      </w:pPr>
      <w:r w:rsidRPr="000B316F">
        <w:t>Type of patient care needs</w:t>
      </w:r>
    </w:p>
    <w:p w14:paraId="3A26CBB2" w14:textId="77777777" w:rsidR="00FF653C" w:rsidRPr="000B316F" w:rsidRDefault="00FF653C" w:rsidP="00ED58C1">
      <w:pPr>
        <w:numPr>
          <w:ilvl w:val="0"/>
          <w:numId w:val="71"/>
        </w:numPr>
      </w:pPr>
      <w:r w:rsidRPr="000B316F">
        <w:t>Support services available</w:t>
      </w:r>
    </w:p>
    <w:p w14:paraId="7D61371D" w14:textId="77777777" w:rsidR="00FF653C" w:rsidRPr="000B316F" w:rsidRDefault="00FF653C" w:rsidP="00FF653C"/>
    <w:p w14:paraId="158C505E" w14:textId="77777777" w:rsidR="00FF653C" w:rsidRPr="000B316F" w:rsidRDefault="00FF653C" w:rsidP="0088516F">
      <w:pPr>
        <w:ind w:left="576"/>
      </w:pPr>
      <w:r w:rsidRPr="000B316F">
        <w:t>At least daily monitoring should take place to determine variances between pre-determined staffing patterns and actual staffing patterns. If necessary, corrective action should be taken. Regular monitoring should take place to determine accuracy of targets established and determine adjustments as needed.</w:t>
      </w:r>
      <w:r w:rsidRPr="000B316F">
        <w:br/>
      </w:r>
    </w:p>
    <w:p w14:paraId="42F3F14D" w14:textId="77777777" w:rsidR="00FF653C" w:rsidRPr="000B316F" w:rsidRDefault="00FF653C" w:rsidP="00ED58C1">
      <w:pPr>
        <w:numPr>
          <w:ilvl w:val="0"/>
          <w:numId w:val="66"/>
        </w:numPr>
      </w:pPr>
      <w:r w:rsidRPr="000B316F">
        <w:rPr>
          <w:b/>
        </w:rPr>
        <w:t>9.4:</w:t>
      </w:r>
      <w:r w:rsidR="002410C4">
        <w:rPr>
          <w:b/>
        </w:rPr>
        <w:t xml:space="preserve"> </w:t>
      </w:r>
      <w:r w:rsidRPr="000B316F">
        <w:rPr>
          <w:b/>
        </w:rPr>
        <w:t>Are there other examples of Performance Improvement activities that would help provide credit towards this safe practice?</w:t>
      </w:r>
      <w:r w:rsidRPr="000B316F">
        <w:rPr>
          <w:b/>
        </w:rPr>
        <w:br/>
      </w:r>
      <w:r w:rsidR="00046B33" w:rsidRPr="000B316F">
        <w:t>Yes, an</w:t>
      </w:r>
      <w:r w:rsidRPr="000B316F">
        <w:t xml:space="preserve"> example of a performance improvement project that would help provide Action credit for this safe practice would be for a hospital to commit to achieve the American Association of Critical Care Nurses (AACN) Beacon award for Critical Care Excellence. The criteria to be met include:</w:t>
      </w:r>
    </w:p>
    <w:p w14:paraId="237CF7EF" w14:textId="77777777" w:rsidR="00FF653C" w:rsidRPr="000B316F" w:rsidRDefault="00FF653C" w:rsidP="00ED58C1">
      <w:pPr>
        <w:numPr>
          <w:ilvl w:val="0"/>
          <w:numId w:val="72"/>
        </w:numPr>
      </w:pPr>
      <w:r w:rsidRPr="000B316F">
        <w:t>Recognized excellence in the intensive care environments in which nurses work and critically ill patients live</w:t>
      </w:r>
    </w:p>
    <w:p w14:paraId="0C4040F4" w14:textId="77777777" w:rsidR="00FF653C" w:rsidRPr="000B316F" w:rsidRDefault="00FF653C" w:rsidP="00ED58C1">
      <w:pPr>
        <w:numPr>
          <w:ilvl w:val="0"/>
          <w:numId w:val="72"/>
        </w:numPr>
      </w:pPr>
      <w:r w:rsidRPr="000B316F">
        <w:t>Recognized excellence of the highest quality measures, processes, structures and outcomes based upon evidence</w:t>
      </w:r>
    </w:p>
    <w:p w14:paraId="18087BCD" w14:textId="77777777" w:rsidR="00FF653C" w:rsidRPr="000B316F" w:rsidRDefault="00FF653C" w:rsidP="00ED58C1">
      <w:pPr>
        <w:numPr>
          <w:ilvl w:val="0"/>
          <w:numId w:val="72"/>
        </w:numPr>
      </w:pPr>
      <w:r w:rsidRPr="000B316F">
        <w:t>Recognized excellence in collaboration, communication, and partnerships that support the value of healing and humane environments</w:t>
      </w:r>
    </w:p>
    <w:p w14:paraId="188232EE" w14:textId="77777777" w:rsidR="00FF653C" w:rsidRPr="000B316F" w:rsidRDefault="00FF653C" w:rsidP="00ED58C1">
      <w:pPr>
        <w:numPr>
          <w:ilvl w:val="0"/>
          <w:numId w:val="72"/>
        </w:numPr>
      </w:pPr>
      <w:r w:rsidRPr="000B316F">
        <w:t>Developed a program that contributes to actualization of AACN’s mission, vision and values.</w:t>
      </w:r>
      <w:r w:rsidRPr="000B316F">
        <w:br/>
      </w:r>
    </w:p>
    <w:p w14:paraId="55E88490" w14:textId="01E4B136" w:rsidR="00FF653C" w:rsidRPr="003F7FFA" w:rsidRDefault="002A499B" w:rsidP="003F7FFA">
      <w:pPr>
        <w:pStyle w:val="Heading44"/>
      </w:pPr>
      <w:r>
        <w:t xml:space="preserve">6F: </w:t>
      </w:r>
      <w:r w:rsidR="00FF653C" w:rsidRPr="003F7FFA">
        <w:t>Safe Practice # 17</w:t>
      </w:r>
      <w:r w:rsidR="00E2138E" w:rsidRPr="003F7FFA">
        <w:t xml:space="preserve"> </w:t>
      </w:r>
      <w:r w:rsidR="00FF653C" w:rsidRPr="003F7FFA">
        <w:t>Medication Reconciliation</w:t>
      </w:r>
    </w:p>
    <w:p w14:paraId="543279AE" w14:textId="77777777" w:rsidR="002240F4" w:rsidRPr="000B316F" w:rsidRDefault="002240F4" w:rsidP="000B316F"/>
    <w:p w14:paraId="2F72DB3C" w14:textId="77777777" w:rsidR="002240F4" w:rsidRPr="000B316F" w:rsidRDefault="002240F4" w:rsidP="00ED58C1">
      <w:pPr>
        <w:numPr>
          <w:ilvl w:val="0"/>
          <w:numId w:val="66"/>
        </w:numPr>
      </w:pPr>
      <w:r w:rsidRPr="000B316F">
        <w:rPr>
          <w:b/>
        </w:rPr>
        <w:t>17.1b: What is the definition of adverse drug event?</w:t>
      </w:r>
      <w:r w:rsidRPr="000B316F">
        <w:rPr>
          <w:b/>
        </w:rPr>
        <w:br/>
      </w:r>
      <w:r w:rsidRPr="000B316F">
        <w:t>An adverse drug event has been defined by the Institute of Medicine as “an injury resulting from medical intervention related to a drug”. This broad term encompasses harms that occur during medical care that are directly caused by the drug including but are not limited to medication errors, adverse drug reactions, allergic reactions, and overdoses.</w:t>
      </w:r>
      <w:r w:rsidRPr="000B316F">
        <w:br/>
      </w:r>
    </w:p>
    <w:p w14:paraId="64514A29" w14:textId="77777777" w:rsidR="002240F4" w:rsidRPr="000B316F" w:rsidRDefault="002240F4" w:rsidP="00ED58C1">
      <w:pPr>
        <w:numPr>
          <w:ilvl w:val="0"/>
          <w:numId w:val="66"/>
        </w:numPr>
      </w:pPr>
      <w:r w:rsidRPr="000B316F">
        <w:rPr>
          <w:b/>
        </w:rPr>
        <w:t>17.1b: If our hospital puts in ADEs through our hospital’s error reporting system, does that count as a hospital-wide evaluation?</w:t>
      </w:r>
      <w:r w:rsidRPr="000B316F">
        <w:rPr>
          <w:b/>
        </w:rPr>
        <w:br/>
      </w:r>
      <w:r w:rsidRPr="000B316F">
        <w:t>No. In addition to reviewing the error reporting system, hospitals should also look at the following sources for errors: pharmacy reviews, CPOE, P&amp;T committee review, review of hospital-approved protocols, hospital readmissions, claims data, pharmacy system data, and risk management systems.</w:t>
      </w:r>
      <w:r w:rsidRPr="000B316F">
        <w:br/>
      </w:r>
    </w:p>
    <w:p w14:paraId="1D96FE08" w14:textId="77777777" w:rsidR="002240F4" w:rsidRPr="000B316F" w:rsidRDefault="002240F4" w:rsidP="00ED58C1">
      <w:pPr>
        <w:numPr>
          <w:ilvl w:val="0"/>
          <w:numId w:val="66"/>
        </w:numPr>
      </w:pPr>
      <w:r w:rsidRPr="000B316F">
        <w:rPr>
          <w:b/>
        </w:rPr>
        <w:t>17.2a: Which leadership roles should be included in ‘senior administrative leadership’ to meet this element?</w:t>
      </w:r>
      <w:r w:rsidRPr="000B316F">
        <w:rPr>
          <w:b/>
        </w:rPr>
        <w:br/>
      </w:r>
      <w:r w:rsidRPr="000B316F">
        <w:t>Examples include: CMO/VPMA, CNO, CEO, COO, Director of Pharmacy and those folks report to up the chain of command (recognizing that these may be variable).  These are examples and titles may be different.</w:t>
      </w:r>
    </w:p>
    <w:p w14:paraId="449C4B67" w14:textId="77777777" w:rsidR="002240F4" w:rsidRPr="000B316F" w:rsidRDefault="002240F4" w:rsidP="002240F4"/>
    <w:p w14:paraId="3B0587BC" w14:textId="77777777" w:rsidR="002240F4" w:rsidRPr="000B316F" w:rsidRDefault="002240F4" w:rsidP="00ED58C1">
      <w:pPr>
        <w:numPr>
          <w:ilvl w:val="0"/>
          <w:numId w:val="66"/>
        </w:numPr>
      </w:pPr>
      <w:r w:rsidRPr="000B316F">
        <w:rPr>
          <w:b/>
        </w:rPr>
        <w:t>17.3a: Which staff roles should receive education/knowledge transfer and skill development programs on medication reconciliation?</w:t>
      </w:r>
      <w:r w:rsidRPr="000B316F">
        <w:rPr>
          <w:b/>
        </w:rPr>
        <w:br/>
      </w:r>
      <w:r w:rsidRPr="000B316F">
        <w:t>Physicians, nursing staff, pharmacists, pharmacy techs, allied health staff, medical assistants, patients, and families of patients.</w:t>
      </w:r>
    </w:p>
    <w:p w14:paraId="5E34FE8D" w14:textId="77777777" w:rsidR="002240F4" w:rsidRPr="000B316F" w:rsidRDefault="002240F4" w:rsidP="002240F4"/>
    <w:p w14:paraId="68B47122" w14:textId="77777777" w:rsidR="002A499B" w:rsidRDefault="002A499B" w:rsidP="003F7FFA">
      <w:pPr>
        <w:pStyle w:val="Heading44"/>
      </w:pPr>
    </w:p>
    <w:p w14:paraId="6D651F2F" w14:textId="77777777" w:rsidR="002A499B" w:rsidRDefault="002A499B" w:rsidP="003F7FFA">
      <w:pPr>
        <w:pStyle w:val="Heading44"/>
      </w:pPr>
    </w:p>
    <w:p w14:paraId="5B6A3540" w14:textId="77777777" w:rsidR="002A499B" w:rsidRDefault="002A499B" w:rsidP="003F7FFA">
      <w:pPr>
        <w:pStyle w:val="Heading44"/>
      </w:pPr>
    </w:p>
    <w:p w14:paraId="32165D76" w14:textId="3D6F0F8D" w:rsidR="00FF653C" w:rsidRPr="003F7FFA" w:rsidRDefault="002A499B" w:rsidP="003F7FFA">
      <w:pPr>
        <w:pStyle w:val="Heading44"/>
      </w:pPr>
      <w:r>
        <w:lastRenderedPageBreak/>
        <w:t xml:space="preserve">6G: </w:t>
      </w:r>
      <w:r w:rsidR="00FF653C" w:rsidRPr="003F7FFA">
        <w:t>Safe Practice # 19</w:t>
      </w:r>
      <w:r w:rsidR="00E2138E" w:rsidRPr="003F7FFA">
        <w:t xml:space="preserve"> </w:t>
      </w:r>
      <w:r w:rsidR="00FF653C" w:rsidRPr="003F7FFA">
        <w:t xml:space="preserve">Hand Hygiene </w:t>
      </w:r>
    </w:p>
    <w:p w14:paraId="1F0C4379" w14:textId="77777777" w:rsidR="00DA026D" w:rsidRPr="000B316F" w:rsidRDefault="00DA026D" w:rsidP="00FB3C44">
      <w:pPr>
        <w:pStyle w:val="Heading44"/>
        <w:rPr>
          <w:color w:val="auto"/>
        </w:rPr>
      </w:pPr>
    </w:p>
    <w:p w14:paraId="34853700" w14:textId="77777777" w:rsidR="002240F4" w:rsidRPr="000B316F" w:rsidRDefault="002240F4" w:rsidP="00ED58C1">
      <w:pPr>
        <w:numPr>
          <w:ilvl w:val="0"/>
          <w:numId w:val="66"/>
        </w:numPr>
      </w:pPr>
      <w:r w:rsidRPr="000B316F">
        <w:rPr>
          <w:b/>
        </w:rPr>
        <w:t>19.1, 19.4:</w:t>
      </w:r>
      <w:r w:rsidR="002410C4">
        <w:rPr>
          <w:b/>
        </w:rPr>
        <w:t xml:space="preserve"> </w:t>
      </w:r>
      <w:r w:rsidRPr="000B316F">
        <w:rPr>
          <w:b/>
        </w:rPr>
        <w:t>How will institutions measure or monitor progress with this Safe Practice?</w:t>
      </w:r>
      <w:r w:rsidRPr="000B316F">
        <w:rPr>
          <w:b/>
        </w:rPr>
        <w:br/>
      </w:r>
      <w:r w:rsidRPr="000B316F">
        <w:t>The following elements may be monitored as part of a performance improvement project:</w:t>
      </w:r>
    </w:p>
    <w:p w14:paraId="759BBDC2" w14:textId="77777777" w:rsidR="002240F4" w:rsidRPr="000B316F" w:rsidRDefault="002240F4" w:rsidP="00ED58C1">
      <w:pPr>
        <w:numPr>
          <w:ilvl w:val="0"/>
          <w:numId w:val="74"/>
        </w:numPr>
        <w:tabs>
          <w:tab w:val="left" w:pos="900"/>
        </w:tabs>
      </w:pPr>
      <w:r w:rsidRPr="000B316F">
        <w:t>Implementation of the nationally-approved hand hygiene guidelines as established by the Centers for Disease Control (CDC)</w:t>
      </w:r>
    </w:p>
    <w:p w14:paraId="72CBB59B" w14:textId="77777777" w:rsidR="002240F4" w:rsidRPr="000B316F" w:rsidRDefault="002240F4" w:rsidP="00ED58C1">
      <w:pPr>
        <w:numPr>
          <w:ilvl w:val="0"/>
          <w:numId w:val="74"/>
        </w:numPr>
        <w:tabs>
          <w:tab w:val="left" w:pos="900"/>
        </w:tabs>
      </w:pPr>
      <w:r w:rsidRPr="000B316F">
        <w:t>Hospital-acquired infection rates as a pre- and post-test after the implementation of interventions, such as bedside dispensers or other equipment for hand decontamination made available to staff</w:t>
      </w:r>
    </w:p>
    <w:p w14:paraId="0C02FE83" w14:textId="77777777" w:rsidR="002240F4" w:rsidRPr="000B316F" w:rsidRDefault="002240F4" w:rsidP="002240F4">
      <w:pPr>
        <w:tabs>
          <w:tab w:val="left" w:pos="900"/>
        </w:tabs>
      </w:pPr>
    </w:p>
    <w:p w14:paraId="69EA9D29" w14:textId="77777777" w:rsidR="002240F4" w:rsidRPr="000B316F" w:rsidRDefault="002240F4" w:rsidP="00ED58C1">
      <w:pPr>
        <w:numPr>
          <w:ilvl w:val="0"/>
          <w:numId w:val="66"/>
        </w:numPr>
        <w:rPr>
          <w:b/>
        </w:rPr>
      </w:pPr>
      <w:r w:rsidRPr="000B316F">
        <w:rPr>
          <w:b/>
        </w:rPr>
        <w:t>19.4:</w:t>
      </w:r>
      <w:r w:rsidR="002410C4">
        <w:rPr>
          <w:b/>
        </w:rPr>
        <w:t xml:space="preserve"> </w:t>
      </w:r>
      <w:r w:rsidRPr="000B316F">
        <w:rPr>
          <w:b/>
        </w:rPr>
        <w:t>Will use of the CDC guidelines for hand hygiene meet this Safe Practice?</w:t>
      </w:r>
      <w:r w:rsidRPr="000B316F">
        <w:rPr>
          <w:b/>
        </w:rPr>
        <w:br/>
      </w:r>
      <w:r w:rsidR="002410C4">
        <w:t xml:space="preserve">Yes. Please see: </w:t>
      </w:r>
      <w:hyperlink r:id="rId160" w:history="1">
        <w:r w:rsidR="002410C4" w:rsidRPr="00FE2F04">
          <w:rPr>
            <w:rStyle w:val="Hyperlink"/>
          </w:rPr>
          <w:t>http://www.cdc.gov/handhygiene/Guidelines.html</w:t>
        </w:r>
      </w:hyperlink>
      <w:r w:rsidR="002410C4">
        <w:t xml:space="preserve">. </w:t>
      </w:r>
    </w:p>
    <w:p w14:paraId="689C2939" w14:textId="77777777" w:rsidR="002240F4" w:rsidRPr="000B316F" w:rsidRDefault="002240F4" w:rsidP="002240F4">
      <w:pPr>
        <w:ind w:left="576"/>
        <w:rPr>
          <w:b/>
        </w:rPr>
      </w:pPr>
    </w:p>
    <w:p w14:paraId="49E66F29" w14:textId="77777777" w:rsidR="002240F4" w:rsidRPr="000B316F" w:rsidRDefault="002240F4" w:rsidP="00ED58C1">
      <w:pPr>
        <w:numPr>
          <w:ilvl w:val="0"/>
          <w:numId w:val="66"/>
        </w:numPr>
      </w:pPr>
      <w:r w:rsidRPr="000B316F">
        <w:rPr>
          <w:b/>
        </w:rPr>
        <w:t>19.4b:  Would a general hand hygiene “campaign” be enough to count as a formal performance improvement program?  ?</w:t>
      </w:r>
      <w:r w:rsidRPr="000B316F">
        <w:rPr>
          <w:b/>
        </w:rPr>
        <w:br/>
      </w:r>
      <w:r w:rsidRPr="000B316F">
        <w:t>No.  To meet this element, hospitals should be employing one or more of the following: technology systems to monitor hand hygiene compliance, use of secret observers, and measuring use of hand hygiene product.</w:t>
      </w:r>
    </w:p>
    <w:p w14:paraId="2843509D" w14:textId="77777777" w:rsidR="00FF653C" w:rsidRPr="000B316F" w:rsidRDefault="00FF653C" w:rsidP="00FF653C">
      <w:pPr>
        <w:rPr>
          <w:b/>
          <w:sz w:val="24"/>
        </w:rPr>
      </w:pPr>
    </w:p>
    <w:p w14:paraId="39784CE9" w14:textId="361E813E" w:rsidR="00FF653C" w:rsidRPr="003F7FFA" w:rsidRDefault="002A499B" w:rsidP="003F7FFA">
      <w:pPr>
        <w:pStyle w:val="Heading44"/>
      </w:pPr>
      <w:r>
        <w:t xml:space="preserve">6H: </w:t>
      </w:r>
      <w:r w:rsidR="00FF653C" w:rsidRPr="003F7FFA">
        <w:t>Safe Practice # 23</w:t>
      </w:r>
      <w:r w:rsidR="00E2138E" w:rsidRPr="003F7FFA">
        <w:t xml:space="preserve"> </w:t>
      </w:r>
      <w:r w:rsidR="002A3D05">
        <w:t xml:space="preserve">Prevention of </w:t>
      </w:r>
      <w:r w:rsidR="00AD3D25" w:rsidRPr="003F7FFA">
        <w:t xml:space="preserve">Healthcare-Associated </w:t>
      </w:r>
      <w:r w:rsidR="00FF653C" w:rsidRPr="003F7FFA">
        <w:t>Complications</w:t>
      </w:r>
      <w:r w:rsidR="00AD3D25" w:rsidRPr="003F7FFA">
        <w:t xml:space="preserve"> in Ventilated Patients</w:t>
      </w:r>
    </w:p>
    <w:p w14:paraId="572B511F" w14:textId="77777777" w:rsidR="002A5C1D" w:rsidRPr="000B316F" w:rsidRDefault="002A5C1D" w:rsidP="007A2F89"/>
    <w:p w14:paraId="33D4013B" w14:textId="77777777" w:rsidR="000724DB" w:rsidRPr="000B316F" w:rsidRDefault="000724DB" w:rsidP="00ED58C1">
      <w:pPr>
        <w:numPr>
          <w:ilvl w:val="0"/>
          <w:numId w:val="66"/>
        </w:numPr>
      </w:pPr>
      <w:r w:rsidRPr="000B316F">
        <w:rPr>
          <w:b/>
          <w:bCs/>
        </w:rPr>
        <w:t>23.1a and 23.2a:  Which roles are included in senior administrative and clinical leadership?</w:t>
      </w:r>
      <w:r w:rsidRPr="000B316F">
        <w:rPr>
          <w:b/>
          <w:bCs/>
        </w:rPr>
        <w:br/>
      </w:r>
      <w:r w:rsidRPr="000B316F">
        <w:t>COO, CEO, CNO, CMO, Head of Pharmacy, and respiratory therapists.</w:t>
      </w:r>
    </w:p>
    <w:p w14:paraId="67400EA5" w14:textId="77777777" w:rsidR="000724DB" w:rsidRPr="000B316F" w:rsidRDefault="000724DB" w:rsidP="000724DB">
      <w:pPr>
        <w:ind w:left="576"/>
      </w:pPr>
    </w:p>
    <w:p w14:paraId="1F7EC475" w14:textId="77777777" w:rsidR="000724DB" w:rsidRPr="000B316F" w:rsidRDefault="000724DB" w:rsidP="00ED58C1">
      <w:pPr>
        <w:numPr>
          <w:ilvl w:val="0"/>
          <w:numId w:val="66"/>
        </w:numPr>
      </w:pPr>
      <w:r w:rsidRPr="000B316F">
        <w:rPr>
          <w:b/>
          <w:bCs/>
        </w:rPr>
        <w:t>23.3a:  Which staff roles should receive education/knowledge transfer and skill development programs on ventilator use and its complications?</w:t>
      </w:r>
    </w:p>
    <w:p w14:paraId="5D438149" w14:textId="77777777" w:rsidR="000724DB" w:rsidRPr="000B316F" w:rsidRDefault="000724DB" w:rsidP="000724DB">
      <w:pPr>
        <w:ind w:left="576"/>
      </w:pPr>
      <w:r w:rsidRPr="000B316F">
        <w:t>Physicians, nurses, pharmacists, and respiratory therapists.</w:t>
      </w:r>
    </w:p>
    <w:p w14:paraId="01C3C3FC" w14:textId="77777777" w:rsidR="000724DB" w:rsidRPr="000B316F" w:rsidRDefault="000724DB" w:rsidP="000724DB"/>
    <w:p w14:paraId="4E4254B1" w14:textId="77777777" w:rsidR="000724DB" w:rsidRPr="000B316F" w:rsidRDefault="000724DB" w:rsidP="00ED58C1">
      <w:pPr>
        <w:numPr>
          <w:ilvl w:val="0"/>
          <w:numId w:val="66"/>
        </w:numPr>
      </w:pPr>
      <w:r w:rsidRPr="000B316F">
        <w:rPr>
          <w:b/>
          <w:bCs/>
        </w:rPr>
        <w:t>23.4c:  Do ALL ventilated patients and/or their families need to be educated on prevention measures involved in the care of the ventilated patient?  What if the patient is unconscious and has no family members?</w:t>
      </w:r>
    </w:p>
    <w:p w14:paraId="61B7E258" w14:textId="77777777" w:rsidR="006E1232" w:rsidRPr="000B316F" w:rsidRDefault="000724DB" w:rsidP="006E1232">
      <w:pPr>
        <w:ind w:left="576"/>
        <w:rPr>
          <w:bCs/>
        </w:rPr>
      </w:pPr>
      <w:r w:rsidRPr="000B316F">
        <w:rPr>
          <w:bCs/>
        </w:rPr>
        <w:t>In that situation, it would be appropriate to document that the patient is unresponsive, has no family members, and therefore no opportunity for education.  When the patient does not have family members, it would be appropriate to adopt a broader definition of “family” to include loved ones and those who will be caring for the patient.</w:t>
      </w:r>
    </w:p>
    <w:p w14:paraId="667324DB" w14:textId="77777777" w:rsidR="000724DB" w:rsidRPr="000B316F" w:rsidRDefault="000724DB" w:rsidP="000724DB"/>
    <w:p w14:paraId="6A59CC0F" w14:textId="77777777" w:rsidR="00025524" w:rsidRPr="000B316F" w:rsidRDefault="000724DB" w:rsidP="00ED58C1">
      <w:pPr>
        <w:numPr>
          <w:ilvl w:val="0"/>
          <w:numId w:val="66"/>
        </w:numPr>
      </w:pPr>
      <w:r w:rsidRPr="000B316F">
        <w:rPr>
          <w:b/>
        </w:rPr>
        <w:t xml:space="preserve">23.4:  </w:t>
      </w:r>
      <w:r w:rsidR="007A2F89">
        <w:rPr>
          <w:b/>
        </w:rPr>
        <w:t xml:space="preserve">How can pediatric hospitals </w:t>
      </w:r>
      <w:r w:rsidRPr="000B316F">
        <w:rPr>
          <w:b/>
        </w:rPr>
        <w:t>address the expectations of the Action answer of this Safe Practice?</w:t>
      </w:r>
      <w:r w:rsidRPr="000B316F">
        <w:br/>
        <w:t>The action expectations of this surv</w:t>
      </w:r>
      <w:r w:rsidR="007A2F89">
        <w:t>ey question may be satisfied by i</w:t>
      </w:r>
      <w:r w:rsidRPr="000B316F">
        <w:t>mplementation and adoption of the Pediatric elements for those patients 18 years and younger as outlined in this NQF Safe Practice Additional Specifications.</w:t>
      </w:r>
    </w:p>
    <w:p w14:paraId="11F647E0" w14:textId="77777777" w:rsidR="00617D35" w:rsidRPr="000B316F" w:rsidRDefault="00617D35" w:rsidP="005F497A">
      <w:pPr>
        <w:pStyle w:val="SectionHeader"/>
      </w:pPr>
    </w:p>
    <w:p w14:paraId="3030097C" w14:textId="77777777" w:rsidR="00617D35" w:rsidRPr="000B316F" w:rsidRDefault="00617D35">
      <w:pPr>
        <w:rPr>
          <w:b/>
          <w:snapToGrid w:val="0"/>
          <w:sz w:val="40"/>
          <w:szCs w:val="40"/>
          <w:lang w:eastAsia="ja-JP"/>
        </w:rPr>
      </w:pPr>
      <w:r w:rsidRPr="000B316F">
        <w:br w:type="page"/>
      </w:r>
    </w:p>
    <w:p w14:paraId="3DE89ADC" w14:textId="77777777" w:rsidR="00920EF6" w:rsidRPr="000B316F" w:rsidRDefault="00920EF6" w:rsidP="005F497A">
      <w:pPr>
        <w:pStyle w:val="SectionHeader"/>
        <w:sectPr w:rsidR="00920EF6" w:rsidRPr="000B316F" w:rsidSect="008733FC">
          <w:headerReference w:type="default" r:id="rId161"/>
          <w:endnotePr>
            <w:numFmt w:val="decimal"/>
          </w:endnotePr>
          <w:type w:val="continuous"/>
          <w:pgSz w:w="12240" w:h="15840"/>
          <w:pgMar w:top="1080" w:right="1440" w:bottom="1080" w:left="1440" w:header="720" w:footer="720" w:gutter="0"/>
          <w:cols w:space="720"/>
          <w:docGrid w:linePitch="272"/>
        </w:sectPr>
      </w:pPr>
    </w:p>
    <w:p w14:paraId="1F89C855" w14:textId="77777777" w:rsidR="00F22717" w:rsidRDefault="00F22717" w:rsidP="005F497A">
      <w:pPr>
        <w:pStyle w:val="SectionHeader"/>
        <w:rPr>
          <w:color w:val="A6A6A6" w:themeColor="background1" w:themeShade="A6"/>
        </w:rPr>
      </w:pPr>
    </w:p>
    <w:p w14:paraId="03D739A0" w14:textId="77777777" w:rsidR="005F497A" w:rsidRDefault="00B86043" w:rsidP="005F497A">
      <w:pPr>
        <w:pStyle w:val="SectionHeader"/>
        <w:rPr>
          <w:color w:val="A6A6A6" w:themeColor="background1" w:themeShade="A6"/>
        </w:rPr>
      </w:pPr>
      <w:bookmarkStart w:id="279" w:name="_Toc447195062"/>
      <w:r>
        <w:rPr>
          <w:color w:val="A6A6A6" w:themeColor="background1" w:themeShade="A6"/>
        </w:rPr>
        <w:t>Page Intentionally Left Blank</w:t>
      </w:r>
      <w:bookmarkEnd w:id="279"/>
    </w:p>
    <w:p w14:paraId="72CA734F" w14:textId="77777777" w:rsidR="00B86043" w:rsidRDefault="00B86043">
      <w:pPr>
        <w:rPr>
          <w:b/>
          <w:snapToGrid w:val="0"/>
          <w:color w:val="A6A6A6" w:themeColor="background1" w:themeShade="A6"/>
          <w:sz w:val="40"/>
          <w:szCs w:val="40"/>
          <w:lang w:eastAsia="ja-JP"/>
        </w:rPr>
      </w:pPr>
      <w:r>
        <w:rPr>
          <w:color w:val="A6A6A6" w:themeColor="background1" w:themeShade="A6"/>
        </w:rPr>
        <w:br w:type="page"/>
      </w:r>
    </w:p>
    <w:p w14:paraId="5BB682C7" w14:textId="77777777" w:rsidR="00920EF6" w:rsidRDefault="00920EF6" w:rsidP="005F497A">
      <w:pPr>
        <w:pStyle w:val="SectionHeader"/>
        <w:rPr>
          <w:color w:val="A6A6A6" w:themeColor="background1" w:themeShade="A6"/>
        </w:rPr>
        <w:sectPr w:rsidR="00920EF6" w:rsidSect="008733FC">
          <w:headerReference w:type="default" r:id="rId162"/>
          <w:endnotePr>
            <w:numFmt w:val="decimal"/>
          </w:endnotePr>
          <w:type w:val="continuous"/>
          <w:pgSz w:w="12240" w:h="15840"/>
          <w:pgMar w:top="1080" w:right="1440" w:bottom="1080" w:left="1440" w:header="720" w:footer="720" w:gutter="0"/>
          <w:cols w:space="720"/>
          <w:docGrid w:linePitch="272"/>
        </w:sectPr>
      </w:pPr>
    </w:p>
    <w:p w14:paraId="03C3E77C" w14:textId="77777777" w:rsidR="00B86043" w:rsidRPr="00B86043" w:rsidRDefault="00B86043" w:rsidP="005F497A">
      <w:pPr>
        <w:pStyle w:val="SectionHeader"/>
        <w:rPr>
          <w:color w:val="A6A6A6" w:themeColor="background1" w:themeShade="A6"/>
        </w:rPr>
      </w:pPr>
    </w:p>
    <w:p w14:paraId="0D9435B3" w14:textId="77777777" w:rsidR="005F497A" w:rsidRPr="00B86043" w:rsidRDefault="005F497A" w:rsidP="005F497A">
      <w:pPr>
        <w:pStyle w:val="SectionHeader"/>
        <w:rPr>
          <w:color w:val="A6A6A6" w:themeColor="background1" w:themeShade="A6"/>
        </w:rPr>
      </w:pPr>
    </w:p>
    <w:p w14:paraId="09DCC99B" w14:textId="77777777" w:rsidR="005F497A" w:rsidRDefault="005F497A" w:rsidP="005F497A">
      <w:pPr>
        <w:pStyle w:val="SectionHeader"/>
      </w:pPr>
    </w:p>
    <w:p w14:paraId="762EEDE9" w14:textId="77777777" w:rsidR="005F497A" w:rsidRDefault="005F497A" w:rsidP="005F497A">
      <w:pPr>
        <w:pStyle w:val="SectionHeader"/>
      </w:pPr>
    </w:p>
    <w:p w14:paraId="016A031A" w14:textId="77777777" w:rsidR="005F497A" w:rsidRDefault="005F497A" w:rsidP="005F497A">
      <w:pPr>
        <w:pStyle w:val="SectionHeader"/>
      </w:pPr>
    </w:p>
    <w:p w14:paraId="5B05AEDF" w14:textId="77777777" w:rsidR="005F497A" w:rsidRDefault="005F497A" w:rsidP="005F497A">
      <w:pPr>
        <w:pStyle w:val="SectionHeader"/>
      </w:pPr>
    </w:p>
    <w:p w14:paraId="04128439" w14:textId="77777777" w:rsidR="005F497A" w:rsidRDefault="005F497A" w:rsidP="005F497A">
      <w:pPr>
        <w:pStyle w:val="SectionHeader"/>
      </w:pPr>
    </w:p>
    <w:p w14:paraId="55672A2A" w14:textId="77777777" w:rsidR="005F497A" w:rsidRDefault="005F497A" w:rsidP="005F497A">
      <w:pPr>
        <w:pStyle w:val="SectionHeader"/>
      </w:pPr>
    </w:p>
    <w:p w14:paraId="71C97495" w14:textId="77777777" w:rsidR="005F497A" w:rsidRDefault="005F497A" w:rsidP="005F497A">
      <w:pPr>
        <w:pStyle w:val="SectionHeader"/>
      </w:pPr>
    </w:p>
    <w:p w14:paraId="588A6479" w14:textId="77777777" w:rsidR="005F497A" w:rsidRDefault="005F497A" w:rsidP="005F497A">
      <w:pPr>
        <w:pStyle w:val="SectionHeader"/>
      </w:pPr>
    </w:p>
    <w:p w14:paraId="503D68F9" w14:textId="77777777" w:rsidR="00190DE5" w:rsidRDefault="004B7F4F" w:rsidP="005F497A">
      <w:pPr>
        <w:pStyle w:val="SectionHeader"/>
      </w:pPr>
      <w:bookmarkStart w:id="280" w:name="_Toc447195063"/>
      <w:bookmarkStart w:id="281" w:name="Sec7"/>
      <w:r>
        <w:t xml:space="preserve">SECTION 7: </w:t>
      </w:r>
      <w:r w:rsidR="005F497A">
        <w:t>MANAGING SERIOUS ERRORS</w:t>
      </w:r>
      <w:bookmarkEnd w:id="280"/>
    </w:p>
    <w:bookmarkEnd w:id="281"/>
    <w:p w14:paraId="5EF0EB53" w14:textId="77777777" w:rsidR="005F497A" w:rsidRDefault="005F497A" w:rsidP="005F497A">
      <w:pPr>
        <w:pStyle w:val="SectionHeader"/>
      </w:pPr>
    </w:p>
    <w:p w14:paraId="5B80CB4F" w14:textId="77777777" w:rsidR="005F497A" w:rsidRDefault="005F497A" w:rsidP="005F497A">
      <w:r>
        <w:t xml:space="preserve">This section includes questions and reference </w:t>
      </w:r>
      <w:r w:rsidRPr="00593998">
        <w:t xml:space="preserve">information for Section </w:t>
      </w:r>
      <w:r w:rsidR="00C224E8" w:rsidRPr="00593998">
        <w:t>7 Managing Serious Errors</w:t>
      </w:r>
      <w:r w:rsidRPr="00593998">
        <w:t>. Please</w:t>
      </w:r>
      <w:r>
        <w:t xml:space="preserve"> carefully review the questions, </w:t>
      </w:r>
      <w:r w:rsidR="00B94757">
        <w:t>endnotes</w:t>
      </w:r>
      <w:r>
        <w:t>, and reference information (e.g.</w:t>
      </w:r>
      <w:r w:rsidR="004D6571">
        <w:t>,</w:t>
      </w:r>
      <w:r>
        <w:t xml:space="preserve"> measure specifications, notes, and frequen</w:t>
      </w:r>
      <w:r w:rsidR="005471DC">
        <w:t>tl</w:t>
      </w:r>
      <w:r>
        <w:t xml:space="preserve">y asked questions) before you begin. Failure to review the reference information could result in inaccurate responses. </w:t>
      </w:r>
    </w:p>
    <w:p w14:paraId="77046EB6" w14:textId="77777777" w:rsidR="005F497A" w:rsidRDefault="005F497A" w:rsidP="005F497A">
      <w:pPr>
        <w:pStyle w:val="SectionHeader"/>
      </w:pPr>
    </w:p>
    <w:p w14:paraId="0018343B" w14:textId="77777777" w:rsidR="005F497A" w:rsidRDefault="005F497A" w:rsidP="005F497A">
      <w:pPr>
        <w:pStyle w:val="SectionHeader"/>
      </w:pPr>
    </w:p>
    <w:p w14:paraId="3B987581" w14:textId="77777777" w:rsidR="005F497A" w:rsidRPr="005F497A" w:rsidRDefault="005F497A" w:rsidP="005F497A">
      <w:pPr>
        <w:rPr>
          <w:b/>
          <w:snapToGrid w:val="0"/>
          <w:sz w:val="40"/>
          <w:szCs w:val="40"/>
          <w:lang w:eastAsia="ja-JP"/>
        </w:rPr>
      </w:pPr>
      <w:r>
        <w:br w:type="page"/>
      </w:r>
    </w:p>
    <w:p w14:paraId="62E0A6EF" w14:textId="77777777" w:rsidR="008910AA" w:rsidRPr="007849B0" w:rsidRDefault="008910AA" w:rsidP="002C3E94">
      <w:pPr>
        <w:pStyle w:val="Title"/>
      </w:pPr>
      <w:bookmarkStart w:id="282" w:name="_Toc447195064"/>
      <w:r w:rsidRPr="007849B0">
        <w:lastRenderedPageBreak/>
        <w:t xml:space="preserve">Section 7:  </w:t>
      </w:r>
      <w:r w:rsidR="004F68CC">
        <w:t>2016</w:t>
      </w:r>
      <w:r w:rsidR="006020A9" w:rsidRPr="007849B0">
        <w:t xml:space="preserve"> </w:t>
      </w:r>
      <w:r w:rsidRPr="007849B0">
        <w:t>Managing Serious Errors</w:t>
      </w:r>
      <w:bookmarkEnd w:id="282"/>
    </w:p>
    <w:p w14:paraId="5F711AD4" w14:textId="77777777" w:rsidR="00EF7CC9" w:rsidRDefault="00EF7CC9">
      <w:pPr>
        <w:pStyle w:val="BodyText3"/>
        <w:rPr>
          <w:b/>
        </w:rPr>
      </w:pPr>
    </w:p>
    <w:p w14:paraId="111F2876" w14:textId="77777777" w:rsidR="000C3BE1" w:rsidRPr="00C4085C" w:rsidRDefault="000C3BE1">
      <w:pPr>
        <w:pStyle w:val="BodyText3"/>
        <w:rPr>
          <w:b/>
        </w:rPr>
      </w:pPr>
      <w:r w:rsidRPr="00C4085C">
        <w:rPr>
          <w:b/>
        </w:rPr>
        <w:t>Link to Never Events Fact Sheet:</w:t>
      </w:r>
      <w:r w:rsidR="00E03E77">
        <w:rPr>
          <w:b/>
        </w:rPr>
        <w:t xml:space="preserve"> </w:t>
      </w:r>
      <w:hyperlink r:id="rId163" w:history="1">
        <w:r w:rsidR="00E03E77" w:rsidRPr="00EE24D9">
          <w:rPr>
            <w:rStyle w:val="Hyperlink"/>
          </w:rPr>
          <w:t>http://leapfroggroup.org/ratings-reports/survey-content</w:t>
        </w:r>
      </w:hyperlink>
      <w:r w:rsidRPr="00C4085C">
        <w:rPr>
          <w:b/>
        </w:rPr>
        <w:t xml:space="preserve"> </w:t>
      </w:r>
    </w:p>
    <w:p w14:paraId="735FEA7D" w14:textId="77777777" w:rsidR="000C3BE1" w:rsidRPr="00C4085C" w:rsidRDefault="000C3BE1">
      <w:pPr>
        <w:pStyle w:val="BodyText3"/>
      </w:pPr>
    </w:p>
    <w:p w14:paraId="41B3C362" w14:textId="77777777" w:rsidR="008910AA" w:rsidRPr="00C4085C" w:rsidRDefault="008910AA">
      <w:pPr>
        <w:pStyle w:val="BodyText3"/>
      </w:pPr>
      <w:r w:rsidRPr="00C4085C">
        <w:t>This section of the survey addresses the occurrence of serious errors in hospitals.</w:t>
      </w:r>
    </w:p>
    <w:p w14:paraId="285B57C0" w14:textId="77777777" w:rsidR="008910AA" w:rsidRPr="00C4085C" w:rsidRDefault="008910AA">
      <w:pPr>
        <w:pStyle w:val="BodyText3"/>
      </w:pPr>
    </w:p>
    <w:p w14:paraId="53422FB9" w14:textId="77777777" w:rsidR="008910AA" w:rsidRPr="00C4085C" w:rsidRDefault="008910AA">
      <w:pPr>
        <w:pStyle w:val="BodyText3"/>
      </w:pPr>
      <w:r w:rsidRPr="00C4085C">
        <w:t xml:space="preserve">Hospitals are asked to implement the five principles of Leapfrog’s Never Events policy when a serious error or “never event” occurs within their facility. More information on the five principles of the policy </w:t>
      </w:r>
      <w:r w:rsidR="00FB0932">
        <w:t xml:space="preserve">is available at: </w:t>
      </w:r>
      <w:hyperlink r:id="rId164" w:history="1">
        <w:r w:rsidR="00FB0932" w:rsidRPr="00981B4A">
          <w:rPr>
            <w:rStyle w:val="Hyperlink"/>
          </w:rPr>
          <w:t>http://leapfroggroup.org/ratings-reports/inpatient-care-management</w:t>
        </w:r>
      </w:hyperlink>
      <w:r w:rsidR="00FB0932">
        <w:t xml:space="preserve">. </w:t>
      </w:r>
    </w:p>
    <w:p w14:paraId="2D2DB748" w14:textId="77777777" w:rsidR="008910AA" w:rsidRPr="00C4085C" w:rsidRDefault="008910AA">
      <w:pPr>
        <w:pStyle w:val="BodyText3"/>
      </w:pPr>
    </w:p>
    <w:p w14:paraId="4DDD0E49" w14:textId="77777777" w:rsidR="008910AA" w:rsidRDefault="008910AA" w:rsidP="00F35D4C">
      <w:r w:rsidRPr="00C4085C">
        <w:t xml:space="preserve">In addition to the management of serious errors, hospitals are asked to report </w:t>
      </w:r>
      <w:r w:rsidR="00AE1D87">
        <w:t>data on</w:t>
      </w:r>
      <w:r w:rsidRPr="00C4085C">
        <w:t xml:space="preserve"> </w:t>
      </w:r>
      <w:r w:rsidR="00F35D4C">
        <w:t>five</w:t>
      </w:r>
      <w:r w:rsidRPr="00C4085C">
        <w:t xml:space="preserve"> </w:t>
      </w:r>
      <w:r w:rsidR="00691A2A">
        <w:t>healthcare associated</w:t>
      </w:r>
      <w:r w:rsidR="003F6CBF" w:rsidRPr="00C4085C">
        <w:t xml:space="preserve"> infections</w:t>
      </w:r>
      <w:r w:rsidR="007D16F9">
        <w:t>– central line-</w:t>
      </w:r>
      <w:r w:rsidRPr="00C4085C">
        <w:t>associated bloodstream infections</w:t>
      </w:r>
      <w:r w:rsidR="00EA2B62" w:rsidRPr="00C4085C">
        <w:t xml:space="preserve"> </w:t>
      </w:r>
      <w:r w:rsidR="00F35D4C">
        <w:t xml:space="preserve">(CLABSI), </w:t>
      </w:r>
      <w:r w:rsidR="00EA2B62" w:rsidRPr="00C4085C">
        <w:t xml:space="preserve">catheter-associated urinary tract </w:t>
      </w:r>
      <w:r w:rsidR="003F6CBF" w:rsidRPr="00C4085C">
        <w:t>infections</w:t>
      </w:r>
      <w:r w:rsidR="00F35D4C">
        <w:t xml:space="preserve"> (CAUTI), </w:t>
      </w:r>
      <w:r w:rsidR="00F35D4C" w:rsidRPr="005B1386">
        <w:rPr>
          <w:rFonts w:cs="Arial"/>
          <w:color w:val="000000"/>
          <w:shd w:val="clear" w:color="auto" w:fill="FFFFFF"/>
        </w:rPr>
        <w:t>Methicillin-resistant</w:t>
      </w:r>
      <w:r w:rsidR="00F35D4C" w:rsidRPr="005B1386">
        <w:rPr>
          <w:rStyle w:val="apple-converted-space"/>
          <w:rFonts w:cs="Arial"/>
          <w:color w:val="000000"/>
          <w:shd w:val="clear" w:color="auto" w:fill="FFFFFF"/>
        </w:rPr>
        <w:t> </w:t>
      </w:r>
      <w:r w:rsidR="00F35D4C" w:rsidRPr="005B1386">
        <w:rPr>
          <w:rStyle w:val="Emphasis"/>
          <w:rFonts w:cs="Arial"/>
          <w:color w:val="000000"/>
          <w:shd w:val="clear" w:color="auto" w:fill="FFFFFF"/>
        </w:rPr>
        <w:t>Staphylococcus aureus</w:t>
      </w:r>
      <w:r w:rsidR="00F35D4C" w:rsidRPr="005B1386">
        <w:rPr>
          <w:rStyle w:val="apple-converted-space"/>
          <w:rFonts w:cs="Arial"/>
          <w:color w:val="000000"/>
          <w:shd w:val="clear" w:color="auto" w:fill="FFFFFF"/>
        </w:rPr>
        <w:t> </w:t>
      </w:r>
      <w:r w:rsidR="00F35D4C" w:rsidRPr="005B1386">
        <w:rPr>
          <w:rFonts w:cs="Arial"/>
          <w:color w:val="000000"/>
          <w:shd w:val="clear" w:color="auto" w:fill="FFFFFF"/>
        </w:rPr>
        <w:t>(MRSA)</w:t>
      </w:r>
      <w:r w:rsidR="00F35D4C">
        <w:rPr>
          <w:rFonts w:cs="Arial"/>
          <w:color w:val="000000"/>
          <w:shd w:val="clear" w:color="auto" w:fill="FFFFFF"/>
        </w:rPr>
        <w:t xml:space="preserve">, </w:t>
      </w:r>
      <w:r w:rsidR="00F35D4C">
        <w:rPr>
          <w:rStyle w:val="Emphasis"/>
          <w:rFonts w:ascii="Verdana" w:hAnsi="Verdana"/>
          <w:color w:val="000000"/>
          <w:sz w:val="18"/>
          <w:szCs w:val="18"/>
          <w:shd w:val="clear" w:color="auto" w:fill="FFFFFF"/>
        </w:rPr>
        <w:t xml:space="preserve">Clostridium difficile </w:t>
      </w:r>
      <w:r w:rsidR="00F35D4C" w:rsidRPr="003A7DE0">
        <w:rPr>
          <w:rStyle w:val="Emphasis"/>
          <w:rFonts w:ascii="Verdana" w:hAnsi="Verdana"/>
          <w:i w:val="0"/>
          <w:color w:val="000000"/>
          <w:sz w:val="18"/>
          <w:szCs w:val="18"/>
          <w:shd w:val="clear" w:color="auto" w:fill="FFFFFF"/>
        </w:rPr>
        <w:t>(CDI)</w:t>
      </w:r>
      <w:r w:rsidR="00F35D4C" w:rsidRPr="00FB0932">
        <w:rPr>
          <w:i/>
        </w:rPr>
        <w:t xml:space="preserve">, </w:t>
      </w:r>
      <w:r w:rsidR="00F35D4C">
        <w:t xml:space="preserve">and surgical site infections after major colon surgery (SSI Colon) – as well as, </w:t>
      </w:r>
      <w:r w:rsidR="003F6CBF" w:rsidRPr="00C4085C">
        <w:t>two hospital-acquired conditions – stage III or IV pressure ulcers and injuries</w:t>
      </w:r>
      <w:r w:rsidRPr="00C4085C">
        <w:t xml:space="preserve">. </w:t>
      </w:r>
    </w:p>
    <w:p w14:paraId="3479EB26" w14:textId="77777777" w:rsidR="004927C4" w:rsidRDefault="004927C4" w:rsidP="00F35D4C"/>
    <w:p w14:paraId="443EE879" w14:textId="77777777" w:rsidR="004927C4" w:rsidRPr="00F35D4C" w:rsidRDefault="004927C4" w:rsidP="00F35D4C">
      <w:pPr>
        <w:rPr>
          <w:rFonts w:cs="Arial"/>
          <w:color w:val="000000"/>
          <w:shd w:val="clear" w:color="auto" w:fill="FFFFFF"/>
        </w:rPr>
      </w:pPr>
      <w:r>
        <w:t>Lastly, hospitals are asked to report on their adoption and implementatio</w:t>
      </w:r>
      <w:r w:rsidR="00AC1A18">
        <w:t>n of the CDC’s Core Elements of Antibiotic Stewardship Programs.</w:t>
      </w:r>
    </w:p>
    <w:p w14:paraId="3C69315D" w14:textId="77777777" w:rsidR="008910AA" w:rsidRPr="00C4085C" w:rsidRDefault="008910AA">
      <w:pPr>
        <w:pStyle w:val="BodyText3"/>
      </w:pPr>
    </w:p>
    <w:p w14:paraId="2A979A99" w14:textId="77777777" w:rsidR="008910AA" w:rsidRPr="00C4085C" w:rsidRDefault="008910AA">
      <w:pPr>
        <w:rPr>
          <w:snapToGrid w:val="0"/>
          <w:color w:val="000000"/>
        </w:rPr>
      </w:pPr>
    </w:p>
    <w:p w14:paraId="1512A2F2" w14:textId="77777777" w:rsidR="008910AA" w:rsidRPr="00C4085C" w:rsidRDefault="008910AA">
      <w:pPr>
        <w:pStyle w:val="BodyText3"/>
        <w:rPr>
          <w:b/>
        </w:rPr>
      </w:pPr>
      <w:r w:rsidRPr="00C4085C">
        <w:rPr>
          <w:b/>
        </w:rPr>
        <w:t>Each hospital fully meeting the standards for this section of the survey:</w:t>
      </w:r>
    </w:p>
    <w:p w14:paraId="0701DCB5" w14:textId="77777777" w:rsidR="008910AA" w:rsidRPr="00C4085C" w:rsidRDefault="008910AA">
      <w:pPr>
        <w:pStyle w:val="BodyText3"/>
      </w:pPr>
    </w:p>
    <w:p w14:paraId="6D7CC778" w14:textId="77777777" w:rsidR="008910AA" w:rsidRPr="00C4085C" w:rsidRDefault="008910AA" w:rsidP="00ED58C1">
      <w:pPr>
        <w:pStyle w:val="BodyText3"/>
        <w:numPr>
          <w:ilvl w:val="0"/>
          <w:numId w:val="16"/>
        </w:numPr>
      </w:pPr>
      <w:r w:rsidRPr="00C4085C">
        <w:t xml:space="preserve">Has </w:t>
      </w:r>
      <w:r w:rsidR="00D60C75">
        <w:t xml:space="preserve">a policy that includes the </w:t>
      </w:r>
      <w:r w:rsidRPr="00C4085C">
        <w:t xml:space="preserve">five principles of Leapfrog’s Never Events policy </w:t>
      </w:r>
      <w:r w:rsidR="005471DC">
        <w:t xml:space="preserve">and will implement this policy </w:t>
      </w:r>
      <w:r w:rsidRPr="00C4085C">
        <w:t xml:space="preserve">if a </w:t>
      </w:r>
      <w:r w:rsidR="00D60C75">
        <w:t>‘</w:t>
      </w:r>
      <w:r w:rsidRPr="00C4085C">
        <w:t>never event</w:t>
      </w:r>
      <w:r w:rsidR="00D60C75">
        <w:t>’</w:t>
      </w:r>
      <w:r w:rsidRPr="00C4085C">
        <w:t xml:space="preserve"> occurs within their facility.</w:t>
      </w:r>
    </w:p>
    <w:p w14:paraId="66FD3DE1" w14:textId="77777777" w:rsidR="008910AA" w:rsidRPr="00C4085C" w:rsidRDefault="008910AA">
      <w:pPr>
        <w:pStyle w:val="BodyText3"/>
      </w:pPr>
    </w:p>
    <w:p w14:paraId="1C3BC12C" w14:textId="77777777" w:rsidR="00972C2D" w:rsidRPr="00C4085C" w:rsidRDefault="008910AA" w:rsidP="00ED58C1">
      <w:pPr>
        <w:pStyle w:val="BodyText3"/>
        <w:numPr>
          <w:ilvl w:val="0"/>
          <w:numId w:val="16"/>
        </w:numPr>
      </w:pPr>
      <w:r w:rsidRPr="00C4085C">
        <w:t xml:space="preserve">Has a </w:t>
      </w:r>
      <w:r w:rsidR="001354B2">
        <w:t xml:space="preserve">CLABSI </w:t>
      </w:r>
      <w:r w:rsidR="00A75E87" w:rsidRPr="00C4085C">
        <w:t xml:space="preserve">standardized infection ratio </w:t>
      </w:r>
      <w:r w:rsidRPr="00C4085C">
        <w:t xml:space="preserve">of </w:t>
      </w:r>
      <w:r w:rsidR="00E45573">
        <w:t xml:space="preserve">0.000 </w:t>
      </w:r>
      <w:r w:rsidRPr="00C4085C">
        <w:t>for p</w:t>
      </w:r>
      <w:r w:rsidR="00C80178">
        <w:t>atients in the ICU.</w:t>
      </w:r>
    </w:p>
    <w:p w14:paraId="3B6E860F" w14:textId="77777777" w:rsidR="00972C2D" w:rsidRPr="00C4085C" w:rsidRDefault="00A75E87" w:rsidP="00B36972">
      <w:pPr>
        <w:pStyle w:val="BodyText3"/>
        <w:ind w:left="360"/>
      </w:pPr>
      <w:r w:rsidRPr="00C4085C">
        <w:t xml:space="preserve"> </w:t>
      </w:r>
    </w:p>
    <w:p w14:paraId="1A19B575" w14:textId="77777777" w:rsidR="00EE1B88" w:rsidRDefault="00972C2D" w:rsidP="00ED58C1">
      <w:pPr>
        <w:pStyle w:val="ListParagraph"/>
        <w:numPr>
          <w:ilvl w:val="0"/>
          <w:numId w:val="16"/>
        </w:numPr>
      </w:pPr>
      <w:r w:rsidRPr="00C4085C">
        <w:t xml:space="preserve">Has a </w:t>
      </w:r>
      <w:r w:rsidR="001354B2">
        <w:t xml:space="preserve">CAUTI </w:t>
      </w:r>
      <w:r w:rsidRPr="00C4085C">
        <w:t>standardized in</w:t>
      </w:r>
      <w:r w:rsidR="00D23307">
        <w:t xml:space="preserve">fection ratio of less than </w:t>
      </w:r>
      <w:r w:rsidR="00F534DA">
        <w:t xml:space="preserve">or equal to </w:t>
      </w:r>
      <w:r w:rsidR="00D23307">
        <w:t>0.443</w:t>
      </w:r>
      <w:r w:rsidRPr="00C4085C">
        <w:t xml:space="preserve"> </w:t>
      </w:r>
      <w:r w:rsidR="005E7C7C" w:rsidRPr="00C4085C">
        <w:t xml:space="preserve">for </w:t>
      </w:r>
      <w:r w:rsidRPr="00C4085C">
        <w:t>patients in the ICU</w:t>
      </w:r>
      <w:r w:rsidR="00C80178">
        <w:t>.</w:t>
      </w:r>
    </w:p>
    <w:p w14:paraId="67531255" w14:textId="77777777" w:rsidR="00EE1B88" w:rsidRDefault="00EE1B88" w:rsidP="00EE1B88">
      <w:pPr>
        <w:pStyle w:val="ListParagraph"/>
        <w:ind w:left="360"/>
      </w:pPr>
    </w:p>
    <w:p w14:paraId="78F335FF" w14:textId="77777777" w:rsidR="00EE1B88" w:rsidRDefault="00EE1B88" w:rsidP="00ED58C1">
      <w:pPr>
        <w:pStyle w:val="ListParagraph"/>
        <w:numPr>
          <w:ilvl w:val="0"/>
          <w:numId w:val="16"/>
        </w:numPr>
      </w:pPr>
      <w:r>
        <w:t xml:space="preserve">Has a MRSA standardized </w:t>
      </w:r>
      <w:r w:rsidR="00F534DA">
        <w:t>infection ratio of less than or equal to</w:t>
      </w:r>
      <w:r w:rsidR="00D902C9">
        <w:t xml:space="preserve"> 0.373 for </w:t>
      </w:r>
      <w:r w:rsidR="00931DA1">
        <w:t>facility-wide inpatients.</w:t>
      </w:r>
    </w:p>
    <w:p w14:paraId="256B5FCA" w14:textId="77777777" w:rsidR="00F534DA" w:rsidRDefault="00F534DA" w:rsidP="00F534DA">
      <w:pPr>
        <w:pStyle w:val="ListParagraph"/>
        <w:ind w:left="360"/>
      </w:pPr>
    </w:p>
    <w:p w14:paraId="23468E71" w14:textId="77777777" w:rsidR="00F534DA" w:rsidRDefault="00F534DA" w:rsidP="00ED58C1">
      <w:pPr>
        <w:pStyle w:val="ListParagraph"/>
        <w:numPr>
          <w:ilvl w:val="0"/>
          <w:numId w:val="16"/>
        </w:numPr>
      </w:pPr>
      <w:r>
        <w:t>Has a CDI standardized infection ratio of less than or equal to</w:t>
      </w:r>
      <w:r w:rsidR="00931DA1">
        <w:t xml:space="preserve"> 0.450 for facility-wide inpatients.</w:t>
      </w:r>
    </w:p>
    <w:p w14:paraId="64D35885" w14:textId="77777777" w:rsidR="00F534DA" w:rsidRDefault="00F534DA" w:rsidP="00F534DA">
      <w:pPr>
        <w:pStyle w:val="ListParagraph"/>
        <w:ind w:left="360"/>
      </w:pPr>
    </w:p>
    <w:p w14:paraId="1AF7CD7F" w14:textId="77777777" w:rsidR="00F534DA" w:rsidRPr="00C4085C" w:rsidRDefault="00F534DA" w:rsidP="00ED58C1">
      <w:pPr>
        <w:pStyle w:val="ListParagraph"/>
        <w:numPr>
          <w:ilvl w:val="0"/>
          <w:numId w:val="16"/>
        </w:numPr>
      </w:pPr>
      <w:r>
        <w:t xml:space="preserve">Has a SSI Colon standardized infection ratio of less than or equal to </w:t>
      </w:r>
      <w:r w:rsidR="00931DA1">
        <w:t>0.386 for inpatients following eligible colon procedures.</w:t>
      </w:r>
    </w:p>
    <w:p w14:paraId="2F93392F" w14:textId="77777777" w:rsidR="005E7C7C" w:rsidRPr="00C4085C" w:rsidRDefault="005E7C7C" w:rsidP="005E7C7C">
      <w:pPr>
        <w:pStyle w:val="ListParagraph"/>
      </w:pPr>
    </w:p>
    <w:p w14:paraId="3E0594D2" w14:textId="77777777" w:rsidR="005E7C7C" w:rsidRPr="00C4085C" w:rsidRDefault="002E552E" w:rsidP="00ED58C1">
      <w:pPr>
        <w:pStyle w:val="ListParagraph"/>
        <w:numPr>
          <w:ilvl w:val="0"/>
          <w:numId w:val="16"/>
        </w:numPr>
      </w:pPr>
      <w:r w:rsidRPr="00C4085C">
        <w:t xml:space="preserve">Has a rate of 0.000 per 1,000 patient discharges for hospital-acquired </w:t>
      </w:r>
      <w:r w:rsidR="003F6CBF" w:rsidRPr="00C4085C">
        <w:t xml:space="preserve">stage III or IV </w:t>
      </w:r>
      <w:r w:rsidR="00812CD1" w:rsidRPr="00C4085C">
        <w:t xml:space="preserve">pressure ulcers. </w:t>
      </w:r>
    </w:p>
    <w:p w14:paraId="772B0079" w14:textId="77777777" w:rsidR="005E7C7C" w:rsidRPr="00C4085C" w:rsidRDefault="005E7C7C" w:rsidP="005E7C7C">
      <w:pPr>
        <w:pStyle w:val="ListParagraph"/>
      </w:pPr>
    </w:p>
    <w:p w14:paraId="47BE0709" w14:textId="77777777" w:rsidR="004927C4" w:rsidRDefault="002E552E" w:rsidP="00ED58C1">
      <w:pPr>
        <w:pStyle w:val="ListParagraph"/>
        <w:numPr>
          <w:ilvl w:val="0"/>
          <w:numId w:val="16"/>
        </w:numPr>
      </w:pPr>
      <w:r w:rsidRPr="00C4085C">
        <w:t xml:space="preserve">Has a rate less than or equal to 0.16 per 1,000 patient discharges for hospital-acquired </w:t>
      </w:r>
      <w:r w:rsidR="00812CD1" w:rsidRPr="00C4085C">
        <w:t xml:space="preserve">injuries. </w:t>
      </w:r>
    </w:p>
    <w:p w14:paraId="6020BF75" w14:textId="77777777" w:rsidR="004927C4" w:rsidRDefault="004927C4" w:rsidP="004927C4">
      <w:pPr>
        <w:pStyle w:val="ListParagraph"/>
        <w:ind w:left="360"/>
      </w:pPr>
    </w:p>
    <w:p w14:paraId="635DC784" w14:textId="77777777" w:rsidR="004927C4" w:rsidRDefault="004927C4" w:rsidP="00ED58C1">
      <w:pPr>
        <w:pStyle w:val="ListParagraph"/>
        <w:numPr>
          <w:ilvl w:val="0"/>
          <w:numId w:val="16"/>
        </w:numPr>
      </w:pPr>
      <w:r>
        <w:t xml:space="preserve">Has implemented all 7 of the CDC’s Core Elements of Antibiotic Stewardship Programs. </w:t>
      </w:r>
    </w:p>
    <w:p w14:paraId="1FBBEEE4" w14:textId="77777777" w:rsidR="009D4EAF" w:rsidRDefault="009D4EAF" w:rsidP="009D4EAF">
      <w:pPr>
        <w:rPr>
          <w:b/>
        </w:rPr>
      </w:pPr>
    </w:p>
    <w:p w14:paraId="07C875CD" w14:textId="77777777" w:rsidR="009D4EAF" w:rsidRPr="009D4EAF" w:rsidRDefault="009D4EAF" w:rsidP="009D4EAF">
      <w:pPr>
        <w:rPr>
          <w:b/>
        </w:rPr>
      </w:pPr>
      <w:r w:rsidRPr="009D4EAF">
        <w:rPr>
          <w:b/>
        </w:rPr>
        <w:t xml:space="preserve">More information about the 2016 Leapfrog Hospital Survey Scoring Algorithms is available at: </w:t>
      </w:r>
      <w:hyperlink r:id="rId165" w:history="1">
        <w:r w:rsidR="003E0843" w:rsidRPr="00981B4A">
          <w:rPr>
            <w:rStyle w:val="Hyperlink"/>
          </w:rPr>
          <w:t>http://leapfroggroup.org/survey-materials/scoring-and-results</w:t>
        </w:r>
      </w:hyperlink>
      <w:r w:rsidR="003E0843" w:rsidRPr="003E0843">
        <w:t>.</w:t>
      </w:r>
      <w:r w:rsidR="003E0843">
        <w:rPr>
          <w:b/>
        </w:rPr>
        <w:t xml:space="preserve"> </w:t>
      </w:r>
    </w:p>
    <w:p w14:paraId="305BEC33" w14:textId="77777777" w:rsidR="009D4EAF" w:rsidRDefault="009D4EAF" w:rsidP="009D4EAF"/>
    <w:tbl>
      <w:tblPr>
        <w:tblW w:w="9558"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910AA" w:rsidRPr="00DE7A05" w14:paraId="4BAFF48C" w14:textId="77777777" w:rsidTr="0007258A">
        <w:trPr>
          <w:cantSplit/>
          <w:jc w:val="center"/>
        </w:trPr>
        <w:tc>
          <w:tcPr>
            <w:tcW w:w="9558" w:type="dxa"/>
            <w:tcBorders>
              <w:top w:val="single" w:sz="24" w:space="0" w:color="auto"/>
              <w:left w:val="nil"/>
              <w:right w:val="nil"/>
            </w:tcBorders>
          </w:tcPr>
          <w:p w14:paraId="5181393E" w14:textId="77777777" w:rsidR="008910AA" w:rsidRPr="00DE7A05" w:rsidRDefault="008910AA">
            <w:pPr>
              <w:pStyle w:val="Header"/>
              <w:tabs>
                <w:tab w:val="left" w:pos="720"/>
              </w:tabs>
              <w:rPr>
                <w:b/>
                <w:snapToGrid w:val="0"/>
              </w:rPr>
            </w:pPr>
          </w:p>
          <w:p w14:paraId="657DDBC2" w14:textId="77777777" w:rsidR="008910AA" w:rsidRPr="00DE7A05" w:rsidRDefault="005C05FF" w:rsidP="00954B73">
            <w:pPr>
              <w:pStyle w:val="Heading2"/>
              <w:rPr>
                <w:snapToGrid w:val="0"/>
              </w:rPr>
            </w:pPr>
            <w:bookmarkStart w:id="283" w:name="_Toc447195065"/>
            <w:r w:rsidRPr="00DE7A05">
              <w:rPr>
                <w:snapToGrid w:val="0"/>
              </w:rPr>
              <w:t xml:space="preserve">7A: </w:t>
            </w:r>
            <w:r w:rsidR="008910AA" w:rsidRPr="00DE7A05">
              <w:rPr>
                <w:snapToGrid w:val="0"/>
              </w:rPr>
              <w:t>The Leapfrog</w:t>
            </w:r>
            <w:r w:rsidR="00D06832">
              <w:rPr>
                <w:snapToGrid w:val="0"/>
              </w:rPr>
              <w:t xml:space="preserve"> Group “Never Events” </w:t>
            </w:r>
            <w:r w:rsidR="008910AA" w:rsidRPr="00DE7A05">
              <w:rPr>
                <w:snapToGrid w:val="0"/>
              </w:rPr>
              <w:t>Policy Statement</w:t>
            </w:r>
            <w:bookmarkEnd w:id="283"/>
            <w:r w:rsidR="008910AA" w:rsidRPr="00DE7A05">
              <w:rPr>
                <w:snapToGrid w:val="0"/>
              </w:rPr>
              <w:t xml:space="preserve"> </w:t>
            </w:r>
          </w:p>
          <w:p w14:paraId="28649252" w14:textId="77777777" w:rsidR="008910AA" w:rsidRPr="00DE7A05" w:rsidRDefault="008910AA">
            <w:pPr>
              <w:pStyle w:val="EndnoteText"/>
            </w:pPr>
          </w:p>
          <w:p w14:paraId="354E1C65" w14:textId="77777777" w:rsidR="008910AA" w:rsidRPr="00DE7A05" w:rsidRDefault="008910AA">
            <w:pPr>
              <w:pStyle w:val="EndnoteText"/>
            </w:pPr>
            <w:r w:rsidRPr="00DE7A05">
              <w:t xml:space="preserve">The Leapfrog Group asks hospitals to agree to all of the following principles if </w:t>
            </w:r>
            <w:r w:rsidRPr="00A94159">
              <w:t xml:space="preserve">a </w:t>
            </w:r>
            <w:hyperlink w:anchor="Endnote38" w:history="1">
              <w:r w:rsidRPr="00A94159">
                <w:rPr>
                  <w:rStyle w:val="Hyperlink"/>
                </w:rPr>
                <w:t>never event</w:t>
              </w:r>
            </w:hyperlink>
            <w:r w:rsidRPr="00DE7A05">
              <w:rPr>
                <w:rStyle w:val="EndnoteReference"/>
              </w:rPr>
              <w:endnoteReference w:id="39"/>
            </w:r>
            <w:r w:rsidRPr="00DE7A05">
              <w:t xml:space="preserve"> occurs within their facility: </w:t>
            </w:r>
          </w:p>
          <w:p w14:paraId="10A428E9" w14:textId="77777777" w:rsidR="008910AA" w:rsidRPr="00DE7A05" w:rsidRDefault="008910AA" w:rsidP="00ED58C1">
            <w:pPr>
              <w:pStyle w:val="BodyText2"/>
              <w:numPr>
                <w:ilvl w:val="0"/>
                <w:numId w:val="8"/>
              </w:numPr>
              <w:tabs>
                <w:tab w:val="clear" w:pos="360"/>
                <w:tab w:val="num" w:pos="720"/>
              </w:tabs>
              <w:ind w:left="720"/>
              <w:rPr>
                <w:i w:val="0"/>
                <w:color w:val="auto"/>
              </w:rPr>
            </w:pPr>
            <w:r w:rsidRPr="00DE7A05">
              <w:rPr>
                <w:i w:val="0"/>
                <w:color w:val="auto"/>
              </w:rPr>
              <w:t xml:space="preserve">We will </w:t>
            </w:r>
            <w:hyperlink w:anchor="Endnote39" w:history="1">
              <w:r w:rsidRPr="00A94159">
                <w:rPr>
                  <w:rStyle w:val="Hyperlink"/>
                  <w:i w:val="0"/>
                </w:rPr>
                <w:t>apologize to the patient</w:t>
              </w:r>
            </w:hyperlink>
            <w:r w:rsidRPr="00DE7A05">
              <w:rPr>
                <w:rStyle w:val="EndnoteReference"/>
                <w:i w:val="0"/>
                <w:color w:val="auto"/>
              </w:rPr>
              <w:endnoteReference w:id="40"/>
            </w:r>
            <w:r w:rsidRPr="00DE7A05">
              <w:rPr>
                <w:i w:val="0"/>
                <w:color w:val="auto"/>
              </w:rPr>
              <w:t xml:space="preserve"> and/or family affected by the never event</w:t>
            </w:r>
          </w:p>
          <w:p w14:paraId="04C21A6F"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 xml:space="preserve">We will report the event to at least one of the following </w:t>
            </w:r>
            <w:hyperlink w:anchor="Endnote40" w:history="1">
              <w:r w:rsidRPr="00A94159">
                <w:rPr>
                  <w:rStyle w:val="Hyperlink"/>
                  <w:i w:val="0"/>
                </w:rPr>
                <w:t>external agencies</w:t>
              </w:r>
            </w:hyperlink>
            <w:r w:rsidRPr="00DE7A05">
              <w:rPr>
                <w:rStyle w:val="EndnoteReference"/>
                <w:i w:val="0"/>
                <w:color w:val="auto"/>
              </w:rPr>
              <w:endnoteReference w:id="41"/>
            </w:r>
            <w:r w:rsidRPr="00DE7A05">
              <w:rPr>
                <w:i w:val="0"/>
                <w:color w:val="auto"/>
              </w:rPr>
              <w:t xml:space="preserve"> within 10 days of becoming aware that the never event has occurred:</w:t>
            </w:r>
          </w:p>
          <w:p w14:paraId="257CD91C" w14:textId="77777777" w:rsidR="008910AA" w:rsidRPr="00DE7A05" w:rsidRDefault="008910AA" w:rsidP="00ED58C1">
            <w:pPr>
              <w:pStyle w:val="BodyText2"/>
              <w:numPr>
                <w:ilvl w:val="0"/>
                <w:numId w:val="13"/>
              </w:numPr>
              <w:rPr>
                <w:i w:val="0"/>
                <w:color w:val="auto"/>
              </w:rPr>
            </w:pPr>
            <w:r w:rsidRPr="00DE7A05">
              <w:rPr>
                <w:i w:val="0"/>
                <w:color w:val="auto"/>
              </w:rPr>
              <w:t>Joint Commission, as part of its Sentinel Events policy</w:t>
            </w:r>
          </w:p>
          <w:p w14:paraId="41A1D745" w14:textId="77777777" w:rsidR="008910AA" w:rsidRPr="00DE7A05" w:rsidRDefault="008910AA" w:rsidP="00ED58C1">
            <w:pPr>
              <w:pStyle w:val="BodyText2"/>
              <w:numPr>
                <w:ilvl w:val="0"/>
                <w:numId w:val="13"/>
              </w:numPr>
              <w:rPr>
                <w:i w:val="0"/>
                <w:color w:val="auto"/>
              </w:rPr>
            </w:pPr>
            <w:r w:rsidRPr="00DE7A05">
              <w:rPr>
                <w:rFonts w:cs="Arial"/>
                <w:i w:val="0"/>
                <w:color w:val="auto"/>
              </w:rPr>
              <w:t>State reporting program for medical errors</w:t>
            </w:r>
          </w:p>
          <w:p w14:paraId="78CC5292" w14:textId="77777777" w:rsidR="008910AA" w:rsidRPr="00DE7A05" w:rsidRDefault="008910AA" w:rsidP="00ED58C1">
            <w:pPr>
              <w:pStyle w:val="BodyText2"/>
              <w:numPr>
                <w:ilvl w:val="0"/>
                <w:numId w:val="13"/>
              </w:numPr>
              <w:rPr>
                <w:i w:val="0"/>
                <w:color w:val="auto"/>
              </w:rPr>
            </w:pPr>
            <w:r w:rsidRPr="00DE7A05">
              <w:rPr>
                <w:rFonts w:cs="Arial"/>
                <w:i w:val="0"/>
                <w:color w:val="auto"/>
              </w:rPr>
              <w:t>Patient Safety Organization (as defined in The Patient Safety and Quality Improvement Act of 2005)</w:t>
            </w:r>
          </w:p>
          <w:p w14:paraId="5188A971"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 xml:space="preserve">We agree to perform </w:t>
            </w:r>
            <w:r w:rsidRPr="00A94159">
              <w:rPr>
                <w:i w:val="0"/>
                <w:color w:val="auto"/>
              </w:rPr>
              <w:t xml:space="preserve">a </w:t>
            </w:r>
            <w:hyperlink w:anchor="Endnote41" w:history="1">
              <w:r w:rsidRPr="00A94159">
                <w:rPr>
                  <w:rStyle w:val="Hyperlink"/>
                  <w:i w:val="0"/>
                </w:rPr>
                <w:t>root cause analysis</w:t>
              </w:r>
            </w:hyperlink>
            <w:r w:rsidRPr="00DE7A05">
              <w:rPr>
                <w:rStyle w:val="EndnoteReference"/>
                <w:i w:val="0"/>
                <w:color w:val="auto"/>
              </w:rPr>
              <w:endnoteReference w:id="42"/>
            </w:r>
            <w:r w:rsidRPr="00DE7A05">
              <w:rPr>
                <w:i w:val="0"/>
                <w:color w:val="auto"/>
              </w:rPr>
              <w:t>, consistent with instructions from the chosen reporting agency</w:t>
            </w:r>
          </w:p>
          <w:p w14:paraId="02D93E61"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We will waive all costs directly related to a serious reportable adverse event</w:t>
            </w:r>
          </w:p>
          <w:p w14:paraId="633AB90C"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We will make a copy of this policy available to patients, patients’ family members, and payers upon request</w:t>
            </w:r>
          </w:p>
          <w:p w14:paraId="5ED9E8D6" w14:textId="77777777" w:rsidR="008910AA" w:rsidRPr="00DE7A05" w:rsidRDefault="008910AA">
            <w:pPr>
              <w:pStyle w:val="Header"/>
              <w:tabs>
                <w:tab w:val="left" w:pos="720"/>
              </w:tabs>
              <w:rPr>
                <w:b/>
                <w:snapToGrid w:val="0"/>
              </w:rPr>
            </w:pPr>
          </w:p>
          <w:p w14:paraId="68C644AA" w14:textId="77777777" w:rsidR="00FB7199" w:rsidRPr="00DE7A05" w:rsidRDefault="00FB7199" w:rsidP="00FB7199">
            <w:pPr>
              <w:pStyle w:val="EndnoteText"/>
              <w:rPr>
                <w:rStyle w:val="Hyperlink"/>
                <w:color w:val="auto"/>
              </w:rPr>
            </w:pPr>
            <w:r w:rsidRPr="00DE7A05">
              <w:rPr>
                <w:b/>
                <w:snapToGrid w:val="0"/>
              </w:rPr>
              <w:t xml:space="preserve">Important Note: </w:t>
            </w:r>
            <w:r w:rsidRPr="00DE7A05">
              <w:t>To earn credit for this question, hospitals must have a policy in place that addresses the National Quality Forum’s list of Serious Report</w:t>
            </w:r>
            <w:r w:rsidR="008C2907" w:rsidRPr="00DE7A05">
              <w:t>able</w:t>
            </w:r>
            <w:r w:rsidRPr="00DE7A05">
              <w:t xml:space="preserve"> Events. All references to “never event” or “serious reportable event” are specific to the National Quality Forum list available at </w:t>
            </w:r>
            <w:hyperlink r:id="rId166" w:history="1">
              <w:r w:rsidRPr="00A94159">
                <w:rPr>
                  <w:rStyle w:val="Hyperlink"/>
                </w:rPr>
                <w:t>http://www.qualityforum.org/WorkArea/linkit.aspx?LinkIdentifier=id&amp;ItemID=69573</w:t>
              </w:r>
            </w:hyperlink>
            <w:r w:rsidR="00C67E87" w:rsidRPr="00A94159">
              <w:rPr>
                <w:rStyle w:val="Hyperlink"/>
              </w:rPr>
              <w:t>.</w:t>
            </w:r>
            <w:r w:rsidR="00C67E87">
              <w:rPr>
                <w:rStyle w:val="Hyperlink"/>
                <w:color w:val="auto"/>
              </w:rPr>
              <w:t xml:space="preserve"> </w:t>
            </w:r>
          </w:p>
          <w:p w14:paraId="19450F51" w14:textId="77777777" w:rsidR="00DE7A05" w:rsidRDefault="00DE7A05" w:rsidP="00FB7199">
            <w:pPr>
              <w:pStyle w:val="EndnoteText"/>
              <w:rPr>
                <w:rStyle w:val="Hyperlink"/>
                <w:color w:val="auto"/>
              </w:rPr>
            </w:pPr>
          </w:p>
          <w:p w14:paraId="09695CF0" w14:textId="77777777" w:rsidR="00DE7A05" w:rsidRPr="00DE7A05" w:rsidRDefault="00DE7A05" w:rsidP="00FB7199">
            <w:pPr>
              <w:pStyle w:val="EndnoteText"/>
              <w:rPr>
                <w:rStyle w:val="Hyperlink"/>
                <w:color w:val="auto"/>
              </w:rPr>
            </w:pPr>
          </w:p>
          <w:tbl>
            <w:tblPr>
              <w:tblStyle w:val="TableGrid"/>
              <w:tblW w:w="9562" w:type="dxa"/>
              <w:jc w:val="center"/>
              <w:tblLayout w:type="fixed"/>
              <w:tblLook w:val="04A0" w:firstRow="1" w:lastRow="0" w:firstColumn="1" w:lastColumn="0" w:noHBand="0" w:noVBand="1"/>
            </w:tblPr>
            <w:tblGrid>
              <w:gridCol w:w="9562"/>
            </w:tblGrid>
            <w:tr w:rsidR="00DE7A05" w14:paraId="11132F25" w14:textId="77777777" w:rsidTr="0028173F">
              <w:trPr>
                <w:jc w:val="center"/>
              </w:trPr>
              <w:tc>
                <w:tcPr>
                  <w:tcW w:w="9562" w:type="dxa"/>
                  <w:tcBorders>
                    <w:left w:val="nil"/>
                    <w:bottom w:val="nil"/>
                    <w:right w:val="nil"/>
                  </w:tcBorders>
                  <w:shd w:val="clear" w:color="auto" w:fill="auto"/>
                  <w:vAlign w:val="center"/>
                </w:tcPr>
                <w:p w14:paraId="2A1F13BE" w14:textId="77777777" w:rsidR="00DE7A05" w:rsidRDefault="00DE7A05" w:rsidP="00FB7199">
                  <w:pPr>
                    <w:pStyle w:val="EndnoteText"/>
                  </w:pPr>
                </w:p>
                <w:p w14:paraId="05452E7A" w14:textId="77777777" w:rsidR="00DE7A05" w:rsidRDefault="00DE7A05" w:rsidP="00FB7199">
                  <w:pPr>
                    <w:pStyle w:val="EndnoteText"/>
                  </w:pPr>
                  <w:r>
                    <w:t>Indicate below your hospital’s efforts in relation to The Leapfrog Group policy statement on “Never Events.”</w:t>
                  </w:r>
                </w:p>
                <w:p w14:paraId="4A14B89D" w14:textId="77777777" w:rsidR="0028173F" w:rsidRDefault="0028173F" w:rsidP="00FB7199">
                  <w:pPr>
                    <w:pStyle w:val="EndnoteText"/>
                  </w:pPr>
                </w:p>
                <w:tbl>
                  <w:tblPr>
                    <w:tblStyle w:val="TableGrid"/>
                    <w:tblW w:w="0" w:type="auto"/>
                    <w:tblLayout w:type="fixed"/>
                    <w:tblLook w:val="04A0" w:firstRow="1" w:lastRow="0" w:firstColumn="1" w:lastColumn="0" w:noHBand="0" w:noVBand="1"/>
                  </w:tblPr>
                  <w:tblGrid>
                    <w:gridCol w:w="7159"/>
                    <w:gridCol w:w="2177"/>
                  </w:tblGrid>
                  <w:tr w:rsidR="0028173F" w14:paraId="096F18D4" w14:textId="77777777" w:rsidTr="0028173F">
                    <w:tc>
                      <w:tcPr>
                        <w:tcW w:w="7159" w:type="dxa"/>
                        <w:vAlign w:val="center"/>
                      </w:tcPr>
                      <w:p w14:paraId="17FB4504" w14:textId="77777777" w:rsidR="0028173F" w:rsidRDefault="0028173F" w:rsidP="00ED58C1">
                        <w:pPr>
                          <w:pStyle w:val="EndnoteText"/>
                          <w:numPr>
                            <w:ilvl w:val="0"/>
                            <w:numId w:val="127"/>
                          </w:numPr>
                        </w:pPr>
                        <w:r>
                          <w:t xml:space="preserve">Has your hospital implemented a policy that adheres to </w:t>
                        </w:r>
                        <w:r w:rsidRPr="0028173F">
                          <w:rPr>
                            <w:b/>
                          </w:rPr>
                          <w:t>all</w:t>
                        </w:r>
                        <w:r>
                          <w:t xml:space="preserve"> of the principles of The Leapfrog Group policy statement, above?</w:t>
                        </w:r>
                      </w:p>
                    </w:tc>
                    <w:tc>
                      <w:tcPr>
                        <w:tcW w:w="2177" w:type="dxa"/>
                      </w:tcPr>
                      <w:p w14:paraId="1D936619" w14:textId="77777777" w:rsidR="0028173F" w:rsidRDefault="0028173F" w:rsidP="0028173F">
                        <w:pPr>
                          <w:pStyle w:val="EndnoteText"/>
                          <w:spacing w:before="120" w:after="120"/>
                          <w:jc w:val="center"/>
                          <w:rPr>
                            <w:i/>
                          </w:rPr>
                        </w:pPr>
                        <w:r>
                          <w:rPr>
                            <w:i/>
                          </w:rPr>
                          <w:t>Yes</w:t>
                        </w:r>
                      </w:p>
                      <w:p w14:paraId="3AC09709" w14:textId="77777777" w:rsidR="0028173F" w:rsidRPr="0028173F" w:rsidRDefault="0028173F" w:rsidP="0028173F">
                        <w:pPr>
                          <w:pStyle w:val="EndnoteText"/>
                          <w:jc w:val="center"/>
                          <w:rPr>
                            <w:i/>
                          </w:rPr>
                        </w:pPr>
                        <w:r>
                          <w:rPr>
                            <w:i/>
                          </w:rPr>
                          <w:t>No</w:t>
                        </w:r>
                      </w:p>
                    </w:tc>
                  </w:tr>
                </w:tbl>
                <w:p w14:paraId="0618275B" w14:textId="77777777" w:rsidR="0028173F" w:rsidRDefault="0028173F" w:rsidP="00FB7199">
                  <w:pPr>
                    <w:pStyle w:val="EndnoteText"/>
                  </w:pPr>
                </w:p>
                <w:p w14:paraId="67AA7339" w14:textId="77777777" w:rsidR="00DE7A05" w:rsidRDefault="00DE7A05" w:rsidP="00FB7199">
                  <w:pPr>
                    <w:pStyle w:val="EndnoteText"/>
                  </w:pPr>
                </w:p>
              </w:tc>
            </w:tr>
          </w:tbl>
          <w:p w14:paraId="28046553" w14:textId="77777777" w:rsidR="00FB7199" w:rsidRPr="00DE7A05" w:rsidRDefault="00FB7199" w:rsidP="0028173F">
            <w:pPr>
              <w:pStyle w:val="EndnoteText"/>
              <w:pBdr>
                <w:right w:val="single" w:sz="4" w:space="1" w:color="auto"/>
              </w:pBdr>
              <w:rPr>
                <w:b/>
                <w:snapToGrid w:val="0"/>
              </w:rPr>
            </w:pPr>
          </w:p>
        </w:tc>
      </w:tr>
    </w:tbl>
    <w:p w14:paraId="38457F11" w14:textId="77777777" w:rsidR="00975425" w:rsidRPr="00DE7A05" w:rsidRDefault="00975425"/>
    <w:p w14:paraId="5D2891B4" w14:textId="77777777" w:rsidR="00975425" w:rsidRPr="00DE7A05" w:rsidRDefault="00975425">
      <w:r w:rsidRPr="00DE7A05">
        <w:br w:type="page"/>
      </w:r>
    </w:p>
    <w:p w14:paraId="786AA11F" w14:textId="77777777" w:rsidR="008910AA" w:rsidRDefault="008910AA"/>
    <w:tbl>
      <w:tblPr>
        <w:tblW w:w="9990" w:type="dxa"/>
        <w:jc w:val="center"/>
        <w:tblBorders>
          <w:top w:val="single" w:sz="24" w:space="0" w:color="auto"/>
        </w:tblBorders>
        <w:tblLayout w:type="fixed"/>
        <w:tblLook w:val="0000" w:firstRow="0" w:lastRow="0" w:firstColumn="0" w:lastColumn="0" w:noHBand="0" w:noVBand="0"/>
      </w:tblPr>
      <w:tblGrid>
        <w:gridCol w:w="7164"/>
        <w:gridCol w:w="2826"/>
      </w:tblGrid>
      <w:tr w:rsidR="008910AA" w14:paraId="7A540851" w14:textId="77777777" w:rsidTr="00EF1274">
        <w:trPr>
          <w:cantSplit/>
          <w:jc w:val="center"/>
        </w:trPr>
        <w:tc>
          <w:tcPr>
            <w:tcW w:w="9990" w:type="dxa"/>
            <w:gridSpan w:val="2"/>
            <w:tcBorders>
              <w:top w:val="single" w:sz="24" w:space="0" w:color="auto"/>
            </w:tcBorders>
          </w:tcPr>
          <w:p w14:paraId="2DB41055" w14:textId="77777777" w:rsidR="008910AA" w:rsidRPr="00D06832" w:rsidRDefault="008910AA">
            <w:pPr>
              <w:rPr>
                <w:b/>
              </w:rPr>
            </w:pPr>
            <w:r w:rsidRPr="00D06832">
              <w:br w:type="page"/>
            </w:r>
          </w:p>
          <w:p w14:paraId="6FE36046" w14:textId="77777777" w:rsidR="008910AA" w:rsidRPr="00D06832" w:rsidRDefault="005C05FF" w:rsidP="00954B73">
            <w:pPr>
              <w:pStyle w:val="Heading2"/>
              <w:rPr>
                <w:snapToGrid w:val="0"/>
              </w:rPr>
            </w:pPr>
            <w:bookmarkStart w:id="288" w:name="_Toc447195066"/>
            <w:r w:rsidRPr="00D06832">
              <w:rPr>
                <w:snapToGrid w:val="0"/>
              </w:rPr>
              <w:t xml:space="preserve">7B: </w:t>
            </w:r>
            <w:r w:rsidR="008910AA" w:rsidRPr="00D06832">
              <w:rPr>
                <w:snapToGrid w:val="0"/>
              </w:rPr>
              <w:t xml:space="preserve">Hospital-Acquired </w:t>
            </w:r>
            <w:r w:rsidR="002B2B09" w:rsidRPr="00D06832">
              <w:rPr>
                <w:snapToGrid w:val="0"/>
              </w:rPr>
              <w:t>Infections</w:t>
            </w:r>
            <w:r w:rsidR="0092265F" w:rsidRPr="00D06832">
              <w:rPr>
                <w:snapToGrid w:val="0"/>
              </w:rPr>
              <w:t xml:space="preserve"> – CLABSI and CAUTI</w:t>
            </w:r>
            <w:bookmarkEnd w:id="288"/>
          </w:p>
          <w:p w14:paraId="00F13DA4" w14:textId="77777777" w:rsidR="008910AA" w:rsidRPr="00D06832" w:rsidRDefault="008910AA">
            <w:pPr>
              <w:rPr>
                <w:snapToGrid w:val="0"/>
              </w:rPr>
            </w:pPr>
          </w:p>
          <w:p w14:paraId="41D678BF" w14:textId="77777777" w:rsidR="008910AA" w:rsidRDefault="008910AA">
            <w:pPr>
              <w:ind w:right="-108"/>
              <w:rPr>
                <w:b/>
                <w:i/>
                <w:snapToGrid w:val="0"/>
              </w:rPr>
            </w:pPr>
            <w:r w:rsidRPr="00D06832">
              <w:rPr>
                <w:b/>
                <w:snapToGrid w:val="0"/>
              </w:rPr>
              <w:t>Specifications:</w:t>
            </w:r>
            <w:r w:rsidRPr="00D06832">
              <w:rPr>
                <w:snapToGrid w:val="0"/>
              </w:rPr>
              <w:t xml:space="preserve"> See</w:t>
            </w:r>
            <w:r w:rsidRPr="00D06832">
              <w:t xml:space="preserve"> </w:t>
            </w:r>
            <w:hyperlink w:anchor="_CLABSI_and_CAUTI" w:history="1">
              <w:r w:rsidRPr="005B78E1">
                <w:rPr>
                  <w:rStyle w:val="Hyperlink"/>
                  <w:b/>
                  <w:i/>
                </w:rPr>
                <w:t xml:space="preserve">CLABSI </w:t>
              </w:r>
              <w:r w:rsidR="009A1BC1" w:rsidRPr="005B78E1">
                <w:rPr>
                  <w:rStyle w:val="Hyperlink"/>
                  <w:b/>
                  <w:i/>
                </w:rPr>
                <w:t xml:space="preserve">and CAUTI </w:t>
              </w:r>
              <w:r w:rsidR="005B78E1" w:rsidRPr="005B78E1">
                <w:rPr>
                  <w:rStyle w:val="Hyperlink"/>
                  <w:b/>
                  <w:i/>
                </w:rPr>
                <w:t>Specifications</w:t>
              </w:r>
            </w:hyperlink>
            <w:r w:rsidRPr="00D06832">
              <w:t xml:space="preserve"> in </w:t>
            </w:r>
            <w:r w:rsidR="00A03078" w:rsidRPr="00D06832">
              <w:t xml:space="preserve">the </w:t>
            </w:r>
            <w:r w:rsidR="00DB2D20" w:rsidRPr="00D06832">
              <w:t xml:space="preserve">Managing Serious Errors Reference Information on </w:t>
            </w:r>
            <w:r w:rsidR="00DB2D20" w:rsidRPr="00FF04AC">
              <w:t xml:space="preserve">pages </w:t>
            </w:r>
            <w:r w:rsidR="00F1093C" w:rsidRPr="00FF04AC">
              <w:t xml:space="preserve">133-135 </w:t>
            </w:r>
            <w:r w:rsidR="00154ED9" w:rsidRPr="00FF04AC">
              <w:t>f</w:t>
            </w:r>
            <w:r w:rsidR="002B2B09" w:rsidRPr="00FF04AC">
              <w:t>or</w:t>
            </w:r>
            <w:r w:rsidR="002B2B09" w:rsidRPr="00D06832">
              <w:t xml:space="preserve"> reporting on infections, device</w:t>
            </w:r>
            <w:r w:rsidRPr="00D06832">
              <w:t xml:space="preserve"> days, and for appropriate inclusion and exclusion criteria</w:t>
            </w:r>
            <w:r w:rsidR="002B2B09" w:rsidRPr="00D06832">
              <w:t xml:space="preserve"> as defined by the CDC/NHSN</w:t>
            </w:r>
            <w:r w:rsidRPr="00D06832">
              <w:rPr>
                <w:b/>
                <w:i/>
                <w:snapToGrid w:val="0"/>
              </w:rPr>
              <w:t>.</w:t>
            </w:r>
          </w:p>
          <w:p w14:paraId="5BE30BC1" w14:textId="77777777" w:rsidR="003607F6" w:rsidRDefault="003607F6">
            <w:pPr>
              <w:ind w:right="-108"/>
              <w:rPr>
                <w:b/>
                <w:i/>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759"/>
            </w:tblGrid>
            <w:tr w:rsidR="003607F6" w14:paraId="49A23A23" w14:textId="77777777" w:rsidTr="003607F6">
              <w:tc>
                <w:tcPr>
                  <w:tcW w:w="9759" w:type="dxa"/>
                </w:tcPr>
                <w:p w14:paraId="3046E4A6" w14:textId="77777777" w:rsidR="003607F6" w:rsidRPr="00D06832" w:rsidRDefault="003607F6" w:rsidP="00FF04AC">
                  <w:pPr>
                    <w:spacing w:before="120"/>
                    <w:rPr>
                      <w:snapToGrid w:val="0"/>
                    </w:rPr>
                  </w:pPr>
                  <w:r w:rsidRPr="00D06832">
                    <w:rPr>
                      <w:b/>
                      <w:snapToGrid w:val="0"/>
                    </w:rPr>
                    <w:t>Reporting Time Period: 12 months</w:t>
                  </w:r>
                </w:p>
                <w:p w14:paraId="2ABE7F9C" w14:textId="355E0F57" w:rsidR="003607F6" w:rsidRPr="00D06832" w:rsidRDefault="003607F6" w:rsidP="00ED58C1">
                  <w:pPr>
                    <w:pStyle w:val="ListParagraph"/>
                    <w:numPr>
                      <w:ilvl w:val="0"/>
                      <w:numId w:val="73"/>
                    </w:numPr>
                    <w:rPr>
                      <w:i/>
                      <w:snapToGrid w:val="0"/>
                    </w:rPr>
                  </w:pPr>
                  <w:r w:rsidRPr="00D06832">
                    <w:rPr>
                      <w:snapToGrid w:val="0"/>
                    </w:rPr>
                    <w:t>Surveys submitted prior to Septe</w:t>
                  </w:r>
                  <w:r w:rsidR="001C4A49">
                    <w:rPr>
                      <w:snapToGrid w:val="0"/>
                    </w:rPr>
                    <w:t>mber 1, 2016: 01/01/2015 – 12/31</w:t>
                  </w:r>
                  <w:r w:rsidRPr="00D06832">
                    <w:rPr>
                      <w:snapToGrid w:val="0"/>
                    </w:rPr>
                    <w:t>/2015</w:t>
                  </w:r>
                </w:p>
                <w:p w14:paraId="69324C33" w14:textId="77777777" w:rsidR="003607F6" w:rsidRPr="003607F6" w:rsidRDefault="003607F6" w:rsidP="00FF04AC">
                  <w:pPr>
                    <w:pStyle w:val="ListParagraph"/>
                    <w:numPr>
                      <w:ilvl w:val="0"/>
                      <w:numId w:val="73"/>
                    </w:numPr>
                    <w:spacing w:after="120"/>
                    <w:rPr>
                      <w:i/>
                      <w:snapToGrid w:val="0"/>
                    </w:rPr>
                  </w:pPr>
                  <w:r w:rsidRPr="00D06832">
                    <w:rPr>
                      <w:snapToGrid w:val="0"/>
                    </w:rPr>
                    <w:t>Surveys (re)submitted on or after September 1, 2016: 07/01/2015 – 06/30/2016</w:t>
                  </w:r>
                </w:p>
              </w:tc>
            </w:tr>
          </w:tbl>
          <w:p w14:paraId="6F9D22FC" w14:textId="77777777" w:rsidR="008910AA" w:rsidRPr="00D06832" w:rsidRDefault="008709B0" w:rsidP="006B287B">
            <w:pPr>
              <w:rPr>
                <w:i/>
                <w:snapToGrid w:val="0"/>
              </w:rPr>
            </w:pPr>
            <w:r w:rsidRPr="00D06832">
              <w:rPr>
                <w:snapToGrid w:val="0"/>
              </w:rPr>
              <w:br/>
            </w:r>
          </w:p>
        </w:tc>
      </w:tr>
      <w:tr w:rsidR="00730AB6" w:rsidRPr="00881663" w14:paraId="78DAF701"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left w:val="single" w:sz="4" w:space="0" w:color="auto"/>
              <w:bottom w:val="single" w:sz="4" w:space="0" w:color="auto"/>
              <w:right w:val="single" w:sz="4" w:space="0" w:color="auto"/>
            </w:tcBorders>
            <w:vAlign w:val="center"/>
          </w:tcPr>
          <w:p w14:paraId="04D0057D" w14:textId="77777777" w:rsidR="00730AB6" w:rsidRPr="00881663" w:rsidRDefault="00622D92" w:rsidP="00ED58C1">
            <w:pPr>
              <w:numPr>
                <w:ilvl w:val="0"/>
                <w:numId w:val="25"/>
              </w:numPr>
            </w:pPr>
            <w:r>
              <w:rPr>
                <w:snapToGrid w:val="0"/>
                <w:color w:val="000000"/>
              </w:rPr>
              <w:t>12-month r</w:t>
            </w:r>
            <w:r w:rsidR="00A741C5" w:rsidRPr="00881663">
              <w:rPr>
                <w:snapToGrid w:val="0"/>
                <w:color w:val="000000"/>
              </w:rPr>
              <w:t>eporting time period used:</w:t>
            </w:r>
          </w:p>
        </w:tc>
        <w:tc>
          <w:tcPr>
            <w:tcW w:w="2826" w:type="dxa"/>
            <w:tcBorders>
              <w:top w:val="single" w:sz="4" w:space="0" w:color="auto"/>
              <w:left w:val="single" w:sz="4" w:space="0" w:color="auto"/>
              <w:bottom w:val="single" w:sz="4" w:space="0" w:color="auto"/>
            </w:tcBorders>
          </w:tcPr>
          <w:p w14:paraId="3B6F3BD7" w14:textId="77777777" w:rsidR="00287D28" w:rsidRPr="00D06832" w:rsidRDefault="00EF1274" w:rsidP="00ED58C1">
            <w:pPr>
              <w:pStyle w:val="ListParagraph"/>
              <w:numPr>
                <w:ilvl w:val="0"/>
                <w:numId w:val="51"/>
              </w:numPr>
              <w:rPr>
                <w:i/>
              </w:rPr>
            </w:pPr>
            <w:r w:rsidRPr="00D06832">
              <w:rPr>
                <w:snapToGrid w:val="0"/>
              </w:rPr>
              <w:t>01/01/2015 – 12/</w:t>
            </w:r>
            <w:r w:rsidR="00F20739" w:rsidRPr="00D06832">
              <w:rPr>
                <w:snapToGrid w:val="0"/>
              </w:rPr>
              <w:t>31</w:t>
            </w:r>
            <w:r w:rsidRPr="00D06832">
              <w:rPr>
                <w:snapToGrid w:val="0"/>
              </w:rPr>
              <w:t>/2015</w:t>
            </w:r>
          </w:p>
          <w:p w14:paraId="3557801F" w14:textId="77777777" w:rsidR="00730AB6" w:rsidRPr="00D06832" w:rsidRDefault="00C82064" w:rsidP="00ED58C1">
            <w:pPr>
              <w:pStyle w:val="ListParagraph"/>
              <w:numPr>
                <w:ilvl w:val="0"/>
                <w:numId w:val="51"/>
              </w:numPr>
              <w:rPr>
                <w:i/>
              </w:rPr>
            </w:pPr>
            <w:r w:rsidRPr="00D06832">
              <w:rPr>
                <w:snapToGrid w:val="0"/>
              </w:rPr>
              <w:t>07</w:t>
            </w:r>
            <w:r w:rsidR="00EF1274" w:rsidRPr="00D06832">
              <w:rPr>
                <w:snapToGrid w:val="0"/>
              </w:rPr>
              <w:t>/01/2015 – 06/30/2016</w:t>
            </w:r>
          </w:p>
        </w:tc>
      </w:tr>
      <w:tr w:rsidR="003672CC" w:rsidRPr="00881663" w14:paraId="07EEAC47"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left w:val="single" w:sz="4" w:space="0" w:color="auto"/>
              <w:bottom w:val="single" w:sz="4" w:space="0" w:color="auto"/>
              <w:right w:val="single" w:sz="4" w:space="0" w:color="auto"/>
            </w:tcBorders>
            <w:vAlign w:val="center"/>
          </w:tcPr>
          <w:p w14:paraId="0342E817" w14:textId="77777777" w:rsidR="001A1C57" w:rsidRDefault="003672CC" w:rsidP="00FF04AC">
            <w:pPr>
              <w:numPr>
                <w:ilvl w:val="0"/>
                <w:numId w:val="25"/>
              </w:numPr>
              <w:spacing w:before="120"/>
              <w:rPr>
                <w:snapToGrid w:val="0"/>
                <w:color w:val="000000"/>
              </w:rPr>
            </w:pPr>
            <w:r>
              <w:rPr>
                <w:snapToGrid w:val="0"/>
                <w:color w:val="000000"/>
              </w:rPr>
              <w:t xml:space="preserve">Does your hospital operate one or more of the intensive care units (ICUs) listed in question #8 below? </w:t>
            </w:r>
          </w:p>
          <w:p w14:paraId="38CE5E3F" w14:textId="77777777" w:rsidR="001A1C57" w:rsidRDefault="001A1C57" w:rsidP="001A1C57">
            <w:pPr>
              <w:ind w:left="360"/>
              <w:rPr>
                <w:snapToGrid w:val="0"/>
                <w:color w:val="000000"/>
              </w:rPr>
            </w:pPr>
          </w:p>
          <w:p w14:paraId="600270F4" w14:textId="77777777" w:rsidR="003672CC" w:rsidRPr="001A1C57" w:rsidRDefault="001A1C57" w:rsidP="00FF04AC">
            <w:pPr>
              <w:spacing w:after="120"/>
              <w:ind w:left="360"/>
              <w:rPr>
                <w:i/>
                <w:snapToGrid w:val="0"/>
                <w:color w:val="000000"/>
              </w:rPr>
            </w:pPr>
            <w:r w:rsidRPr="00FF04AC">
              <w:rPr>
                <w:i/>
              </w:rPr>
              <w:t>If “no”, skip questions #3-10 and proceed to the next subsection.</w:t>
            </w:r>
          </w:p>
        </w:tc>
        <w:tc>
          <w:tcPr>
            <w:tcW w:w="2826" w:type="dxa"/>
            <w:tcBorders>
              <w:top w:val="single" w:sz="4" w:space="0" w:color="auto"/>
              <w:left w:val="single" w:sz="4" w:space="0" w:color="auto"/>
              <w:bottom w:val="single" w:sz="4" w:space="0" w:color="auto"/>
            </w:tcBorders>
          </w:tcPr>
          <w:p w14:paraId="58B417DB" w14:textId="77777777" w:rsidR="003672CC" w:rsidRPr="00D06832" w:rsidRDefault="003672CC" w:rsidP="003672CC">
            <w:pPr>
              <w:jc w:val="center"/>
              <w:rPr>
                <w:i/>
              </w:rPr>
            </w:pPr>
            <w:r w:rsidRPr="00D06832">
              <w:rPr>
                <w:i/>
              </w:rPr>
              <w:t>Yes</w:t>
            </w:r>
          </w:p>
          <w:p w14:paraId="100416E3" w14:textId="77777777" w:rsidR="003672CC" w:rsidRPr="00D06832" w:rsidRDefault="003672CC" w:rsidP="003672CC">
            <w:pPr>
              <w:jc w:val="center"/>
            </w:pPr>
            <w:r w:rsidRPr="00D06832">
              <w:rPr>
                <w:i/>
              </w:rPr>
              <w:t>No</w:t>
            </w:r>
          </w:p>
        </w:tc>
      </w:tr>
      <w:tr w:rsidR="008910AA" w14:paraId="305AC833"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tcBorders>
          </w:tcPr>
          <w:p w14:paraId="6A53E0E7" w14:textId="77777777" w:rsidR="0080537B" w:rsidRPr="0080537B" w:rsidRDefault="008709B0" w:rsidP="00C66199">
            <w:pPr>
              <w:numPr>
                <w:ilvl w:val="0"/>
                <w:numId w:val="25"/>
              </w:numPr>
              <w:spacing w:before="120"/>
            </w:pPr>
            <w:r w:rsidRPr="005C3293">
              <w:t>Has your hospital measured its incidence of Central Line</w:t>
            </w:r>
            <w:r w:rsidR="003A7DE0">
              <w:t>-</w:t>
            </w:r>
            <w:r w:rsidRPr="005C3293">
              <w:t>Associated Blood</w:t>
            </w:r>
            <w:r w:rsidR="003A7DE0">
              <w:t>s</w:t>
            </w:r>
            <w:r w:rsidRPr="005C3293">
              <w:t xml:space="preserve">tream Infections (CLABSI) </w:t>
            </w:r>
            <w:r w:rsidR="006C19DE">
              <w:t xml:space="preserve">in an </w:t>
            </w:r>
            <w:r w:rsidR="00CF7E11">
              <w:t>intensive</w:t>
            </w:r>
            <w:r w:rsidR="006C19DE">
              <w:t xml:space="preserve"> care unit </w:t>
            </w:r>
            <w:r w:rsidRPr="005C3293">
              <w:t>for the Reporting Time Period</w:t>
            </w:r>
            <w:r w:rsidR="0080537B">
              <w:t xml:space="preserve"> using definitions and measure specifications developed by the CDC’s National Healthcare Safety Network (NHSN) </w:t>
            </w:r>
            <w:r w:rsidRPr="005C3293">
              <w:t xml:space="preserve">and chosen to report this information to the survey? </w:t>
            </w:r>
            <w:r w:rsidRPr="005C3293">
              <w:br/>
            </w:r>
          </w:p>
          <w:p w14:paraId="2EE7F834" w14:textId="77777777" w:rsidR="008910AA" w:rsidRDefault="008709B0" w:rsidP="0080537B">
            <w:pPr>
              <w:ind w:left="360"/>
              <w:rPr>
                <w:i/>
              </w:rPr>
            </w:pPr>
            <w:r w:rsidRPr="005C3293">
              <w:rPr>
                <w:i/>
              </w:rPr>
              <w:t xml:space="preserve">If </w:t>
            </w:r>
            <w:r w:rsidR="00F52A94">
              <w:rPr>
                <w:i/>
              </w:rPr>
              <w:t>“</w:t>
            </w:r>
            <w:r w:rsidRPr="005C3293">
              <w:rPr>
                <w:i/>
              </w:rPr>
              <w:t>no,</w:t>
            </w:r>
            <w:r w:rsidR="00F52A94">
              <w:rPr>
                <w:i/>
              </w:rPr>
              <w:t>”</w:t>
            </w:r>
            <w:r w:rsidRPr="005C3293">
              <w:rPr>
                <w:i/>
              </w:rPr>
              <w:t xml:space="preserve"> </w:t>
            </w:r>
            <w:r w:rsidR="006B287B">
              <w:rPr>
                <w:i/>
              </w:rPr>
              <w:t xml:space="preserve">CLABSI </w:t>
            </w:r>
            <w:r w:rsidR="00F52A94">
              <w:rPr>
                <w:i/>
              </w:rPr>
              <w:t>score will show as “</w:t>
            </w:r>
            <w:r w:rsidRPr="005C3293">
              <w:rPr>
                <w:i/>
              </w:rPr>
              <w:t>Declined to Respond</w:t>
            </w:r>
            <w:r w:rsidR="00F52A94">
              <w:rPr>
                <w:i/>
              </w:rPr>
              <w:t>.”</w:t>
            </w:r>
            <w:r w:rsidR="0080537B">
              <w:rPr>
                <w:i/>
              </w:rPr>
              <w:t xml:space="preserve"> If your hospital did not use the NHSN definitions and measure sp</w:t>
            </w:r>
            <w:r w:rsidR="00D96592">
              <w:rPr>
                <w:i/>
              </w:rPr>
              <w:t>ecifications, you must respond “no”</w:t>
            </w:r>
            <w:r w:rsidR="0080537B">
              <w:rPr>
                <w:i/>
              </w:rPr>
              <w:t xml:space="preserve"> to this question.</w:t>
            </w:r>
          </w:p>
          <w:p w14:paraId="1429A727" w14:textId="77777777" w:rsidR="00D96592" w:rsidRDefault="00D96592" w:rsidP="0080537B">
            <w:pPr>
              <w:ind w:left="360"/>
              <w:rPr>
                <w:i/>
              </w:rPr>
            </w:pPr>
          </w:p>
          <w:p w14:paraId="1CFE48DB" w14:textId="77777777" w:rsidR="00D96592" w:rsidRPr="005C3293" w:rsidRDefault="00D96592" w:rsidP="00C66199">
            <w:pPr>
              <w:spacing w:after="120"/>
              <w:ind w:left="360"/>
            </w:pPr>
            <w:r>
              <w:rPr>
                <w:i/>
              </w:rPr>
              <w:t>If “yes, but did not have any central line days during the reporting period,” CLABSI score will show as “Does Not Apply.”</w:t>
            </w:r>
          </w:p>
        </w:tc>
        <w:tc>
          <w:tcPr>
            <w:tcW w:w="2826" w:type="dxa"/>
            <w:tcBorders>
              <w:top w:val="single" w:sz="4" w:space="0" w:color="auto"/>
              <w:left w:val="nil"/>
            </w:tcBorders>
            <w:vAlign w:val="center"/>
          </w:tcPr>
          <w:p w14:paraId="623DAA2F" w14:textId="77777777" w:rsidR="008910AA" w:rsidRPr="00D06832" w:rsidRDefault="008910AA" w:rsidP="00D76F17">
            <w:pPr>
              <w:jc w:val="center"/>
              <w:rPr>
                <w:i/>
              </w:rPr>
            </w:pPr>
            <w:r w:rsidRPr="00D06832">
              <w:rPr>
                <w:i/>
              </w:rPr>
              <w:t>Yes</w:t>
            </w:r>
          </w:p>
          <w:p w14:paraId="72B6C8DA" w14:textId="77777777" w:rsidR="00F52A94" w:rsidRPr="00D06832" w:rsidRDefault="00F52A94" w:rsidP="00D76F17">
            <w:pPr>
              <w:jc w:val="center"/>
              <w:rPr>
                <w:i/>
              </w:rPr>
            </w:pPr>
          </w:p>
          <w:p w14:paraId="69445618" w14:textId="77777777" w:rsidR="008910AA" w:rsidRPr="00D06832" w:rsidRDefault="008910AA" w:rsidP="00D76F17">
            <w:pPr>
              <w:jc w:val="center"/>
              <w:rPr>
                <w:i/>
              </w:rPr>
            </w:pPr>
            <w:r w:rsidRPr="00D06832">
              <w:rPr>
                <w:i/>
              </w:rPr>
              <w:t>No</w:t>
            </w:r>
          </w:p>
          <w:p w14:paraId="7DA7BD24" w14:textId="77777777" w:rsidR="00F52A94" w:rsidRPr="00D06832" w:rsidRDefault="00F52A94" w:rsidP="00D76F17">
            <w:pPr>
              <w:jc w:val="center"/>
              <w:rPr>
                <w:i/>
              </w:rPr>
            </w:pPr>
          </w:p>
          <w:p w14:paraId="271019E5" w14:textId="77777777" w:rsidR="00F52A94" w:rsidRPr="00D06832" w:rsidRDefault="00F52A94" w:rsidP="00D76F17">
            <w:pPr>
              <w:jc w:val="center"/>
              <w:rPr>
                <w:i/>
              </w:rPr>
            </w:pPr>
            <w:r w:rsidRPr="00D06832">
              <w:rPr>
                <w:i/>
              </w:rPr>
              <w:t>Yes, but did not have any central</w:t>
            </w:r>
            <w:r w:rsidR="005B4BE7">
              <w:rPr>
                <w:i/>
              </w:rPr>
              <w:t xml:space="preserve"> </w:t>
            </w:r>
            <w:r w:rsidRPr="00D06832">
              <w:rPr>
                <w:i/>
              </w:rPr>
              <w:t>line days during the reporting period</w:t>
            </w:r>
          </w:p>
          <w:p w14:paraId="2FBE3DEF" w14:textId="77777777" w:rsidR="008910AA" w:rsidRPr="00D06832" w:rsidRDefault="008910AA" w:rsidP="00D76F17">
            <w:pPr>
              <w:jc w:val="center"/>
              <w:rPr>
                <w:i/>
              </w:rPr>
            </w:pPr>
          </w:p>
        </w:tc>
      </w:tr>
      <w:tr w:rsidR="002B2B09" w14:paraId="2E0E47A0"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tcBorders>
          </w:tcPr>
          <w:p w14:paraId="25BF2638" w14:textId="77777777" w:rsidR="002B2B09" w:rsidRPr="00D06832" w:rsidRDefault="002B2B09" w:rsidP="00C66199">
            <w:pPr>
              <w:numPr>
                <w:ilvl w:val="0"/>
                <w:numId w:val="25"/>
              </w:numPr>
              <w:spacing w:before="120"/>
            </w:pPr>
            <w:r w:rsidRPr="00D06832">
              <w:t>Has your hospital measured its incidence of Catheter</w:t>
            </w:r>
            <w:r w:rsidR="003A7DE0">
              <w:t>-</w:t>
            </w:r>
            <w:r w:rsidRPr="00D06832">
              <w:t xml:space="preserve">Associated Urinary Tract Infections (CAUTI) </w:t>
            </w:r>
            <w:r w:rsidR="006C19DE" w:rsidRPr="00D06832">
              <w:t xml:space="preserve">in an intensive care unit </w:t>
            </w:r>
            <w:r w:rsidRPr="00D06832">
              <w:t xml:space="preserve">for the Reporting Time Period using definitions and measure specifications developed by the CDC’s National Healthcare Safety Network (NHSN) and chosen to report this information to the survey? </w:t>
            </w:r>
            <w:r w:rsidRPr="00D06832">
              <w:br/>
            </w:r>
          </w:p>
          <w:p w14:paraId="3129F615" w14:textId="77777777" w:rsidR="002B2B09" w:rsidRPr="00D06832" w:rsidRDefault="002B2B09" w:rsidP="002B2B09">
            <w:pPr>
              <w:ind w:left="360"/>
              <w:rPr>
                <w:i/>
              </w:rPr>
            </w:pPr>
            <w:r w:rsidRPr="00D06832">
              <w:rPr>
                <w:i/>
              </w:rPr>
              <w:t xml:space="preserve">If </w:t>
            </w:r>
            <w:r w:rsidR="00F52A94" w:rsidRPr="00D06832">
              <w:rPr>
                <w:i/>
              </w:rPr>
              <w:t>“</w:t>
            </w:r>
            <w:r w:rsidRPr="00D06832">
              <w:rPr>
                <w:i/>
              </w:rPr>
              <w:t>no,</w:t>
            </w:r>
            <w:r w:rsidR="00F52A94" w:rsidRPr="00D06832">
              <w:rPr>
                <w:i/>
              </w:rPr>
              <w:t>”</w:t>
            </w:r>
            <w:r w:rsidRPr="00D06832">
              <w:rPr>
                <w:i/>
              </w:rPr>
              <w:t xml:space="preserve"> </w:t>
            </w:r>
            <w:r w:rsidR="006B287B" w:rsidRPr="00D06832">
              <w:rPr>
                <w:i/>
              </w:rPr>
              <w:t xml:space="preserve">CAUTI </w:t>
            </w:r>
            <w:r w:rsidR="00F52A94" w:rsidRPr="00D06832">
              <w:rPr>
                <w:i/>
              </w:rPr>
              <w:t>score will show as “</w:t>
            </w:r>
            <w:r w:rsidRPr="00D06832">
              <w:rPr>
                <w:i/>
              </w:rPr>
              <w:t>Declined to Respond</w:t>
            </w:r>
            <w:r w:rsidR="006B287B" w:rsidRPr="00D06832">
              <w:rPr>
                <w:i/>
              </w:rPr>
              <w:t>.</w:t>
            </w:r>
            <w:r w:rsidR="00F52A94" w:rsidRPr="00D06832">
              <w:rPr>
                <w:i/>
              </w:rPr>
              <w:t>”</w:t>
            </w:r>
            <w:r w:rsidRPr="00D06832">
              <w:rPr>
                <w:i/>
              </w:rPr>
              <w:t xml:space="preserve"> If your hospital did not use the NHSN definitions and measure sp</w:t>
            </w:r>
            <w:r w:rsidR="00F52A94" w:rsidRPr="00D06832">
              <w:rPr>
                <w:i/>
              </w:rPr>
              <w:t>ecifications, you must respond “no”</w:t>
            </w:r>
            <w:r w:rsidRPr="00D06832">
              <w:rPr>
                <w:i/>
              </w:rPr>
              <w:t xml:space="preserve"> to this question.</w:t>
            </w:r>
          </w:p>
          <w:p w14:paraId="31D23EE6" w14:textId="77777777" w:rsidR="00D96592" w:rsidRPr="00D06832" w:rsidRDefault="00D96592" w:rsidP="002B2B09">
            <w:pPr>
              <w:ind w:left="360"/>
              <w:rPr>
                <w:i/>
              </w:rPr>
            </w:pPr>
          </w:p>
          <w:p w14:paraId="69C3CB07" w14:textId="77777777" w:rsidR="00D96592" w:rsidRPr="00D06832" w:rsidRDefault="00D96592" w:rsidP="00C66199">
            <w:pPr>
              <w:spacing w:after="120"/>
              <w:ind w:left="360"/>
            </w:pPr>
            <w:r w:rsidRPr="00D06832">
              <w:rPr>
                <w:i/>
              </w:rPr>
              <w:t xml:space="preserve">If “yes, but did not have any </w:t>
            </w:r>
            <w:r w:rsidR="00296B88">
              <w:rPr>
                <w:i/>
              </w:rPr>
              <w:t>catheter</w:t>
            </w:r>
            <w:r w:rsidRPr="00D06832">
              <w:rPr>
                <w:i/>
              </w:rPr>
              <w:t xml:space="preserve"> days during the reporting period,” CAUTI score will show as “Does Not Apply.”</w:t>
            </w:r>
          </w:p>
        </w:tc>
        <w:tc>
          <w:tcPr>
            <w:tcW w:w="2826" w:type="dxa"/>
            <w:tcBorders>
              <w:top w:val="single" w:sz="4" w:space="0" w:color="auto"/>
              <w:left w:val="nil"/>
            </w:tcBorders>
            <w:vAlign w:val="center"/>
          </w:tcPr>
          <w:p w14:paraId="1750C4B4" w14:textId="77777777" w:rsidR="002B2B09" w:rsidRPr="00D06832" w:rsidRDefault="006B287B" w:rsidP="00D76F17">
            <w:pPr>
              <w:jc w:val="center"/>
              <w:rPr>
                <w:i/>
              </w:rPr>
            </w:pPr>
            <w:r w:rsidRPr="00D06832">
              <w:rPr>
                <w:i/>
              </w:rPr>
              <w:t>Yes</w:t>
            </w:r>
          </w:p>
          <w:p w14:paraId="1096FC38" w14:textId="77777777" w:rsidR="00F52A94" w:rsidRPr="00D06832" w:rsidRDefault="00F52A94" w:rsidP="00D76F17">
            <w:pPr>
              <w:jc w:val="center"/>
              <w:rPr>
                <w:i/>
              </w:rPr>
            </w:pPr>
          </w:p>
          <w:p w14:paraId="0B56A71F" w14:textId="77777777" w:rsidR="006B287B" w:rsidRPr="00D06832" w:rsidRDefault="006B287B" w:rsidP="00D76F17">
            <w:pPr>
              <w:jc w:val="center"/>
              <w:rPr>
                <w:i/>
              </w:rPr>
            </w:pPr>
            <w:r w:rsidRPr="00D06832">
              <w:rPr>
                <w:i/>
              </w:rPr>
              <w:t>No</w:t>
            </w:r>
          </w:p>
          <w:p w14:paraId="1655FB46" w14:textId="77777777" w:rsidR="00F52A94" w:rsidRPr="00D06832" w:rsidRDefault="00F52A94" w:rsidP="00D76F17">
            <w:pPr>
              <w:jc w:val="center"/>
              <w:rPr>
                <w:i/>
              </w:rPr>
            </w:pPr>
          </w:p>
          <w:p w14:paraId="7B9569F1" w14:textId="77777777" w:rsidR="00F52A94" w:rsidRPr="00D06832" w:rsidRDefault="00F52A94" w:rsidP="00D76F17">
            <w:pPr>
              <w:jc w:val="center"/>
              <w:rPr>
                <w:i/>
              </w:rPr>
            </w:pPr>
            <w:r w:rsidRPr="00D06832">
              <w:rPr>
                <w:i/>
              </w:rPr>
              <w:t>Yes, but did not have any catheter days during the reporting period</w:t>
            </w:r>
          </w:p>
        </w:tc>
      </w:tr>
      <w:tr w:rsidR="00EE7787" w14:paraId="0296C79E"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2"/>
          <w:jc w:val="center"/>
        </w:trPr>
        <w:tc>
          <w:tcPr>
            <w:tcW w:w="7164" w:type="dxa"/>
            <w:vAlign w:val="center"/>
          </w:tcPr>
          <w:p w14:paraId="74DE8F60" w14:textId="77777777" w:rsidR="00EE7787" w:rsidRPr="00D06832" w:rsidRDefault="0080537B" w:rsidP="00C66199">
            <w:pPr>
              <w:numPr>
                <w:ilvl w:val="0"/>
                <w:numId w:val="25"/>
              </w:numPr>
              <w:spacing w:before="120"/>
            </w:pPr>
            <w:r w:rsidRPr="00D06832">
              <w:t>Has</w:t>
            </w:r>
            <w:r w:rsidR="00EE7787" w:rsidRPr="00D06832">
              <w:t xml:space="preserve"> your hospital report</w:t>
            </w:r>
            <w:r w:rsidRPr="00D06832">
              <w:t>ed</w:t>
            </w:r>
            <w:r w:rsidR="00EE7787" w:rsidRPr="00D06832">
              <w:t xml:space="preserve"> this information </w:t>
            </w:r>
            <w:r w:rsidR="006E1239" w:rsidRPr="00D06832">
              <w:t xml:space="preserve">(referred to in question #3 and #4) </w:t>
            </w:r>
            <w:r w:rsidR="00EE7787" w:rsidRPr="00D06832">
              <w:t>to the CDC/NHSN?</w:t>
            </w:r>
          </w:p>
          <w:p w14:paraId="192F564E" w14:textId="77777777" w:rsidR="001A1C57" w:rsidRDefault="001A1C57" w:rsidP="00F851C2">
            <w:pPr>
              <w:ind w:left="360"/>
              <w:rPr>
                <w:i/>
              </w:rPr>
            </w:pPr>
          </w:p>
          <w:p w14:paraId="480EAEB3" w14:textId="77777777" w:rsidR="00EE7787" w:rsidRPr="00D06832" w:rsidRDefault="00EE7787" w:rsidP="00C66199">
            <w:pPr>
              <w:spacing w:after="120"/>
              <w:ind w:left="360"/>
              <w:rPr>
                <w:i/>
              </w:rPr>
            </w:pPr>
            <w:r w:rsidRPr="00D06832">
              <w:rPr>
                <w:i/>
              </w:rPr>
              <w:t xml:space="preserve">Continue with question </w:t>
            </w:r>
            <w:r w:rsidR="005C2B38" w:rsidRPr="00D06832">
              <w:rPr>
                <w:i/>
              </w:rPr>
              <w:t>#</w:t>
            </w:r>
            <w:r w:rsidR="003D2446" w:rsidRPr="00D06832">
              <w:rPr>
                <w:i/>
              </w:rPr>
              <w:t>6</w:t>
            </w:r>
            <w:r w:rsidRPr="00D06832">
              <w:rPr>
                <w:i/>
              </w:rPr>
              <w:t xml:space="preserve"> regardless.</w:t>
            </w:r>
          </w:p>
        </w:tc>
        <w:tc>
          <w:tcPr>
            <w:tcW w:w="2826" w:type="dxa"/>
            <w:tcBorders>
              <w:left w:val="nil"/>
            </w:tcBorders>
            <w:vAlign w:val="center"/>
          </w:tcPr>
          <w:p w14:paraId="7650E3FD" w14:textId="77777777" w:rsidR="00EE7787" w:rsidRDefault="00F851C2" w:rsidP="00D76F17">
            <w:pPr>
              <w:jc w:val="center"/>
              <w:rPr>
                <w:i/>
              </w:rPr>
            </w:pPr>
            <w:r>
              <w:rPr>
                <w:i/>
              </w:rPr>
              <w:t>Yes</w:t>
            </w:r>
          </w:p>
          <w:p w14:paraId="18474E62" w14:textId="77777777" w:rsidR="00F851C2" w:rsidRPr="005C3293" w:rsidRDefault="00F851C2" w:rsidP="00D76F17">
            <w:pPr>
              <w:jc w:val="center"/>
              <w:rPr>
                <w:i/>
              </w:rPr>
            </w:pPr>
            <w:r>
              <w:rPr>
                <w:i/>
              </w:rPr>
              <w:t>No</w:t>
            </w:r>
          </w:p>
        </w:tc>
      </w:tr>
      <w:tr w:rsidR="008910AA" w14:paraId="77AE21E8"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3"/>
          <w:jc w:val="center"/>
        </w:trPr>
        <w:tc>
          <w:tcPr>
            <w:tcW w:w="7164" w:type="dxa"/>
            <w:vAlign w:val="center"/>
          </w:tcPr>
          <w:p w14:paraId="6D74ACD9" w14:textId="155FB1E2" w:rsidR="008910AA" w:rsidRPr="00D06832" w:rsidRDefault="008910AA" w:rsidP="00ED58C1">
            <w:pPr>
              <w:numPr>
                <w:ilvl w:val="0"/>
                <w:numId w:val="25"/>
              </w:numPr>
            </w:pPr>
            <w:r w:rsidRPr="00D06832">
              <w:t>Is your hospital designated as a “</w:t>
            </w:r>
            <w:hyperlink w:anchor="Endnote42" w:history="1">
              <w:r w:rsidRPr="00C31AC3">
                <w:rPr>
                  <w:rStyle w:val="Hyperlink"/>
                </w:rPr>
                <w:t>major teaching hospital</w:t>
              </w:r>
            </w:hyperlink>
            <w:r w:rsidR="00C31AC3">
              <w:rPr>
                <w:rStyle w:val="EndnoteReference"/>
              </w:rPr>
              <w:endnoteReference w:id="43"/>
            </w:r>
            <w:r w:rsidRPr="00D06832">
              <w:t>”?</w:t>
            </w:r>
            <w:r w:rsidRPr="00D06832">
              <w:br/>
            </w:r>
            <w:r w:rsidRPr="00D06832">
              <w:br/>
            </w:r>
            <w:r w:rsidRPr="00D06832">
              <w:rPr>
                <w:i/>
              </w:rPr>
              <w:t xml:space="preserve">Continue with questions </w:t>
            </w:r>
            <w:r w:rsidR="005C2B38" w:rsidRPr="00D06832">
              <w:rPr>
                <w:i/>
              </w:rPr>
              <w:t>#</w:t>
            </w:r>
            <w:r w:rsidR="0086797A" w:rsidRPr="00D06832">
              <w:rPr>
                <w:i/>
              </w:rPr>
              <w:t>7</w:t>
            </w:r>
            <w:r w:rsidR="005E148C" w:rsidRPr="00D06832">
              <w:rPr>
                <w:i/>
              </w:rPr>
              <w:t xml:space="preserve"> </w:t>
            </w:r>
            <w:r w:rsidRPr="00D06832">
              <w:rPr>
                <w:i/>
              </w:rPr>
              <w:t>regardless.</w:t>
            </w:r>
          </w:p>
        </w:tc>
        <w:tc>
          <w:tcPr>
            <w:tcW w:w="2826" w:type="dxa"/>
            <w:tcBorders>
              <w:left w:val="nil"/>
            </w:tcBorders>
            <w:vAlign w:val="center"/>
          </w:tcPr>
          <w:p w14:paraId="3017E05F" w14:textId="77777777" w:rsidR="008910AA" w:rsidRPr="005C3293" w:rsidRDefault="008910AA" w:rsidP="00D76F17">
            <w:pPr>
              <w:jc w:val="center"/>
              <w:rPr>
                <w:i/>
              </w:rPr>
            </w:pPr>
            <w:r w:rsidRPr="005C3293">
              <w:rPr>
                <w:i/>
              </w:rPr>
              <w:t>Yes</w:t>
            </w:r>
          </w:p>
          <w:p w14:paraId="1F075755" w14:textId="77777777" w:rsidR="008910AA" w:rsidRPr="005C3293" w:rsidRDefault="008910AA" w:rsidP="00D76F17">
            <w:pPr>
              <w:jc w:val="center"/>
              <w:rPr>
                <w:i/>
              </w:rPr>
            </w:pPr>
            <w:r w:rsidRPr="005C3293">
              <w:rPr>
                <w:i/>
              </w:rPr>
              <w:t>No</w:t>
            </w:r>
          </w:p>
        </w:tc>
      </w:tr>
      <w:tr w:rsidR="00C76EDD" w14:paraId="3643B4D2"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3"/>
          <w:jc w:val="center"/>
        </w:trPr>
        <w:tc>
          <w:tcPr>
            <w:tcW w:w="7164" w:type="dxa"/>
            <w:vAlign w:val="center"/>
          </w:tcPr>
          <w:p w14:paraId="6E57ACCD" w14:textId="5D68C6F1" w:rsidR="00C76EDD" w:rsidRPr="005C3293" w:rsidRDefault="00C76EDD" w:rsidP="00ED58C1">
            <w:pPr>
              <w:numPr>
                <w:ilvl w:val="0"/>
                <w:numId w:val="25"/>
              </w:numPr>
            </w:pPr>
            <w:r>
              <w:lastRenderedPageBreak/>
              <w:t xml:space="preserve">Does your hospital utilize personnel trained in </w:t>
            </w:r>
            <w:hyperlink w:anchor="Endnote43" w:history="1">
              <w:r w:rsidRPr="00C31AC3">
                <w:rPr>
                  <w:rStyle w:val="Hyperlink"/>
                </w:rPr>
                <w:t>human factors engineering</w:t>
              </w:r>
            </w:hyperlink>
            <w:r>
              <w:rPr>
                <w:rStyle w:val="EndnoteReference"/>
              </w:rPr>
              <w:endnoteReference w:id="44"/>
            </w:r>
            <w:r w:rsidR="009077FA" w:rsidRPr="001A1C57">
              <w:rPr>
                <w:rStyle w:val="Hyperlink"/>
                <w:color w:val="auto"/>
                <w:u w:val="none"/>
              </w:rPr>
              <w:t>?</w:t>
            </w:r>
          </w:p>
        </w:tc>
        <w:tc>
          <w:tcPr>
            <w:tcW w:w="2826" w:type="dxa"/>
            <w:tcBorders>
              <w:left w:val="nil"/>
            </w:tcBorders>
            <w:vAlign w:val="center"/>
          </w:tcPr>
          <w:p w14:paraId="348D277D" w14:textId="77777777" w:rsidR="00C76EDD" w:rsidRDefault="00EC6214" w:rsidP="00D76F17">
            <w:pPr>
              <w:jc w:val="center"/>
              <w:rPr>
                <w:i/>
              </w:rPr>
            </w:pPr>
            <w:r>
              <w:rPr>
                <w:i/>
              </w:rPr>
              <w:t>Yes</w:t>
            </w:r>
          </w:p>
          <w:p w14:paraId="2630B95C" w14:textId="77777777" w:rsidR="00EC6214" w:rsidRPr="005C3293" w:rsidRDefault="00EC6214" w:rsidP="00D76F17">
            <w:pPr>
              <w:jc w:val="center"/>
              <w:rPr>
                <w:i/>
              </w:rPr>
            </w:pPr>
            <w:r>
              <w:rPr>
                <w:i/>
              </w:rPr>
              <w:t>No</w:t>
            </w:r>
          </w:p>
        </w:tc>
      </w:tr>
    </w:tbl>
    <w:p w14:paraId="6C6CE4EF" w14:textId="77777777" w:rsidR="001C0540" w:rsidRPr="001C0540" w:rsidRDefault="001C0540">
      <w:pPr>
        <w:rPr>
          <w:b/>
          <w:color w:val="FF0000"/>
        </w:rPr>
      </w:pPr>
    </w:p>
    <w:tbl>
      <w:tblPr>
        <w:tblStyle w:val="TableGrid"/>
        <w:tblW w:w="9994" w:type="dxa"/>
        <w:jc w:val="center"/>
        <w:tblLook w:val="04A0" w:firstRow="1" w:lastRow="0" w:firstColumn="1" w:lastColumn="0" w:noHBand="0" w:noVBand="1"/>
      </w:tblPr>
      <w:tblGrid>
        <w:gridCol w:w="4267"/>
        <w:gridCol w:w="5727"/>
      </w:tblGrid>
      <w:tr w:rsidR="00A7430E" w14:paraId="377607E1" w14:textId="77777777" w:rsidTr="0007258A">
        <w:trPr>
          <w:jc w:val="center"/>
        </w:trPr>
        <w:tc>
          <w:tcPr>
            <w:tcW w:w="4225" w:type="dxa"/>
          </w:tcPr>
          <w:p w14:paraId="2897A028" w14:textId="77777777" w:rsidR="00A7430E" w:rsidRDefault="00A7430E" w:rsidP="00C66199">
            <w:pPr>
              <w:pStyle w:val="ListParagraph"/>
              <w:numPr>
                <w:ilvl w:val="0"/>
                <w:numId w:val="97"/>
              </w:numPr>
              <w:spacing w:before="120"/>
            </w:pPr>
            <w:r>
              <w:t>Check all ICU types that were staffed and open during the reporting period:</w:t>
            </w:r>
          </w:p>
        </w:tc>
        <w:tc>
          <w:tcPr>
            <w:tcW w:w="5670" w:type="dxa"/>
          </w:tcPr>
          <w:p w14:paraId="5BE7F7C5" w14:textId="77777777" w:rsidR="00A7430E" w:rsidRDefault="00A7430E" w:rsidP="00C66199">
            <w:pPr>
              <w:pStyle w:val="ListParagraph"/>
              <w:numPr>
                <w:ilvl w:val="0"/>
                <w:numId w:val="98"/>
              </w:numPr>
            </w:pPr>
            <w:r>
              <w:t>Medical</w:t>
            </w:r>
          </w:p>
          <w:p w14:paraId="6D192737" w14:textId="77777777" w:rsidR="00A7430E" w:rsidRDefault="00A7430E" w:rsidP="00ED58C1">
            <w:pPr>
              <w:pStyle w:val="ListParagraph"/>
              <w:numPr>
                <w:ilvl w:val="0"/>
                <w:numId w:val="98"/>
              </w:numPr>
            </w:pPr>
            <w:r>
              <w:t>Surgical</w:t>
            </w:r>
          </w:p>
          <w:p w14:paraId="79026356" w14:textId="77777777" w:rsidR="00A7430E" w:rsidRDefault="00C74EDF" w:rsidP="00ED58C1">
            <w:pPr>
              <w:pStyle w:val="ListParagraph"/>
              <w:numPr>
                <w:ilvl w:val="0"/>
                <w:numId w:val="98"/>
              </w:numPr>
            </w:pPr>
            <w:r>
              <w:t>Medical/Surgical</w:t>
            </w:r>
          </w:p>
          <w:p w14:paraId="6BA9CBE8" w14:textId="77777777" w:rsidR="00C74EDF" w:rsidRDefault="00C74EDF" w:rsidP="00ED58C1">
            <w:pPr>
              <w:pStyle w:val="ListParagraph"/>
              <w:numPr>
                <w:ilvl w:val="0"/>
                <w:numId w:val="98"/>
              </w:numPr>
            </w:pPr>
            <w:r>
              <w:t xml:space="preserve">Pediatric Medical </w:t>
            </w:r>
          </w:p>
          <w:p w14:paraId="6C00723F" w14:textId="77777777" w:rsidR="00C74EDF" w:rsidRDefault="00C74EDF" w:rsidP="00ED58C1">
            <w:pPr>
              <w:pStyle w:val="ListParagraph"/>
              <w:numPr>
                <w:ilvl w:val="0"/>
                <w:numId w:val="98"/>
              </w:numPr>
            </w:pPr>
            <w:r>
              <w:t>Pediatric Medical/Surgical</w:t>
            </w:r>
          </w:p>
          <w:p w14:paraId="682BDB89" w14:textId="77777777" w:rsidR="00C74EDF" w:rsidRDefault="00C74EDF" w:rsidP="00ED58C1">
            <w:pPr>
              <w:pStyle w:val="ListParagraph"/>
              <w:numPr>
                <w:ilvl w:val="0"/>
                <w:numId w:val="98"/>
              </w:numPr>
            </w:pPr>
            <w:r>
              <w:t>Pediatric Cardiothoracic</w:t>
            </w:r>
          </w:p>
          <w:p w14:paraId="75921253" w14:textId="77777777" w:rsidR="00C74EDF" w:rsidRDefault="00C74EDF" w:rsidP="00ED58C1">
            <w:pPr>
              <w:pStyle w:val="ListParagraph"/>
              <w:numPr>
                <w:ilvl w:val="0"/>
                <w:numId w:val="98"/>
              </w:numPr>
            </w:pPr>
            <w:r>
              <w:t>Medical Cardiac</w:t>
            </w:r>
          </w:p>
          <w:p w14:paraId="7FD5E825" w14:textId="77777777" w:rsidR="00C74EDF" w:rsidRDefault="00C74EDF" w:rsidP="00ED58C1">
            <w:pPr>
              <w:pStyle w:val="ListParagraph"/>
              <w:numPr>
                <w:ilvl w:val="0"/>
                <w:numId w:val="98"/>
              </w:numPr>
            </w:pPr>
            <w:r>
              <w:t>Respiratory</w:t>
            </w:r>
          </w:p>
          <w:p w14:paraId="4C37C628" w14:textId="77777777" w:rsidR="00C74EDF" w:rsidRDefault="00C74EDF" w:rsidP="00ED58C1">
            <w:pPr>
              <w:pStyle w:val="ListParagraph"/>
              <w:numPr>
                <w:ilvl w:val="0"/>
                <w:numId w:val="98"/>
              </w:numPr>
            </w:pPr>
            <w:r>
              <w:t xml:space="preserve">Surgical Cardiothoracic </w:t>
            </w:r>
          </w:p>
          <w:p w14:paraId="12B9C9F8" w14:textId="77777777" w:rsidR="00C74EDF" w:rsidRDefault="00C74EDF" w:rsidP="00ED58C1">
            <w:pPr>
              <w:pStyle w:val="ListParagraph"/>
              <w:numPr>
                <w:ilvl w:val="0"/>
                <w:numId w:val="98"/>
              </w:numPr>
            </w:pPr>
            <w:r>
              <w:t>Neurologic</w:t>
            </w:r>
          </w:p>
          <w:p w14:paraId="7C85F5F9" w14:textId="77777777" w:rsidR="00C74EDF" w:rsidRDefault="00C74EDF" w:rsidP="00ED58C1">
            <w:pPr>
              <w:pStyle w:val="ListParagraph"/>
              <w:numPr>
                <w:ilvl w:val="0"/>
                <w:numId w:val="98"/>
              </w:numPr>
            </w:pPr>
            <w:r>
              <w:t>Neurosurgical</w:t>
            </w:r>
          </w:p>
          <w:p w14:paraId="3A3A4B37" w14:textId="77777777" w:rsidR="00C74EDF" w:rsidRDefault="00C74EDF" w:rsidP="00ED58C1">
            <w:pPr>
              <w:pStyle w:val="ListParagraph"/>
              <w:numPr>
                <w:ilvl w:val="0"/>
                <w:numId w:val="98"/>
              </w:numPr>
            </w:pPr>
            <w:r>
              <w:t>Burn</w:t>
            </w:r>
          </w:p>
          <w:p w14:paraId="69645D43" w14:textId="77777777" w:rsidR="00C74EDF" w:rsidRDefault="00C74EDF" w:rsidP="00ED58C1">
            <w:pPr>
              <w:pStyle w:val="ListParagraph"/>
              <w:numPr>
                <w:ilvl w:val="0"/>
                <w:numId w:val="98"/>
              </w:numPr>
            </w:pPr>
            <w:r>
              <w:t>Trauma</w:t>
            </w:r>
          </w:p>
          <w:p w14:paraId="4A5ABCD7" w14:textId="77777777" w:rsidR="00C74EDF" w:rsidRDefault="00C74EDF" w:rsidP="00ED58C1">
            <w:pPr>
              <w:pStyle w:val="ListParagraph"/>
              <w:numPr>
                <w:ilvl w:val="0"/>
                <w:numId w:val="98"/>
              </w:numPr>
            </w:pPr>
            <w:r>
              <w:t>NICU II/III</w:t>
            </w:r>
          </w:p>
          <w:p w14:paraId="160B545B" w14:textId="77777777" w:rsidR="00C74EDF" w:rsidRDefault="00C74EDF" w:rsidP="00ED58C1">
            <w:pPr>
              <w:pStyle w:val="ListParagraph"/>
              <w:numPr>
                <w:ilvl w:val="0"/>
                <w:numId w:val="98"/>
              </w:numPr>
            </w:pPr>
            <w:r>
              <w:t>NICU III</w:t>
            </w:r>
          </w:p>
          <w:p w14:paraId="4BAFEF24" w14:textId="77777777" w:rsidR="00C74EDF" w:rsidRDefault="00C74EDF" w:rsidP="00C74EDF">
            <w:pPr>
              <w:pStyle w:val="ListParagraph"/>
            </w:pPr>
          </w:p>
        </w:tc>
      </w:tr>
    </w:tbl>
    <w:p w14:paraId="493CB009" w14:textId="77777777" w:rsidR="00D96592" w:rsidRDefault="00D96592"/>
    <w:tbl>
      <w:tblPr>
        <w:tblStyle w:val="TableGrid"/>
        <w:tblW w:w="9994" w:type="dxa"/>
        <w:jc w:val="center"/>
        <w:tblLook w:val="04A0" w:firstRow="1" w:lastRow="0" w:firstColumn="1" w:lastColumn="0" w:noHBand="0" w:noVBand="1"/>
      </w:tblPr>
      <w:tblGrid>
        <w:gridCol w:w="4267"/>
        <w:gridCol w:w="2909"/>
        <w:gridCol w:w="2818"/>
      </w:tblGrid>
      <w:tr w:rsidR="00C74EDF" w14:paraId="2B9DC11C" w14:textId="77777777" w:rsidTr="0007258A">
        <w:trPr>
          <w:jc w:val="center"/>
        </w:trPr>
        <w:tc>
          <w:tcPr>
            <w:tcW w:w="9895" w:type="dxa"/>
            <w:gridSpan w:val="3"/>
            <w:vAlign w:val="center"/>
          </w:tcPr>
          <w:p w14:paraId="383A3205" w14:textId="77777777" w:rsidR="00872404" w:rsidRDefault="00872404" w:rsidP="00ED58C1">
            <w:pPr>
              <w:pStyle w:val="ListParagraph"/>
              <w:numPr>
                <w:ilvl w:val="0"/>
                <w:numId w:val="99"/>
              </w:numPr>
              <w:spacing w:before="120" w:after="120"/>
            </w:pPr>
            <w:r>
              <w:t>Total</w:t>
            </w:r>
            <w:r w:rsidR="00083C6C">
              <w:t xml:space="preserve"> number of central line days and central line</w:t>
            </w:r>
            <w:r w:rsidR="00A3027B">
              <w:t>-associated bloodstream</w:t>
            </w:r>
            <w:r w:rsidR="00083C6C">
              <w:t xml:space="preserve"> infections in each ICU type during the reporting period as reported to the CDC/NHSN</w:t>
            </w:r>
            <w:r w:rsidR="00BA1B73">
              <w:t>:</w:t>
            </w:r>
          </w:p>
        </w:tc>
      </w:tr>
      <w:tr w:rsidR="00C74EDF" w14:paraId="4ABA1E66" w14:textId="77777777" w:rsidTr="0007258A">
        <w:trPr>
          <w:jc w:val="center"/>
        </w:trPr>
        <w:tc>
          <w:tcPr>
            <w:tcW w:w="4225" w:type="dxa"/>
          </w:tcPr>
          <w:p w14:paraId="5E061A19" w14:textId="77777777" w:rsidR="00C74EDF" w:rsidRDefault="00C74EDF"/>
        </w:tc>
        <w:tc>
          <w:tcPr>
            <w:tcW w:w="2880" w:type="dxa"/>
          </w:tcPr>
          <w:p w14:paraId="2B242380" w14:textId="77777777" w:rsidR="00083C6C" w:rsidRDefault="00083C6C" w:rsidP="003F706F">
            <w:r>
              <w:t>9a)</w:t>
            </w:r>
          </w:p>
          <w:p w14:paraId="2472A6FD" w14:textId="77777777" w:rsidR="00C74EDF" w:rsidRDefault="00083C6C" w:rsidP="003F706F">
            <w:r>
              <w:t>T</w:t>
            </w:r>
            <w:r w:rsidR="00C74EDF">
              <w:t>otal number of central line</w:t>
            </w:r>
            <w:r>
              <w:t xml:space="preserve"> days</w:t>
            </w:r>
            <w:r w:rsidR="00C74EDF">
              <w:t xml:space="preserve"> </w:t>
            </w:r>
            <w:r w:rsidR="00C74EDF" w:rsidRPr="00083C6C">
              <w:rPr>
                <w:b/>
              </w:rPr>
              <w:t>(denominator</w:t>
            </w:r>
            <w:r w:rsidR="00C74EDF" w:rsidRPr="00C74EDF">
              <w:rPr>
                <w:b/>
              </w:rPr>
              <w:t>)</w:t>
            </w:r>
          </w:p>
        </w:tc>
        <w:tc>
          <w:tcPr>
            <w:tcW w:w="2790" w:type="dxa"/>
          </w:tcPr>
          <w:p w14:paraId="5D7D084F" w14:textId="77777777" w:rsidR="00C74EDF" w:rsidRDefault="00083C6C" w:rsidP="003F706F">
            <w:r>
              <w:t>9b)</w:t>
            </w:r>
          </w:p>
          <w:p w14:paraId="20B494B8" w14:textId="77777777" w:rsidR="00083C6C" w:rsidRDefault="00083C6C" w:rsidP="003F706F">
            <w:r>
              <w:t>Total number of central line</w:t>
            </w:r>
            <w:r w:rsidR="00A3027B">
              <w:t>-associated bloodstream</w:t>
            </w:r>
            <w:r>
              <w:t xml:space="preserve"> infections </w:t>
            </w:r>
            <w:r w:rsidRPr="00083C6C">
              <w:rPr>
                <w:b/>
              </w:rPr>
              <w:t>(numerator)</w:t>
            </w:r>
          </w:p>
        </w:tc>
      </w:tr>
      <w:tr w:rsidR="00C74EDF" w14:paraId="0FFF308A" w14:textId="77777777" w:rsidTr="0007258A">
        <w:trPr>
          <w:jc w:val="center"/>
        </w:trPr>
        <w:tc>
          <w:tcPr>
            <w:tcW w:w="4225" w:type="dxa"/>
          </w:tcPr>
          <w:p w14:paraId="612D1ACD" w14:textId="77777777" w:rsidR="00C74EDF" w:rsidRDefault="00083C6C">
            <w:r>
              <w:t>Medical</w:t>
            </w:r>
          </w:p>
        </w:tc>
        <w:tc>
          <w:tcPr>
            <w:tcW w:w="2880" w:type="dxa"/>
          </w:tcPr>
          <w:p w14:paraId="1A6A0BF5" w14:textId="77777777" w:rsidR="00C74EDF" w:rsidRDefault="00C74EDF"/>
        </w:tc>
        <w:tc>
          <w:tcPr>
            <w:tcW w:w="2790" w:type="dxa"/>
          </w:tcPr>
          <w:p w14:paraId="7159758A" w14:textId="77777777" w:rsidR="00C74EDF" w:rsidRDefault="00C74EDF"/>
        </w:tc>
      </w:tr>
      <w:tr w:rsidR="00C74EDF" w14:paraId="6ECF5403" w14:textId="77777777" w:rsidTr="0007258A">
        <w:trPr>
          <w:jc w:val="center"/>
        </w:trPr>
        <w:tc>
          <w:tcPr>
            <w:tcW w:w="4225" w:type="dxa"/>
          </w:tcPr>
          <w:p w14:paraId="4BF5C5EB" w14:textId="77777777" w:rsidR="00C74EDF" w:rsidRDefault="00083C6C">
            <w:r>
              <w:t>Surgical</w:t>
            </w:r>
          </w:p>
        </w:tc>
        <w:tc>
          <w:tcPr>
            <w:tcW w:w="2880" w:type="dxa"/>
          </w:tcPr>
          <w:p w14:paraId="2EB6B385" w14:textId="77777777" w:rsidR="00C74EDF" w:rsidRDefault="00C74EDF"/>
        </w:tc>
        <w:tc>
          <w:tcPr>
            <w:tcW w:w="2790" w:type="dxa"/>
          </w:tcPr>
          <w:p w14:paraId="3211C56A" w14:textId="77777777" w:rsidR="00C74EDF" w:rsidRDefault="00C74EDF"/>
        </w:tc>
      </w:tr>
      <w:tr w:rsidR="00C74EDF" w14:paraId="6B828D16" w14:textId="77777777" w:rsidTr="0007258A">
        <w:trPr>
          <w:jc w:val="center"/>
        </w:trPr>
        <w:tc>
          <w:tcPr>
            <w:tcW w:w="4225" w:type="dxa"/>
          </w:tcPr>
          <w:p w14:paraId="22D6F57F" w14:textId="77777777" w:rsidR="00C74EDF" w:rsidRDefault="00083C6C">
            <w:r>
              <w:t>Medical/Surgical</w:t>
            </w:r>
          </w:p>
        </w:tc>
        <w:tc>
          <w:tcPr>
            <w:tcW w:w="2880" w:type="dxa"/>
          </w:tcPr>
          <w:p w14:paraId="2B94CD19" w14:textId="77777777" w:rsidR="00C74EDF" w:rsidRDefault="00C74EDF"/>
        </w:tc>
        <w:tc>
          <w:tcPr>
            <w:tcW w:w="2790" w:type="dxa"/>
          </w:tcPr>
          <w:p w14:paraId="068D0842" w14:textId="77777777" w:rsidR="00C74EDF" w:rsidRDefault="00C74EDF"/>
        </w:tc>
      </w:tr>
      <w:tr w:rsidR="00C74EDF" w14:paraId="25FF258F" w14:textId="77777777" w:rsidTr="0007258A">
        <w:trPr>
          <w:jc w:val="center"/>
        </w:trPr>
        <w:tc>
          <w:tcPr>
            <w:tcW w:w="4225" w:type="dxa"/>
          </w:tcPr>
          <w:p w14:paraId="0A6B7F47" w14:textId="77777777" w:rsidR="00C74EDF" w:rsidRDefault="00083C6C">
            <w:r>
              <w:t>Pediatric Medical</w:t>
            </w:r>
          </w:p>
        </w:tc>
        <w:tc>
          <w:tcPr>
            <w:tcW w:w="2880" w:type="dxa"/>
          </w:tcPr>
          <w:p w14:paraId="58FE8B0D" w14:textId="77777777" w:rsidR="00C74EDF" w:rsidRDefault="00C74EDF"/>
        </w:tc>
        <w:tc>
          <w:tcPr>
            <w:tcW w:w="2790" w:type="dxa"/>
          </w:tcPr>
          <w:p w14:paraId="38295DC5" w14:textId="77777777" w:rsidR="00C74EDF" w:rsidRDefault="00C74EDF"/>
        </w:tc>
      </w:tr>
      <w:tr w:rsidR="00C74EDF" w14:paraId="54062B95" w14:textId="77777777" w:rsidTr="0007258A">
        <w:trPr>
          <w:jc w:val="center"/>
        </w:trPr>
        <w:tc>
          <w:tcPr>
            <w:tcW w:w="4225" w:type="dxa"/>
          </w:tcPr>
          <w:p w14:paraId="4850B45E" w14:textId="77777777" w:rsidR="00C74EDF" w:rsidRDefault="00083C6C">
            <w:r>
              <w:t>Pediatric Medical/Surgical</w:t>
            </w:r>
          </w:p>
        </w:tc>
        <w:tc>
          <w:tcPr>
            <w:tcW w:w="2880" w:type="dxa"/>
          </w:tcPr>
          <w:p w14:paraId="5B2456AF" w14:textId="77777777" w:rsidR="00C74EDF" w:rsidRDefault="00C74EDF"/>
        </w:tc>
        <w:tc>
          <w:tcPr>
            <w:tcW w:w="2790" w:type="dxa"/>
          </w:tcPr>
          <w:p w14:paraId="1C1E5DEE" w14:textId="77777777" w:rsidR="00C74EDF" w:rsidRDefault="00C74EDF"/>
        </w:tc>
      </w:tr>
      <w:tr w:rsidR="00C74EDF" w14:paraId="23F8D184" w14:textId="77777777" w:rsidTr="0007258A">
        <w:trPr>
          <w:jc w:val="center"/>
        </w:trPr>
        <w:tc>
          <w:tcPr>
            <w:tcW w:w="4225" w:type="dxa"/>
          </w:tcPr>
          <w:p w14:paraId="0BC2CED8" w14:textId="77777777" w:rsidR="00083C6C" w:rsidRDefault="00083C6C">
            <w:r>
              <w:t>Pediatric Cardiothoracic</w:t>
            </w:r>
          </w:p>
        </w:tc>
        <w:tc>
          <w:tcPr>
            <w:tcW w:w="2880" w:type="dxa"/>
          </w:tcPr>
          <w:p w14:paraId="4B85F488" w14:textId="77777777" w:rsidR="00C74EDF" w:rsidRDefault="00C74EDF"/>
        </w:tc>
        <w:tc>
          <w:tcPr>
            <w:tcW w:w="2790" w:type="dxa"/>
          </w:tcPr>
          <w:p w14:paraId="6D02EADB" w14:textId="77777777" w:rsidR="00C74EDF" w:rsidRDefault="00C74EDF"/>
        </w:tc>
      </w:tr>
      <w:tr w:rsidR="00083C6C" w14:paraId="79FFB907" w14:textId="77777777" w:rsidTr="0007258A">
        <w:trPr>
          <w:jc w:val="center"/>
        </w:trPr>
        <w:tc>
          <w:tcPr>
            <w:tcW w:w="4225" w:type="dxa"/>
          </w:tcPr>
          <w:p w14:paraId="1B8A7578" w14:textId="77777777" w:rsidR="00083C6C" w:rsidRDefault="00083C6C">
            <w:r>
              <w:t xml:space="preserve">Medical Cardiac </w:t>
            </w:r>
          </w:p>
        </w:tc>
        <w:tc>
          <w:tcPr>
            <w:tcW w:w="2880" w:type="dxa"/>
          </w:tcPr>
          <w:p w14:paraId="29C93F22" w14:textId="77777777" w:rsidR="00083C6C" w:rsidRDefault="00083C6C"/>
        </w:tc>
        <w:tc>
          <w:tcPr>
            <w:tcW w:w="2790" w:type="dxa"/>
          </w:tcPr>
          <w:p w14:paraId="2887BA38" w14:textId="77777777" w:rsidR="00083C6C" w:rsidRDefault="00083C6C"/>
        </w:tc>
      </w:tr>
      <w:tr w:rsidR="00083C6C" w14:paraId="1A72A2F1" w14:textId="77777777" w:rsidTr="0007258A">
        <w:trPr>
          <w:jc w:val="center"/>
        </w:trPr>
        <w:tc>
          <w:tcPr>
            <w:tcW w:w="4225" w:type="dxa"/>
          </w:tcPr>
          <w:p w14:paraId="626A34B5" w14:textId="77777777" w:rsidR="00083C6C" w:rsidRDefault="00083C6C">
            <w:r>
              <w:t>Respiratory</w:t>
            </w:r>
          </w:p>
        </w:tc>
        <w:tc>
          <w:tcPr>
            <w:tcW w:w="2880" w:type="dxa"/>
          </w:tcPr>
          <w:p w14:paraId="1F74E4A3" w14:textId="77777777" w:rsidR="00083C6C" w:rsidRDefault="00083C6C"/>
        </w:tc>
        <w:tc>
          <w:tcPr>
            <w:tcW w:w="2790" w:type="dxa"/>
          </w:tcPr>
          <w:p w14:paraId="627415BB" w14:textId="77777777" w:rsidR="00083C6C" w:rsidRDefault="00083C6C"/>
        </w:tc>
      </w:tr>
      <w:tr w:rsidR="00083C6C" w14:paraId="23DEBA9D" w14:textId="77777777" w:rsidTr="0007258A">
        <w:trPr>
          <w:jc w:val="center"/>
        </w:trPr>
        <w:tc>
          <w:tcPr>
            <w:tcW w:w="4225" w:type="dxa"/>
          </w:tcPr>
          <w:p w14:paraId="3AE1C2A1" w14:textId="77777777" w:rsidR="00083C6C" w:rsidRDefault="00083C6C">
            <w:r>
              <w:t>Surgical Cardiothoracic</w:t>
            </w:r>
          </w:p>
        </w:tc>
        <w:tc>
          <w:tcPr>
            <w:tcW w:w="2880" w:type="dxa"/>
          </w:tcPr>
          <w:p w14:paraId="01F4747B" w14:textId="77777777" w:rsidR="00083C6C" w:rsidRDefault="00083C6C"/>
        </w:tc>
        <w:tc>
          <w:tcPr>
            <w:tcW w:w="2790" w:type="dxa"/>
          </w:tcPr>
          <w:p w14:paraId="1A254BEE" w14:textId="77777777" w:rsidR="00083C6C" w:rsidRDefault="00083C6C"/>
        </w:tc>
      </w:tr>
      <w:tr w:rsidR="00083C6C" w14:paraId="45885302" w14:textId="77777777" w:rsidTr="0007258A">
        <w:trPr>
          <w:jc w:val="center"/>
        </w:trPr>
        <w:tc>
          <w:tcPr>
            <w:tcW w:w="4225" w:type="dxa"/>
          </w:tcPr>
          <w:p w14:paraId="32A9D8A7" w14:textId="77777777" w:rsidR="00083C6C" w:rsidRDefault="00083C6C">
            <w:r>
              <w:t>Neurologic</w:t>
            </w:r>
          </w:p>
        </w:tc>
        <w:tc>
          <w:tcPr>
            <w:tcW w:w="2880" w:type="dxa"/>
          </w:tcPr>
          <w:p w14:paraId="38E93A50" w14:textId="77777777" w:rsidR="00083C6C" w:rsidRDefault="00083C6C"/>
        </w:tc>
        <w:tc>
          <w:tcPr>
            <w:tcW w:w="2790" w:type="dxa"/>
          </w:tcPr>
          <w:p w14:paraId="666ED904" w14:textId="77777777" w:rsidR="00083C6C" w:rsidRDefault="00083C6C"/>
        </w:tc>
      </w:tr>
      <w:tr w:rsidR="00083C6C" w14:paraId="2465CEB2" w14:textId="77777777" w:rsidTr="0007258A">
        <w:trPr>
          <w:jc w:val="center"/>
        </w:trPr>
        <w:tc>
          <w:tcPr>
            <w:tcW w:w="4225" w:type="dxa"/>
          </w:tcPr>
          <w:p w14:paraId="19E5446D" w14:textId="77777777" w:rsidR="00083C6C" w:rsidRDefault="00083C6C">
            <w:r>
              <w:t xml:space="preserve">Neurosurgical </w:t>
            </w:r>
          </w:p>
        </w:tc>
        <w:tc>
          <w:tcPr>
            <w:tcW w:w="2880" w:type="dxa"/>
          </w:tcPr>
          <w:p w14:paraId="0B7ED521" w14:textId="77777777" w:rsidR="00083C6C" w:rsidRDefault="00083C6C"/>
        </w:tc>
        <w:tc>
          <w:tcPr>
            <w:tcW w:w="2790" w:type="dxa"/>
          </w:tcPr>
          <w:p w14:paraId="1BC30A10" w14:textId="77777777" w:rsidR="00083C6C" w:rsidRDefault="00083C6C"/>
        </w:tc>
      </w:tr>
      <w:tr w:rsidR="00083C6C" w14:paraId="78B6E0AE" w14:textId="77777777" w:rsidTr="0007258A">
        <w:trPr>
          <w:jc w:val="center"/>
        </w:trPr>
        <w:tc>
          <w:tcPr>
            <w:tcW w:w="4225" w:type="dxa"/>
          </w:tcPr>
          <w:p w14:paraId="70B7560E" w14:textId="77777777" w:rsidR="00083C6C" w:rsidRDefault="00083C6C">
            <w:r>
              <w:t>Burn</w:t>
            </w:r>
          </w:p>
        </w:tc>
        <w:tc>
          <w:tcPr>
            <w:tcW w:w="2880" w:type="dxa"/>
          </w:tcPr>
          <w:p w14:paraId="446D5DA8" w14:textId="77777777" w:rsidR="00083C6C" w:rsidRDefault="00083C6C"/>
        </w:tc>
        <w:tc>
          <w:tcPr>
            <w:tcW w:w="2790" w:type="dxa"/>
          </w:tcPr>
          <w:p w14:paraId="32AED890" w14:textId="77777777" w:rsidR="00083C6C" w:rsidRDefault="00083C6C"/>
        </w:tc>
      </w:tr>
      <w:tr w:rsidR="00083C6C" w14:paraId="4F08E57E" w14:textId="77777777" w:rsidTr="0007258A">
        <w:trPr>
          <w:jc w:val="center"/>
        </w:trPr>
        <w:tc>
          <w:tcPr>
            <w:tcW w:w="4225" w:type="dxa"/>
          </w:tcPr>
          <w:p w14:paraId="1AD66148" w14:textId="77777777" w:rsidR="00083C6C" w:rsidRDefault="00083C6C">
            <w:r>
              <w:t xml:space="preserve">Trauma </w:t>
            </w:r>
          </w:p>
        </w:tc>
        <w:tc>
          <w:tcPr>
            <w:tcW w:w="2880" w:type="dxa"/>
          </w:tcPr>
          <w:p w14:paraId="2D5EDA8E" w14:textId="77777777" w:rsidR="00083C6C" w:rsidRDefault="00083C6C"/>
        </w:tc>
        <w:tc>
          <w:tcPr>
            <w:tcW w:w="2790" w:type="dxa"/>
          </w:tcPr>
          <w:p w14:paraId="2AF3336F" w14:textId="77777777" w:rsidR="00083C6C" w:rsidRDefault="00083C6C"/>
        </w:tc>
      </w:tr>
      <w:tr w:rsidR="00083C6C" w14:paraId="7068A3DD" w14:textId="77777777" w:rsidTr="0007258A">
        <w:trPr>
          <w:jc w:val="center"/>
        </w:trPr>
        <w:tc>
          <w:tcPr>
            <w:tcW w:w="4225" w:type="dxa"/>
          </w:tcPr>
          <w:p w14:paraId="2358E725" w14:textId="77777777" w:rsidR="00083C6C" w:rsidRDefault="00083C6C">
            <w:r>
              <w:t>NICU II/III</w:t>
            </w:r>
          </w:p>
        </w:tc>
        <w:tc>
          <w:tcPr>
            <w:tcW w:w="2880" w:type="dxa"/>
          </w:tcPr>
          <w:p w14:paraId="24A83E26" w14:textId="77777777" w:rsidR="00083C6C" w:rsidRDefault="00083C6C"/>
        </w:tc>
        <w:tc>
          <w:tcPr>
            <w:tcW w:w="2790" w:type="dxa"/>
          </w:tcPr>
          <w:p w14:paraId="65650B1F" w14:textId="77777777" w:rsidR="00083C6C" w:rsidRDefault="00083C6C"/>
        </w:tc>
      </w:tr>
      <w:tr w:rsidR="00083C6C" w14:paraId="19D76DA1" w14:textId="77777777" w:rsidTr="0007258A">
        <w:trPr>
          <w:jc w:val="center"/>
        </w:trPr>
        <w:tc>
          <w:tcPr>
            <w:tcW w:w="4225" w:type="dxa"/>
          </w:tcPr>
          <w:p w14:paraId="79633BEF" w14:textId="77777777" w:rsidR="00083C6C" w:rsidRDefault="00083C6C">
            <w:r>
              <w:t xml:space="preserve">          &lt;= 750 g</w:t>
            </w:r>
          </w:p>
        </w:tc>
        <w:tc>
          <w:tcPr>
            <w:tcW w:w="2880" w:type="dxa"/>
          </w:tcPr>
          <w:p w14:paraId="6EFF3A54" w14:textId="77777777" w:rsidR="00083C6C" w:rsidRDefault="00083C6C"/>
        </w:tc>
        <w:tc>
          <w:tcPr>
            <w:tcW w:w="2790" w:type="dxa"/>
          </w:tcPr>
          <w:p w14:paraId="506DA81E" w14:textId="77777777" w:rsidR="00083C6C" w:rsidRDefault="00083C6C"/>
        </w:tc>
      </w:tr>
      <w:tr w:rsidR="00083C6C" w14:paraId="0349E757" w14:textId="77777777" w:rsidTr="0007258A">
        <w:trPr>
          <w:jc w:val="center"/>
        </w:trPr>
        <w:tc>
          <w:tcPr>
            <w:tcW w:w="4225" w:type="dxa"/>
          </w:tcPr>
          <w:p w14:paraId="78956E16" w14:textId="77777777" w:rsidR="00083C6C" w:rsidRPr="006109D7" w:rsidRDefault="00083C6C">
            <w:r w:rsidRPr="006109D7">
              <w:t xml:space="preserve">          751 – 1,000 g</w:t>
            </w:r>
          </w:p>
        </w:tc>
        <w:tc>
          <w:tcPr>
            <w:tcW w:w="2880" w:type="dxa"/>
          </w:tcPr>
          <w:p w14:paraId="17AD2F77" w14:textId="77777777" w:rsidR="00083C6C" w:rsidRDefault="00083C6C"/>
        </w:tc>
        <w:tc>
          <w:tcPr>
            <w:tcW w:w="2790" w:type="dxa"/>
          </w:tcPr>
          <w:p w14:paraId="6A02AA3D" w14:textId="77777777" w:rsidR="00083C6C" w:rsidRDefault="00083C6C"/>
        </w:tc>
      </w:tr>
      <w:tr w:rsidR="00083C6C" w14:paraId="171633B8" w14:textId="77777777" w:rsidTr="0007258A">
        <w:trPr>
          <w:jc w:val="center"/>
        </w:trPr>
        <w:tc>
          <w:tcPr>
            <w:tcW w:w="4225" w:type="dxa"/>
          </w:tcPr>
          <w:p w14:paraId="453CADC7" w14:textId="2BBBAA4B" w:rsidR="00083C6C" w:rsidRPr="006109D7" w:rsidRDefault="00BF6439">
            <w:r w:rsidRPr="006109D7">
              <w:t xml:space="preserve">          1,00</w:t>
            </w:r>
            <w:r w:rsidR="00083C6C" w:rsidRPr="006109D7">
              <w:t>1 – 1,500 g</w:t>
            </w:r>
          </w:p>
        </w:tc>
        <w:tc>
          <w:tcPr>
            <w:tcW w:w="2880" w:type="dxa"/>
          </w:tcPr>
          <w:p w14:paraId="43E37579" w14:textId="77777777" w:rsidR="00083C6C" w:rsidRDefault="00083C6C"/>
        </w:tc>
        <w:tc>
          <w:tcPr>
            <w:tcW w:w="2790" w:type="dxa"/>
          </w:tcPr>
          <w:p w14:paraId="081E8D0F" w14:textId="77777777" w:rsidR="00083C6C" w:rsidRDefault="00083C6C"/>
        </w:tc>
      </w:tr>
      <w:tr w:rsidR="00083C6C" w14:paraId="42920490" w14:textId="77777777" w:rsidTr="0007258A">
        <w:trPr>
          <w:jc w:val="center"/>
        </w:trPr>
        <w:tc>
          <w:tcPr>
            <w:tcW w:w="4225" w:type="dxa"/>
          </w:tcPr>
          <w:p w14:paraId="49CAE752" w14:textId="1EED58C1" w:rsidR="00083C6C" w:rsidRPr="006109D7" w:rsidRDefault="00BF6439">
            <w:r w:rsidRPr="006109D7">
              <w:t xml:space="preserve">          1,501</w:t>
            </w:r>
            <w:r w:rsidR="00083C6C" w:rsidRPr="006109D7">
              <w:t xml:space="preserve"> – 2,500 g</w:t>
            </w:r>
          </w:p>
        </w:tc>
        <w:tc>
          <w:tcPr>
            <w:tcW w:w="2880" w:type="dxa"/>
          </w:tcPr>
          <w:p w14:paraId="08190797" w14:textId="77777777" w:rsidR="00083C6C" w:rsidRDefault="00083C6C"/>
        </w:tc>
        <w:tc>
          <w:tcPr>
            <w:tcW w:w="2790" w:type="dxa"/>
          </w:tcPr>
          <w:p w14:paraId="4344D451" w14:textId="77777777" w:rsidR="00083C6C" w:rsidRDefault="00083C6C"/>
        </w:tc>
      </w:tr>
      <w:tr w:rsidR="00083C6C" w14:paraId="06319753" w14:textId="77777777" w:rsidTr="0007258A">
        <w:trPr>
          <w:jc w:val="center"/>
        </w:trPr>
        <w:tc>
          <w:tcPr>
            <w:tcW w:w="4225" w:type="dxa"/>
          </w:tcPr>
          <w:p w14:paraId="76C5D9AE" w14:textId="55643D07" w:rsidR="00083C6C" w:rsidRPr="006109D7" w:rsidRDefault="00BF6439">
            <w:r w:rsidRPr="006109D7">
              <w:t xml:space="preserve">          &gt;</w:t>
            </w:r>
            <w:r w:rsidR="00083C6C" w:rsidRPr="006109D7">
              <w:t>2,500 g</w:t>
            </w:r>
          </w:p>
        </w:tc>
        <w:tc>
          <w:tcPr>
            <w:tcW w:w="2880" w:type="dxa"/>
          </w:tcPr>
          <w:p w14:paraId="1F3CF275" w14:textId="77777777" w:rsidR="00083C6C" w:rsidRDefault="00083C6C"/>
        </w:tc>
        <w:tc>
          <w:tcPr>
            <w:tcW w:w="2790" w:type="dxa"/>
          </w:tcPr>
          <w:p w14:paraId="002E2AEE" w14:textId="77777777" w:rsidR="00083C6C" w:rsidRDefault="00083C6C"/>
        </w:tc>
      </w:tr>
      <w:tr w:rsidR="00083C6C" w14:paraId="42142B4C" w14:textId="77777777" w:rsidTr="0007258A">
        <w:trPr>
          <w:jc w:val="center"/>
        </w:trPr>
        <w:tc>
          <w:tcPr>
            <w:tcW w:w="4225" w:type="dxa"/>
          </w:tcPr>
          <w:p w14:paraId="3786FABC" w14:textId="77777777" w:rsidR="00083C6C" w:rsidRPr="006109D7" w:rsidRDefault="00083C6C">
            <w:r w:rsidRPr="006109D7">
              <w:t>NICU III</w:t>
            </w:r>
          </w:p>
        </w:tc>
        <w:tc>
          <w:tcPr>
            <w:tcW w:w="2880" w:type="dxa"/>
          </w:tcPr>
          <w:p w14:paraId="504DCD42" w14:textId="77777777" w:rsidR="00083C6C" w:rsidRDefault="00083C6C"/>
        </w:tc>
        <w:tc>
          <w:tcPr>
            <w:tcW w:w="2790" w:type="dxa"/>
          </w:tcPr>
          <w:p w14:paraId="53C83132" w14:textId="77777777" w:rsidR="00083C6C" w:rsidRDefault="00083C6C"/>
        </w:tc>
      </w:tr>
      <w:tr w:rsidR="00083C6C" w14:paraId="13109683" w14:textId="77777777" w:rsidTr="0007258A">
        <w:trPr>
          <w:jc w:val="center"/>
        </w:trPr>
        <w:tc>
          <w:tcPr>
            <w:tcW w:w="4225" w:type="dxa"/>
          </w:tcPr>
          <w:p w14:paraId="1ACDDE2D" w14:textId="77777777" w:rsidR="00083C6C" w:rsidRPr="006109D7" w:rsidRDefault="00083C6C" w:rsidP="00083C6C">
            <w:r w:rsidRPr="006109D7">
              <w:t xml:space="preserve">          &lt;= 750 g</w:t>
            </w:r>
          </w:p>
        </w:tc>
        <w:tc>
          <w:tcPr>
            <w:tcW w:w="2880" w:type="dxa"/>
          </w:tcPr>
          <w:p w14:paraId="66D11679" w14:textId="77777777" w:rsidR="00083C6C" w:rsidRDefault="00083C6C" w:rsidP="00083C6C"/>
        </w:tc>
        <w:tc>
          <w:tcPr>
            <w:tcW w:w="2790" w:type="dxa"/>
          </w:tcPr>
          <w:p w14:paraId="7E580DA6" w14:textId="77777777" w:rsidR="00083C6C" w:rsidRDefault="00083C6C" w:rsidP="00083C6C"/>
        </w:tc>
      </w:tr>
      <w:tr w:rsidR="00083C6C" w14:paraId="7A155903" w14:textId="77777777" w:rsidTr="0007258A">
        <w:trPr>
          <w:jc w:val="center"/>
        </w:trPr>
        <w:tc>
          <w:tcPr>
            <w:tcW w:w="4225" w:type="dxa"/>
          </w:tcPr>
          <w:p w14:paraId="7E6AE725" w14:textId="77777777" w:rsidR="00083C6C" w:rsidRPr="006109D7" w:rsidRDefault="00083C6C" w:rsidP="00083C6C">
            <w:r w:rsidRPr="006109D7">
              <w:t xml:space="preserve">          751 – 1,000 g</w:t>
            </w:r>
          </w:p>
        </w:tc>
        <w:tc>
          <w:tcPr>
            <w:tcW w:w="2880" w:type="dxa"/>
          </w:tcPr>
          <w:p w14:paraId="66326230" w14:textId="77777777" w:rsidR="00083C6C" w:rsidRDefault="00083C6C" w:rsidP="00083C6C"/>
        </w:tc>
        <w:tc>
          <w:tcPr>
            <w:tcW w:w="2790" w:type="dxa"/>
          </w:tcPr>
          <w:p w14:paraId="35EDAD12" w14:textId="77777777" w:rsidR="00083C6C" w:rsidRDefault="00083C6C" w:rsidP="00083C6C"/>
        </w:tc>
      </w:tr>
      <w:tr w:rsidR="00083C6C" w14:paraId="04D1B3E6" w14:textId="77777777" w:rsidTr="0007258A">
        <w:trPr>
          <w:jc w:val="center"/>
        </w:trPr>
        <w:tc>
          <w:tcPr>
            <w:tcW w:w="4225" w:type="dxa"/>
          </w:tcPr>
          <w:p w14:paraId="2004C140" w14:textId="3B85BBA9" w:rsidR="00083C6C" w:rsidRPr="006109D7" w:rsidRDefault="00BF6439" w:rsidP="00083C6C">
            <w:r w:rsidRPr="006109D7">
              <w:t xml:space="preserve">          1,00</w:t>
            </w:r>
            <w:r w:rsidR="00083C6C" w:rsidRPr="006109D7">
              <w:t>1 – 1,500 g</w:t>
            </w:r>
          </w:p>
        </w:tc>
        <w:tc>
          <w:tcPr>
            <w:tcW w:w="2880" w:type="dxa"/>
          </w:tcPr>
          <w:p w14:paraId="71768326" w14:textId="77777777" w:rsidR="00083C6C" w:rsidRDefault="00083C6C" w:rsidP="00083C6C"/>
        </w:tc>
        <w:tc>
          <w:tcPr>
            <w:tcW w:w="2790" w:type="dxa"/>
          </w:tcPr>
          <w:p w14:paraId="6A922CE8" w14:textId="77777777" w:rsidR="00083C6C" w:rsidRDefault="00083C6C" w:rsidP="00083C6C"/>
        </w:tc>
      </w:tr>
      <w:tr w:rsidR="00083C6C" w14:paraId="07F9E1D1" w14:textId="77777777" w:rsidTr="0007258A">
        <w:trPr>
          <w:jc w:val="center"/>
        </w:trPr>
        <w:tc>
          <w:tcPr>
            <w:tcW w:w="4225" w:type="dxa"/>
          </w:tcPr>
          <w:p w14:paraId="7BEF3C71" w14:textId="1316A597" w:rsidR="00083C6C" w:rsidRPr="006109D7" w:rsidRDefault="00BF6439" w:rsidP="00083C6C">
            <w:r w:rsidRPr="006109D7">
              <w:t xml:space="preserve">          1,501</w:t>
            </w:r>
            <w:r w:rsidR="00083C6C" w:rsidRPr="006109D7">
              <w:t xml:space="preserve"> – 2,500 g</w:t>
            </w:r>
          </w:p>
        </w:tc>
        <w:tc>
          <w:tcPr>
            <w:tcW w:w="2880" w:type="dxa"/>
          </w:tcPr>
          <w:p w14:paraId="23EEBC9B" w14:textId="77777777" w:rsidR="00083C6C" w:rsidRDefault="00083C6C" w:rsidP="00083C6C"/>
        </w:tc>
        <w:tc>
          <w:tcPr>
            <w:tcW w:w="2790" w:type="dxa"/>
          </w:tcPr>
          <w:p w14:paraId="18C63C09" w14:textId="77777777" w:rsidR="00083C6C" w:rsidRDefault="00083C6C" w:rsidP="00083C6C"/>
        </w:tc>
      </w:tr>
      <w:tr w:rsidR="00083C6C" w14:paraId="2AE8E748" w14:textId="77777777" w:rsidTr="0007258A">
        <w:trPr>
          <w:jc w:val="center"/>
        </w:trPr>
        <w:tc>
          <w:tcPr>
            <w:tcW w:w="4225" w:type="dxa"/>
          </w:tcPr>
          <w:p w14:paraId="1858B96A" w14:textId="06333D38" w:rsidR="00083C6C" w:rsidRPr="006109D7" w:rsidRDefault="00BF6439" w:rsidP="00083C6C">
            <w:r w:rsidRPr="006109D7">
              <w:t xml:space="preserve">          &gt;</w:t>
            </w:r>
            <w:r w:rsidR="00083C6C" w:rsidRPr="006109D7">
              <w:t>2,500 g</w:t>
            </w:r>
          </w:p>
        </w:tc>
        <w:tc>
          <w:tcPr>
            <w:tcW w:w="2880" w:type="dxa"/>
          </w:tcPr>
          <w:p w14:paraId="1ECDCA9C" w14:textId="77777777" w:rsidR="00083C6C" w:rsidRDefault="00083C6C" w:rsidP="00083C6C"/>
        </w:tc>
        <w:tc>
          <w:tcPr>
            <w:tcW w:w="2790" w:type="dxa"/>
          </w:tcPr>
          <w:p w14:paraId="57E297DD" w14:textId="77777777" w:rsidR="00083C6C" w:rsidRDefault="00083C6C" w:rsidP="00083C6C"/>
        </w:tc>
      </w:tr>
    </w:tbl>
    <w:p w14:paraId="43FD8182" w14:textId="77777777" w:rsidR="00050569" w:rsidRDefault="00050569"/>
    <w:p w14:paraId="6F5E3596" w14:textId="77777777" w:rsidR="00050569" w:rsidRDefault="00050569"/>
    <w:tbl>
      <w:tblPr>
        <w:tblStyle w:val="TableGrid"/>
        <w:tblW w:w="9994" w:type="dxa"/>
        <w:jc w:val="center"/>
        <w:tblLook w:val="04A0" w:firstRow="1" w:lastRow="0" w:firstColumn="1" w:lastColumn="0" w:noHBand="0" w:noVBand="1"/>
      </w:tblPr>
      <w:tblGrid>
        <w:gridCol w:w="4265"/>
        <w:gridCol w:w="2907"/>
        <w:gridCol w:w="2822"/>
      </w:tblGrid>
      <w:tr w:rsidR="00050569" w14:paraId="405CDA28" w14:textId="77777777" w:rsidTr="0007258A">
        <w:trPr>
          <w:jc w:val="center"/>
        </w:trPr>
        <w:tc>
          <w:tcPr>
            <w:tcW w:w="9900" w:type="dxa"/>
            <w:gridSpan w:val="3"/>
          </w:tcPr>
          <w:p w14:paraId="0C3AA1C6" w14:textId="77777777" w:rsidR="00872404" w:rsidRDefault="00872404" w:rsidP="00ED58C1">
            <w:pPr>
              <w:pStyle w:val="ListParagraph"/>
              <w:numPr>
                <w:ilvl w:val="0"/>
                <w:numId w:val="100"/>
              </w:numPr>
              <w:spacing w:before="120" w:after="120"/>
            </w:pPr>
            <w:r>
              <w:lastRenderedPageBreak/>
              <w:t>Total</w:t>
            </w:r>
            <w:r w:rsidR="00050569">
              <w:t xml:space="preserve"> number of urinary catheter days and catheter-associated urinary tract infections in each ICU type during the reporting period as reported to the CDC/NHSN</w:t>
            </w:r>
            <w:r w:rsidR="000D3BA4">
              <w:t>:</w:t>
            </w:r>
          </w:p>
        </w:tc>
      </w:tr>
      <w:tr w:rsidR="00050569" w14:paraId="3A1F5D8D" w14:textId="77777777" w:rsidTr="0007258A">
        <w:trPr>
          <w:jc w:val="center"/>
        </w:trPr>
        <w:tc>
          <w:tcPr>
            <w:tcW w:w="4225" w:type="dxa"/>
          </w:tcPr>
          <w:p w14:paraId="452A1755" w14:textId="77777777" w:rsidR="00050569" w:rsidRDefault="00050569" w:rsidP="00D76D94"/>
        </w:tc>
        <w:tc>
          <w:tcPr>
            <w:tcW w:w="2880" w:type="dxa"/>
          </w:tcPr>
          <w:p w14:paraId="7ACDF9CF" w14:textId="77777777" w:rsidR="00050569" w:rsidRDefault="00050569" w:rsidP="00D76D94">
            <w:r>
              <w:t xml:space="preserve">10a) </w:t>
            </w:r>
          </w:p>
          <w:p w14:paraId="4AF5638C" w14:textId="77777777" w:rsidR="00050569" w:rsidRDefault="00050569" w:rsidP="00D76D94">
            <w:r>
              <w:t>Total number of catheter days</w:t>
            </w:r>
            <w:r w:rsidR="000D3BA4">
              <w:t>:</w:t>
            </w:r>
            <w:r>
              <w:t xml:space="preserve"> (</w:t>
            </w:r>
            <w:r w:rsidRPr="00050569">
              <w:rPr>
                <w:b/>
              </w:rPr>
              <w:t>denominator)</w:t>
            </w:r>
          </w:p>
        </w:tc>
        <w:tc>
          <w:tcPr>
            <w:tcW w:w="2795" w:type="dxa"/>
          </w:tcPr>
          <w:p w14:paraId="42F8DAAF" w14:textId="77777777" w:rsidR="00050569" w:rsidRDefault="00050569" w:rsidP="00D76D94">
            <w:r>
              <w:t>10b)</w:t>
            </w:r>
          </w:p>
          <w:p w14:paraId="5FEA49D5" w14:textId="77777777" w:rsidR="00050569" w:rsidRDefault="00050569" w:rsidP="000D3BA4">
            <w:r>
              <w:t>Total number of catheter-associated urinary tract infections</w:t>
            </w:r>
            <w:r w:rsidR="000D3BA4">
              <w:t xml:space="preserve">: </w:t>
            </w:r>
            <w:r>
              <w:t>(</w:t>
            </w:r>
            <w:r w:rsidRPr="00050569">
              <w:rPr>
                <w:b/>
              </w:rPr>
              <w:t>numerator)</w:t>
            </w:r>
          </w:p>
        </w:tc>
      </w:tr>
      <w:tr w:rsidR="00050569" w14:paraId="7BD57B9D" w14:textId="77777777" w:rsidTr="0007258A">
        <w:trPr>
          <w:jc w:val="center"/>
        </w:trPr>
        <w:tc>
          <w:tcPr>
            <w:tcW w:w="4225" w:type="dxa"/>
          </w:tcPr>
          <w:p w14:paraId="6054B6A6" w14:textId="77777777" w:rsidR="00050569" w:rsidRDefault="00050569" w:rsidP="00D76D94">
            <w:r>
              <w:t>Medical</w:t>
            </w:r>
          </w:p>
        </w:tc>
        <w:tc>
          <w:tcPr>
            <w:tcW w:w="2880" w:type="dxa"/>
          </w:tcPr>
          <w:p w14:paraId="2CEFE2A3" w14:textId="77777777" w:rsidR="00050569" w:rsidRDefault="00050569" w:rsidP="00D76D94"/>
        </w:tc>
        <w:tc>
          <w:tcPr>
            <w:tcW w:w="2795" w:type="dxa"/>
          </w:tcPr>
          <w:p w14:paraId="09D64303" w14:textId="77777777" w:rsidR="00050569" w:rsidRDefault="00050569" w:rsidP="00D76D94"/>
        </w:tc>
      </w:tr>
      <w:tr w:rsidR="00050569" w14:paraId="056F49A3" w14:textId="77777777" w:rsidTr="0007258A">
        <w:trPr>
          <w:jc w:val="center"/>
        </w:trPr>
        <w:tc>
          <w:tcPr>
            <w:tcW w:w="4225" w:type="dxa"/>
          </w:tcPr>
          <w:p w14:paraId="47F438B6" w14:textId="77777777" w:rsidR="00050569" w:rsidRDefault="00050569" w:rsidP="00D76D94">
            <w:r>
              <w:t>Surgical</w:t>
            </w:r>
          </w:p>
        </w:tc>
        <w:tc>
          <w:tcPr>
            <w:tcW w:w="2880" w:type="dxa"/>
          </w:tcPr>
          <w:p w14:paraId="7F306F90" w14:textId="77777777" w:rsidR="00050569" w:rsidRDefault="00050569" w:rsidP="00D76D94"/>
        </w:tc>
        <w:tc>
          <w:tcPr>
            <w:tcW w:w="2795" w:type="dxa"/>
          </w:tcPr>
          <w:p w14:paraId="0034D22A" w14:textId="77777777" w:rsidR="00050569" w:rsidRDefault="00050569" w:rsidP="00D76D94"/>
        </w:tc>
      </w:tr>
      <w:tr w:rsidR="00050569" w14:paraId="5B9E75CF" w14:textId="77777777" w:rsidTr="0007258A">
        <w:trPr>
          <w:jc w:val="center"/>
        </w:trPr>
        <w:tc>
          <w:tcPr>
            <w:tcW w:w="4225" w:type="dxa"/>
          </w:tcPr>
          <w:p w14:paraId="1968A46C" w14:textId="77777777" w:rsidR="00050569" w:rsidRDefault="00050569" w:rsidP="00D76D94">
            <w:r>
              <w:t>Medical/Surgical</w:t>
            </w:r>
          </w:p>
        </w:tc>
        <w:tc>
          <w:tcPr>
            <w:tcW w:w="2880" w:type="dxa"/>
          </w:tcPr>
          <w:p w14:paraId="5E78798B" w14:textId="77777777" w:rsidR="00050569" w:rsidRDefault="00050569" w:rsidP="00D76D94"/>
        </w:tc>
        <w:tc>
          <w:tcPr>
            <w:tcW w:w="2795" w:type="dxa"/>
          </w:tcPr>
          <w:p w14:paraId="4EDBA6E5" w14:textId="77777777" w:rsidR="00050569" w:rsidRDefault="00050569" w:rsidP="00D76D94"/>
        </w:tc>
      </w:tr>
      <w:tr w:rsidR="00050569" w14:paraId="7763295C" w14:textId="77777777" w:rsidTr="0007258A">
        <w:trPr>
          <w:jc w:val="center"/>
        </w:trPr>
        <w:tc>
          <w:tcPr>
            <w:tcW w:w="4225" w:type="dxa"/>
          </w:tcPr>
          <w:p w14:paraId="691A5F23" w14:textId="77777777" w:rsidR="00050569" w:rsidRDefault="00050569" w:rsidP="00D76D94">
            <w:r>
              <w:t>Pediatric Medical</w:t>
            </w:r>
          </w:p>
        </w:tc>
        <w:tc>
          <w:tcPr>
            <w:tcW w:w="2880" w:type="dxa"/>
          </w:tcPr>
          <w:p w14:paraId="33C0B2DC" w14:textId="77777777" w:rsidR="00050569" w:rsidRDefault="00050569" w:rsidP="00D76D94"/>
        </w:tc>
        <w:tc>
          <w:tcPr>
            <w:tcW w:w="2795" w:type="dxa"/>
          </w:tcPr>
          <w:p w14:paraId="029A600B" w14:textId="77777777" w:rsidR="00050569" w:rsidRDefault="00050569" w:rsidP="00D76D94"/>
        </w:tc>
      </w:tr>
      <w:tr w:rsidR="00050569" w14:paraId="75720594" w14:textId="77777777" w:rsidTr="0007258A">
        <w:trPr>
          <w:jc w:val="center"/>
        </w:trPr>
        <w:tc>
          <w:tcPr>
            <w:tcW w:w="4225" w:type="dxa"/>
          </w:tcPr>
          <w:p w14:paraId="3236A470" w14:textId="77777777" w:rsidR="00050569" w:rsidRDefault="00050569" w:rsidP="00D76D94">
            <w:r>
              <w:t>Pediatric Medical/Surgical</w:t>
            </w:r>
          </w:p>
        </w:tc>
        <w:tc>
          <w:tcPr>
            <w:tcW w:w="2880" w:type="dxa"/>
          </w:tcPr>
          <w:p w14:paraId="754F2A63" w14:textId="77777777" w:rsidR="00050569" w:rsidRDefault="00050569" w:rsidP="00D76D94"/>
        </w:tc>
        <w:tc>
          <w:tcPr>
            <w:tcW w:w="2795" w:type="dxa"/>
          </w:tcPr>
          <w:p w14:paraId="7919FFAA" w14:textId="77777777" w:rsidR="00050569" w:rsidRDefault="00050569" w:rsidP="00D76D94"/>
        </w:tc>
      </w:tr>
      <w:tr w:rsidR="00050569" w14:paraId="73712C7F" w14:textId="77777777" w:rsidTr="0007258A">
        <w:trPr>
          <w:jc w:val="center"/>
        </w:trPr>
        <w:tc>
          <w:tcPr>
            <w:tcW w:w="4225" w:type="dxa"/>
          </w:tcPr>
          <w:p w14:paraId="324D0377" w14:textId="77777777" w:rsidR="00050569" w:rsidRDefault="00050569" w:rsidP="00D76D94">
            <w:r>
              <w:t>Pediatric Cardiothoracic</w:t>
            </w:r>
          </w:p>
        </w:tc>
        <w:tc>
          <w:tcPr>
            <w:tcW w:w="2880" w:type="dxa"/>
          </w:tcPr>
          <w:p w14:paraId="4F8ABA15" w14:textId="77777777" w:rsidR="00050569" w:rsidRDefault="00050569" w:rsidP="00D76D94"/>
        </w:tc>
        <w:tc>
          <w:tcPr>
            <w:tcW w:w="2795" w:type="dxa"/>
          </w:tcPr>
          <w:p w14:paraId="181186E8" w14:textId="77777777" w:rsidR="00050569" w:rsidRDefault="00050569" w:rsidP="00D76D94"/>
        </w:tc>
      </w:tr>
      <w:tr w:rsidR="00050569" w14:paraId="03B0E74B" w14:textId="77777777" w:rsidTr="0007258A">
        <w:trPr>
          <w:jc w:val="center"/>
        </w:trPr>
        <w:tc>
          <w:tcPr>
            <w:tcW w:w="4225" w:type="dxa"/>
          </w:tcPr>
          <w:p w14:paraId="57C50982" w14:textId="77777777" w:rsidR="00050569" w:rsidRDefault="00050569" w:rsidP="00D76D94">
            <w:r>
              <w:t xml:space="preserve">Medical Cardiac </w:t>
            </w:r>
          </w:p>
        </w:tc>
        <w:tc>
          <w:tcPr>
            <w:tcW w:w="2880" w:type="dxa"/>
          </w:tcPr>
          <w:p w14:paraId="3D0AA65B" w14:textId="77777777" w:rsidR="00050569" w:rsidRDefault="00050569" w:rsidP="00D76D94"/>
        </w:tc>
        <w:tc>
          <w:tcPr>
            <w:tcW w:w="2795" w:type="dxa"/>
          </w:tcPr>
          <w:p w14:paraId="5C9CBAA3" w14:textId="77777777" w:rsidR="00050569" w:rsidRDefault="00050569" w:rsidP="00D76D94"/>
        </w:tc>
      </w:tr>
      <w:tr w:rsidR="00050569" w14:paraId="2F29FD3D" w14:textId="77777777" w:rsidTr="0007258A">
        <w:trPr>
          <w:jc w:val="center"/>
        </w:trPr>
        <w:tc>
          <w:tcPr>
            <w:tcW w:w="4225" w:type="dxa"/>
          </w:tcPr>
          <w:p w14:paraId="34A5E730" w14:textId="77777777" w:rsidR="00050569" w:rsidRDefault="00050569" w:rsidP="00D76D94">
            <w:r>
              <w:t>Respiratory</w:t>
            </w:r>
          </w:p>
        </w:tc>
        <w:tc>
          <w:tcPr>
            <w:tcW w:w="2880" w:type="dxa"/>
          </w:tcPr>
          <w:p w14:paraId="5BA2E617" w14:textId="77777777" w:rsidR="00050569" w:rsidRDefault="00050569" w:rsidP="00D76D94"/>
        </w:tc>
        <w:tc>
          <w:tcPr>
            <w:tcW w:w="2795" w:type="dxa"/>
          </w:tcPr>
          <w:p w14:paraId="1361EF67" w14:textId="77777777" w:rsidR="00050569" w:rsidRDefault="00050569" w:rsidP="00D76D94"/>
        </w:tc>
      </w:tr>
      <w:tr w:rsidR="00050569" w14:paraId="343A83C3" w14:textId="77777777" w:rsidTr="0007258A">
        <w:trPr>
          <w:jc w:val="center"/>
        </w:trPr>
        <w:tc>
          <w:tcPr>
            <w:tcW w:w="4225" w:type="dxa"/>
          </w:tcPr>
          <w:p w14:paraId="78E4D730" w14:textId="77777777" w:rsidR="00050569" w:rsidRDefault="00050569" w:rsidP="00D76D94">
            <w:r>
              <w:t>Surgical Cardiothoracic</w:t>
            </w:r>
          </w:p>
        </w:tc>
        <w:tc>
          <w:tcPr>
            <w:tcW w:w="2880" w:type="dxa"/>
          </w:tcPr>
          <w:p w14:paraId="7E2037F5" w14:textId="77777777" w:rsidR="00050569" w:rsidRDefault="00050569" w:rsidP="00D76D94"/>
        </w:tc>
        <w:tc>
          <w:tcPr>
            <w:tcW w:w="2795" w:type="dxa"/>
          </w:tcPr>
          <w:p w14:paraId="350FA505" w14:textId="77777777" w:rsidR="00050569" w:rsidRDefault="00050569" w:rsidP="00D76D94"/>
        </w:tc>
      </w:tr>
      <w:tr w:rsidR="00050569" w14:paraId="591BB3E8" w14:textId="77777777" w:rsidTr="0007258A">
        <w:trPr>
          <w:jc w:val="center"/>
        </w:trPr>
        <w:tc>
          <w:tcPr>
            <w:tcW w:w="4225" w:type="dxa"/>
          </w:tcPr>
          <w:p w14:paraId="43DDAC9A" w14:textId="77777777" w:rsidR="00050569" w:rsidRDefault="00050569" w:rsidP="00D76D94">
            <w:r>
              <w:t>Neurologic</w:t>
            </w:r>
          </w:p>
        </w:tc>
        <w:tc>
          <w:tcPr>
            <w:tcW w:w="2880" w:type="dxa"/>
          </w:tcPr>
          <w:p w14:paraId="2A3364D7" w14:textId="77777777" w:rsidR="00050569" w:rsidRDefault="00050569" w:rsidP="00D76D94"/>
        </w:tc>
        <w:tc>
          <w:tcPr>
            <w:tcW w:w="2795" w:type="dxa"/>
          </w:tcPr>
          <w:p w14:paraId="10B05E3B" w14:textId="77777777" w:rsidR="00050569" w:rsidRDefault="00050569" w:rsidP="00D76D94"/>
        </w:tc>
      </w:tr>
      <w:tr w:rsidR="00050569" w14:paraId="76DF22AD" w14:textId="77777777" w:rsidTr="0007258A">
        <w:trPr>
          <w:jc w:val="center"/>
        </w:trPr>
        <w:tc>
          <w:tcPr>
            <w:tcW w:w="4225" w:type="dxa"/>
          </w:tcPr>
          <w:p w14:paraId="16D1A725" w14:textId="77777777" w:rsidR="00050569" w:rsidRDefault="00050569" w:rsidP="00D76D94">
            <w:r>
              <w:t xml:space="preserve">Neurosurgical </w:t>
            </w:r>
          </w:p>
        </w:tc>
        <w:tc>
          <w:tcPr>
            <w:tcW w:w="2880" w:type="dxa"/>
          </w:tcPr>
          <w:p w14:paraId="04060472" w14:textId="77777777" w:rsidR="00050569" w:rsidRDefault="00050569" w:rsidP="00D76D94"/>
        </w:tc>
        <w:tc>
          <w:tcPr>
            <w:tcW w:w="2795" w:type="dxa"/>
          </w:tcPr>
          <w:p w14:paraId="75E54042" w14:textId="77777777" w:rsidR="00050569" w:rsidRDefault="00050569" w:rsidP="00D76D94"/>
        </w:tc>
      </w:tr>
      <w:tr w:rsidR="00050569" w14:paraId="4DD140F7" w14:textId="77777777" w:rsidTr="0007258A">
        <w:trPr>
          <w:jc w:val="center"/>
        </w:trPr>
        <w:tc>
          <w:tcPr>
            <w:tcW w:w="4225" w:type="dxa"/>
          </w:tcPr>
          <w:p w14:paraId="69424D0B" w14:textId="77777777" w:rsidR="00050569" w:rsidRDefault="00050569" w:rsidP="00D76D94">
            <w:r>
              <w:t>Burn</w:t>
            </w:r>
          </w:p>
        </w:tc>
        <w:tc>
          <w:tcPr>
            <w:tcW w:w="2880" w:type="dxa"/>
          </w:tcPr>
          <w:p w14:paraId="2F928520" w14:textId="77777777" w:rsidR="00050569" w:rsidRDefault="00050569" w:rsidP="00D76D94"/>
        </w:tc>
        <w:tc>
          <w:tcPr>
            <w:tcW w:w="2795" w:type="dxa"/>
          </w:tcPr>
          <w:p w14:paraId="2309E635" w14:textId="77777777" w:rsidR="00050569" w:rsidRDefault="00050569" w:rsidP="00D76D94"/>
        </w:tc>
      </w:tr>
      <w:tr w:rsidR="00050569" w14:paraId="7BCAAE58" w14:textId="77777777" w:rsidTr="0007258A">
        <w:trPr>
          <w:jc w:val="center"/>
        </w:trPr>
        <w:tc>
          <w:tcPr>
            <w:tcW w:w="4225" w:type="dxa"/>
          </w:tcPr>
          <w:p w14:paraId="6FB62908" w14:textId="77777777" w:rsidR="00050569" w:rsidRDefault="00050569" w:rsidP="00D76D94">
            <w:r>
              <w:t xml:space="preserve">Trauma </w:t>
            </w:r>
          </w:p>
        </w:tc>
        <w:tc>
          <w:tcPr>
            <w:tcW w:w="2880" w:type="dxa"/>
          </w:tcPr>
          <w:p w14:paraId="3A5107ED" w14:textId="77777777" w:rsidR="00050569" w:rsidRDefault="00050569" w:rsidP="00D76D94"/>
        </w:tc>
        <w:tc>
          <w:tcPr>
            <w:tcW w:w="2795" w:type="dxa"/>
          </w:tcPr>
          <w:p w14:paraId="51A9D7DA" w14:textId="77777777" w:rsidR="00050569" w:rsidRDefault="00050569" w:rsidP="00D76D94"/>
        </w:tc>
      </w:tr>
    </w:tbl>
    <w:p w14:paraId="298F523E" w14:textId="77777777" w:rsidR="00050569" w:rsidRDefault="00050569"/>
    <w:p w14:paraId="7A52DA21" w14:textId="77777777" w:rsidR="00050569" w:rsidRDefault="00050569">
      <w:r>
        <w:br w:type="page"/>
      </w:r>
    </w:p>
    <w:p w14:paraId="57871A60" w14:textId="77777777" w:rsidR="00050569" w:rsidRDefault="00050569" w:rsidP="00050569">
      <w:pPr>
        <w:rPr>
          <w:lang w:eastAsia="ja-JP"/>
        </w:rPr>
      </w:pPr>
    </w:p>
    <w:tbl>
      <w:tblPr>
        <w:tblW w:w="9994" w:type="dxa"/>
        <w:jc w:val="center"/>
        <w:tblBorders>
          <w:top w:val="single" w:sz="24" w:space="0" w:color="auto"/>
        </w:tblBorders>
        <w:tblLayout w:type="fixed"/>
        <w:tblLook w:val="0000" w:firstRow="0" w:lastRow="0" w:firstColumn="0" w:lastColumn="0" w:noHBand="0" w:noVBand="0"/>
      </w:tblPr>
      <w:tblGrid>
        <w:gridCol w:w="7162"/>
        <w:gridCol w:w="2832"/>
      </w:tblGrid>
      <w:tr w:rsidR="00420B7C" w:rsidRPr="005C3293" w14:paraId="16DA1078" w14:textId="77777777" w:rsidTr="0007258A">
        <w:trPr>
          <w:cantSplit/>
          <w:jc w:val="center"/>
        </w:trPr>
        <w:tc>
          <w:tcPr>
            <w:tcW w:w="10170" w:type="dxa"/>
            <w:gridSpan w:val="2"/>
            <w:tcBorders>
              <w:top w:val="single" w:sz="24" w:space="0" w:color="auto"/>
            </w:tcBorders>
          </w:tcPr>
          <w:p w14:paraId="750BAE69" w14:textId="77777777" w:rsidR="00420B7C" w:rsidRPr="009A1BC1" w:rsidRDefault="00420B7C" w:rsidP="00D76D94">
            <w:pPr>
              <w:rPr>
                <w:b/>
              </w:rPr>
            </w:pPr>
            <w:r w:rsidRPr="009A1BC1">
              <w:br w:type="page"/>
            </w:r>
          </w:p>
          <w:p w14:paraId="5C2EF4AB" w14:textId="77777777" w:rsidR="00420B7C" w:rsidRPr="009A1BC1" w:rsidRDefault="00420B7C" w:rsidP="00954B73">
            <w:pPr>
              <w:pStyle w:val="Heading2"/>
              <w:rPr>
                <w:snapToGrid w:val="0"/>
              </w:rPr>
            </w:pPr>
            <w:bookmarkStart w:id="291" w:name="_Toc447195067"/>
            <w:r w:rsidRPr="009A1BC1">
              <w:rPr>
                <w:snapToGrid w:val="0"/>
              </w:rPr>
              <w:t>7C: Other Healthcare-Associated Infections</w:t>
            </w:r>
            <w:bookmarkEnd w:id="291"/>
          </w:p>
          <w:p w14:paraId="106D2E26" w14:textId="77777777" w:rsidR="00420B7C" w:rsidRPr="009A1BC1" w:rsidRDefault="00420B7C" w:rsidP="00D76D94">
            <w:pPr>
              <w:rPr>
                <w:snapToGrid w:val="0"/>
              </w:rPr>
            </w:pPr>
          </w:p>
          <w:p w14:paraId="47901C1B" w14:textId="77777777" w:rsidR="00420B7C" w:rsidRPr="009A1BC1" w:rsidRDefault="00420B7C" w:rsidP="00D76D94">
            <w:pPr>
              <w:ind w:right="-108"/>
              <w:rPr>
                <w:b/>
                <w:i/>
                <w:snapToGrid w:val="0"/>
              </w:rPr>
            </w:pPr>
            <w:r w:rsidRPr="009A1BC1">
              <w:rPr>
                <w:b/>
                <w:snapToGrid w:val="0"/>
              </w:rPr>
              <w:t>Specifications:</w:t>
            </w:r>
            <w:r w:rsidRPr="009A1BC1">
              <w:rPr>
                <w:snapToGrid w:val="0"/>
              </w:rPr>
              <w:t xml:space="preserve"> See</w:t>
            </w:r>
            <w:r w:rsidRPr="009A1BC1">
              <w:t xml:space="preserve"> </w:t>
            </w:r>
            <w:hyperlink w:anchor="OtherHAISpecs" w:history="1">
              <w:r w:rsidRPr="009A1BC1">
                <w:rPr>
                  <w:rStyle w:val="Hyperlink"/>
                  <w:b/>
                  <w:i/>
                </w:rPr>
                <w:t>Other Healthcare-Associated Infections Specifications</w:t>
              </w:r>
            </w:hyperlink>
            <w:r w:rsidRPr="009A1BC1">
              <w:t xml:space="preserve"> in the Managing Serious Errors Reference Information on </w:t>
            </w:r>
            <w:r w:rsidRPr="00471587">
              <w:t xml:space="preserve">pages </w:t>
            </w:r>
            <w:r w:rsidR="00F1093C" w:rsidRPr="00471587">
              <w:t xml:space="preserve">135-137 </w:t>
            </w:r>
            <w:r w:rsidRPr="00471587">
              <w:t>for reporting</w:t>
            </w:r>
            <w:r w:rsidRPr="009A1BC1">
              <w:t xml:space="preserve"> on </w:t>
            </w:r>
            <w:r w:rsidR="008D384B" w:rsidRPr="009A1BC1">
              <w:t xml:space="preserve">the standardized infection ratio as calculated for the reporting period by the </w:t>
            </w:r>
            <w:r w:rsidR="004A4F7E" w:rsidRPr="009A1BC1">
              <w:t>CDC’s National Healthcare Safety Network (</w:t>
            </w:r>
            <w:r w:rsidRPr="009A1BC1">
              <w:t>NHSN</w:t>
            </w:r>
            <w:r w:rsidR="004A4F7E" w:rsidRPr="009A1BC1">
              <w:t>)</w:t>
            </w:r>
            <w:r w:rsidRPr="009A1BC1">
              <w:rPr>
                <w:b/>
                <w:i/>
                <w:snapToGrid w:val="0"/>
              </w:rPr>
              <w:t>.</w:t>
            </w:r>
          </w:p>
          <w:p w14:paraId="7E930967" w14:textId="77777777" w:rsidR="00420B7C" w:rsidRPr="009A1BC1" w:rsidRDefault="00420B7C" w:rsidP="00D76D94">
            <w:pPr>
              <w:ind w:right="-108"/>
              <w:rPr>
                <w:b/>
                <w:i/>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759"/>
            </w:tblGrid>
            <w:tr w:rsidR="003607F6" w14:paraId="6122F6A1" w14:textId="77777777" w:rsidTr="000469EC">
              <w:tc>
                <w:tcPr>
                  <w:tcW w:w="9759" w:type="dxa"/>
                </w:tcPr>
                <w:p w14:paraId="69DCAD33" w14:textId="77777777" w:rsidR="003607F6" w:rsidRPr="00D06832" w:rsidRDefault="003607F6" w:rsidP="00C66199">
                  <w:pPr>
                    <w:spacing w:before="120"/>
                    <w:rPr>
                      <w:snapToGrid w:val="0"/>
                    </w:rPr>
                  </w:pPr>
                  <w:r w:rsidRPr="00D06832">
                    <w:rPr>
                      <w:b/>
                      <w:snapToGrid w:val="0"/>
                    </w:rPr>
                    <w:t>Reporting Time Period: 12 months</w:t>
                  </w:r>
                </w:p>
                <w:p w14:paraId="51ED763C" w14:textId="50DCCAD9" w:rsidR="003607F6" w:rsidRPr="00D06832" w:rsidRDefault="003607F6" w:rsidP="00ED58C1">
                  <w:pPr>
                    <w:pStyle w:val="ListParagraph"/>
                    <w:numPr>
                      <w:ilvl w:val="0"/>
                      <w:numId w:val="73"/>
                    </w:numPr>
                    <w:rPr>
                      <w:i/>
                      <w:snapToGrid w:val="0"/>
                    </w:rPr>
                  </w:pPr>
                  <w:r w:rsidRPr="00D06832">
                    <w:rPr>
                      <w:snapToGrid w:val="0"/>
                    </w:rPr>
                    <w:t>Surveys submitted prior to Septe</w:t>
                  </w:r>
                  <w:r w:rsidR="001C4A49">
                    <w:rPr>
                      <w:snapToGrid w:val="0"/>
                    </w:rPr>
                    <w:t>mber 1, 2016: 01/01/2015 – 12/31</w:t>
                  </w:r>
                  <w:r w:rsidRPr="00D06832">
                    <w:rPr>
                      <w:snapToGrid w:val="0"/>
                    </w:rPr>
                    <w:t>/2015</w:t>
                  </w:r>
                </w:p>
                <w:p w14:paraId="1DDDCD8A" w14:textId="77777777" w:rsidR="003607F6" w:rsidRPr="003607F6" w:rsidRDefault="003607F6" w:rsidP="00C66199">
                  <w:pPr>
                    <w:pStyle w:val="ListParagraph"/>
                    <w:numPr>
                      <w:ilvl w:val="0"/>
                      <w:numId w:val="73"/>
                    </w:numPr>
                    <w:spacing w:after="120"/>
                    <w:rPr>
                      <w:i/>
                      <w:snapToGrid w:val="0"/>
                    </w:rPr>
                  </w:pPr>
                  <w:r w:rsidRPr="00D06832">
                    <w:rPr>
                      <w:snapToGrid w:val="0"/>
                    </w:rPr>
                    <w:t>Surveys (re)submitted on or after September 1, 2016: 07/01/2015 – 06/30/2016</w:t>
                  </w:r>
                </w:p>
              </w:tc>
            </w:tr>
          </w:tbl>
          <w:p w14:paraId="155C73FB" w14:textId="77777777" w:rsidR="00420B7C" w:rsidRPr="009A1BC1" w:rsidRDefault="00420B7C" w:rsidP="008D384B">
            <w:pPr>
              <w:pStyle w:val="ListParagraph"/>
              <w:ind w:left="936"/>
              <w:rPr>
                <w:i/>
                <w:snapToGrid w:val="0"/>
              </w:rPr>
            </w:pPr>
            <w:r w:rsidRPr="009A1BC1">
              <w:rPr>
                <w:snapToGrid w:val="0"/>
              </w:rPr>
              <w:br/>
            </w:r>
          </w:p>
        </w:tc>
      </w:tr>
      <w:tr w:rsidR="00420B7C" w:rsidRPr="00287D28" w14:paraId="2D35DB4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left w:val="single" w:sz="4" w:space="0" w:color="auto"/>
              <w:bottom w:val="single" w:sz="4" w:space="0" w:color="auto"/>
              <w:right w:val="single" w:sz="4" w:space="0" w:color="auto"/>
            </w:tcBorders>
            <w:vAlign w:val="center"/>
          </w:tcPr>
          <w:p w14:paraId="46B68C7B" w14:textId="77777777" w:rsidR="00420B7C" w:rsidRPr="009A1BC1" w:rsidRDefault="00622D92" w:rsidP="00ED58C1">
            <w:pPr>
              <w:numPr>
                <w:ilvl w:val="0"/>
                <w:numId w:val="101"/>
              </w:numPr>
            </w:pPr>
            <w:r w:rsidRPr="009A1BC1">
              <w:rPr>
                <w:snapToGrid w:val="0"/>
                <w:color w:val="000000"/>
              </w:rPr>
              <w:t>12-month r</w:t>
            </w:r>
            <w:r w:rsidR="00420B7C" w:rsidRPr="009A1BC1">
              <w:rPr>
                <w:snapToGrid w:val="0"/>
                <w:color w:val="000000"/>
              </w:rPr>
              <w:t>eporting time peri</w:t>
            </w:r>
            <w:r w:rsidRPr="009A1BC1">
              <w:rPr>
                <w:snapToGrid w:val="0"/>
                <w:color w:val="000000"/>
              </w:rPr>
              <w:t>od used</w:t>
            </w:r>
            <w:r w:rsidR="00420B7C" w:rsidRPr="009A1BC1">
              <w:rPr>
                <w:snapToGrid w:val="0"/>
                <w:color w:val="000000"/>
              </w:rPr>
              <w:t>:</w:t>
            </w:r>
          </w:p>
        </w:tc>
        <w:tc>
          <w:tcPr>
            <w:tcW w:w="2880" w:type="dxa"/>
            <w:tcBorders>
              <w:top w:val="single" w:sz="4" w:space="0" w:color="auto"/>
              <w:left w:val="single" w:sz="4" w:space="0" w:color="auto"/>
              <w:bottom w:val="single" w:sz="4" w:space="0" w:color="auto"/>
            </w:tcBorders>
          </w:tcPr>
          <w:p w14:paraId="6438300F" w14:textId="77777777" w:rsidR="00420B7C" w:rsidRPr="009A1BC1" w:rsidRDefault="00622D92" w:rsidP="00ED58C1">
            <w:pPr>
              <w:pStyle w:val="ListParagraph"/>
              <w:numPr>
                <w:ilvl w:val="0"/>
                <w:numId w:val="51"/>
              </w:numPr>
              <w:rPr>
                <w:i/>
              </w:rPr>
            </w:pPr>
            <w:r w:rsidRPr="009A1BC1">
              <w:rPr>
                <w:snapToGrid w:val="0"/>
              </w:rPr>
              <w:t>01/01/2015 – 12/</w:t>
            </w:r>
            <w:r w:rsidR="00F20739" w:rsidRPr="009A1BC1">
              <w:rPr>
                <w:snapToGrid w:val="0"/>
              </w:rPr>
              <w:t>31</w:t>
            </w:r>
            <w:r w:rsidRPr="009A1BC1">
              <w:rPr>
                <w:snapToGrid w:val="0"/>
              </w:rPr>
              <w:t>/2015</w:t>
            </w:r>
          </w:p>
          <w:p w14:paraId="5A98A66F" w14:textId="77777777" w:rsidR="00420B7C" w:rsidRPr="009A1BC1" w:rsidRDefault="00C82064" w:rsidP="00ED58C1">
            <w:pPr>
              <w:pStyle w:val="ListParagraph"/>
              <w:numPr>
                <w:ilvl w:val="0"/>
                <w:numId w:val="51"/>
              </w:numPr>
              <w:rPr>
                <w:i/>
              </w:rPr>
            </w:pPr>
            <w:r w:rsidRPr="009A1BC1">
              <w:rPr>
                <w:snapToGrid w:val="0"/>
              </w:rPr>
              <w:t>07</w:t>
            </w:r>
            <w:r w:rsidR="00622D92" w:rsidRPr="009A1BC1">
              <w:rPr>
                <w:snapToGrid w:val="0"/>
              </w:rPr>
              <w:t>/01/2015 – 06/30/2016</w:t>
            </w:r>
          </w:p>
        </w:tc>
      </w:tr>
      <w:tr w:rsidR="00420B7C" w:rsidRPr="005C3293" w14:paraId="68A3099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0628E172" w14:textId="77777777" w:rsidR="00420B7C" w:rsidRPr="009A1BC1" w:rsidRDefault="00420B7C" w:rsidP="00C66199">
            <w:pPr>
              <w:numPr>
                <w:ilvl w:val="0"/>
                <w:numId w:val="101"/>
              </w:numPr>
              <w:spacing w:before="120"/>
            </w:pPr>
            <w:r w:rsidRPr="009A1BC1">
              <w:t xml:space="preserve">Has your hospital measured its incidence of </w:t>
            </w:r>
            <w:r w:rsidR="008D384B" w:rsidRPr="009A1BC1">
              <w:t xml:space="preserve">MRSA in the facility-wide inpatient population as defined by the NHSN </w:t>
            </w:r>
            <w:r w:rsidRPr="009A1BC1">
              <w:t>for the Reporting Time Period</w:t>
            </w:r>
            <w:r w:rsidR="0048785A">
              <w:t>,</w:t>
            </w:r>
            <w:r w:rsidR="00BF2D62" w:rsidRPr="009A1BC1">
              <w:t xml:space="preserve"> reported this information to the NHSN </w:t>
            </w:r>
            <w:r w:rsidRPr="009A1BC1">
              <w:t xml:space="preserve">using definitions and measure specifications </w:t>
            </w:r>
            <w:r w:rsidR="004A4F7E" w:rsidRPr="009A1BC1">
              <w:t>developed by the NHSN</w:t>
            </w:r>
            <w:r w:rsidR="000C3436">
              <w:t>,</w:t>
            </w:r>
            <w:r w:rsidRPr="009A1BC1">
              <w:t xml:space="preserve"> and chosen to report this information to the survey? </w:t>
            </w:r>
            <w:r w:rsidRPr="009A1BC1">
              <w:br/>
            </w:r>
          </w:p>
          <w:p w14:paraId="2BF95019" w14:textId="77777777" w:rsidR="00420B7C" w:rsidRDefault="00420B7C" w:rsidP="00C66199">
            <w:pPr>
              <w:spacing w:after="120"/>
              <w:ind w:left="360"/>
              <w:rPr>
                <w:i/>
              </w:rPr>
            </w:pPr>
            <w:r w:rsidRPr="009A1BC1">
              <w:rPr>
                <w:i/>
              </w:rPr>
              <w:t xml:space="preserve">If </w:t>
            </w:r>
            <w:r w:rsidR="00F05D7E" w:rsidRPr="009A1BC1">
              <w:rPr>
                <w:i/>
              </w:rPr>
              <w:t>“</w:t>
            </w:r>
            <w:r w:rsidRPr="009A1BC1">
              <w:rPr>
                <w:i/>
              </w:rPr>
              <w:t>no,</w:t>
            </w:r>
            <w:r w:rsidR="00F05D7E" w:rsidRPr="009A1BC1">
              <w:rPr>
                <w:i/>
              </w:rPr>
              <w:t>”</w:t>
            </w:r>
            <w:r w:rsidRPr="009A1BC1">
              <w:rPr>
                <w:i/>
              </w:rPr>
              <w:t xml:space="preserve"> </w:t>
            </w:r>
            <w:r w:rsidR="008D384B" w:rsidRPr="009A1BC1">
              <w:rPr>
                <w:i/>
              </w:rPr>
              <w:t>MRSA</w:t>
            </w:r>
            <w:r w:rsidRPr="009A1BC1">
              <w:rPr>
                <w:i/>
              </w:rPr>
              <w:t xml:space="preserve"> </w:t>
            </w:r>
            <w:r w:rsidR="00BF2D62" w:rsidRPr="009A1BC1">
              <w:rPr>
                <w:i/>
              </w:rPr>
              <w:t>score will show as “</w:t>
            </w:r>
            <w:r w:rsidRPr="009A1BC1">
              <w:rPr>
                <w:i/>
              </w:rPr>
              <w:t>Declined to Respond</w:t>
            </w:r>
            <w:r w:rsidR="00BF2D62" w:rsidRPr="009A1BC1">
              <w:rPr>
                <w:i/>
              </w:rPr>
              <w:t>.”</w:t>
            </w:r>
            <w:r w:rsidR="00CE5795" w:rsidRPr="009A1BC1">
              <w:rPr>
                <w:i/>
              </w:rPr>
              <w:t xml:space="preserve"> </w:t>
            </w:r>
          </w:p>
          <w:p w14:paraId="695D98EB" w14:textId="3E7A24F4" w:rsidR="008E5DBF" w:rsidRPr="009A1BC1" w:rsidRDefault="008E5DBF" w:rsidP="00C66199">
            <w:pPr>
              <w:spacing w:after="120"/>
              <w:ind w:left="360"/>
            </w:pPr>
            <w:r w:rsidRPr="008E5DBF">
              <w:rPr>
                <w:i/>
                <w:highlight w:val="yellow"/>
              </w:rPr>
              <w:t>If hospital is a pediatric hospital and selects “no,” score will show as “Does Not Apply.”</w:t>
            </w:r>
          </w:p>
        </w:tc>
        <w:tc>
          <w:tcPr>
            <w:tcW w:w="2880" w:type="dxa"/>
            <w:tcBorders>
              <w:top w:val="single" w:sz="4" w:space="0" w:color="auto"/>
              <w:left w:val="nil"/>
            </w:tcBorders>
            <w:vAlign w:val="center"/>
          </w:tcPr>
          <w:p w14:paraId="46C06CA7" w14:textId="77777777" w:rsidR="00420B7C" w:rsidRPr="005C3293" w:rsidRDefault="00420B7C" w:rsidP="00D76D94">
            <w:pPr>
              <w:jc w:val="center"/>
              <w:rPr>
                <w:i/>
              </w:rPr>
            </w:pPr>
            <w:r w:rsidRPr="005C3293">
              <w:rPr>
                <w:i/>
              </w:rPr>
              <w:t>Yes</w:t>
            </w:r>
            <w:r w:rsidR="00A02DBA">
              <w:rPr>
                <w:i/>
              </w:rPr>
              <w:br/>
            </w:r>
          </w:p>
          <w:p w14:paraId="5F15111E" w14:textId="77777777" w:rsidR="00420B7C" w:rsidRPr="005C3293" w:rsidRDefault="00420B7C" w:rsidP="00D76D94">
            <w:pPr>
              <w:jc w:val="center"/>
              <w:rPr>
                <w:i/>
              </w:rPr>
            </w:pPr>
            <w:r w:rsidRPr="005C3293">
              <w:rPr>
                <w:i/>
              </w:rPr>
              <w:t>No</w:t>
            </w:r>
            <w:r w:rsidR="00A02DBA">
              <w:rPr>
                <w:i/>
              </w:rPr>
              <w:br/>
            </w:r>
          </w:p>
          <w:p w14:paraId="463E8C8E" w14:textId="77777777" w:rsidR="00420B7C" w:rsidRPr="005C3293" w:rsidRDefault="00A02DBA" w:rsidP="00D76D94">
            <w:pPr>
              <w:jc w:val="center"/>
              <w:rPr>
                <w:i/>
              </w:rPr>
            </w:pPr>
            <w:r>
              <w:rPr>
                <w:i/>
              </w:rPr>
              <w:t>Yes, but displayed on NHSN report as ‘Not Available’</w:t>
            </w:r>
          </w:p>
        </w:tc>
      </w:tr>
      <w:tr w:rsidR="008D384B" w:rsidRPr="005C3293" w14:paraId="66EF07E3"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50C902BE" w14:textId="259158FD" w:rsidR="00A02DBA" w:rsidRPr="009A1BC1" w:rsidRDefault="008D384B" w:rsidP="00AF2DB6">
            <w:pPr>
              <w:numPr>
                <w:ilvl w:val="0"/>
                <w:numId w:val="101"/>
              </w:numPr>
              <w:spacing w:before="120" w:after="120"/>
            </w:pPr>
            <w:r w:rsidRPr="009A1BC1">
              <w:t xml:space="preserve">If ‘yes’ to questions #2, what was your hospital’s standardized infection ratio </w:t>
            </w:r>
            <w:r w:rsidR="00EA639C" w:rsidRPr="009A1BC1">
              <w:t xml:space="preserve">for MRSA </w:t>
            </w:r>
            <w:r w:rsidRPr="009A1BC1">
              <w:t xml:space="preserve">as shown on your NHSN report for the Reporting </w:t>
            </w:r>
            <w:r w:rsidR="00D20F32" w:rsidRPr="009A1BC1">
              <w:t xml:space="preserve">Time </w:t>
            </w:r>
            <w:r w:rsidRPr="009A1BC1">
              <w:t>Period</w:t>
            </w:r>
            <w:r w:rsidR="00EA639C" w:rsidRPr="009A1BC1">
              <w:t xml:space="preserve"> selected in question #1</w:t>
            </w:r>
            <w:r w:rsidRPr="009A1BC1">
              <w:t>?</w:t>
            </w:r>
          </w:p>
        </w:tc>
        <w:tc>
          <w:tcPr>
            <w:tcW w:w="2880" w:type="dxa"/>
            <w:tcBorders>
              <w:top w:val="single" w:sz="4" w:space="0" w:color="auto"/>
              <w:left w:val="nil"/>
            </w:tcBorders>
            <w:vAlign w:val="center"/>
          </w:tcPr>
          <w:p w14:paraId="4A7B1794" w14:textId="77777777" w:rsidR="008D384B" w:rsidRDefault="008D384B" w:rsidP="00D76D94">
            <w:pPr>
              <w:jc w:val="center"/>
              <w:rPr>
                <w:i/>
              </w:rPr>
            </w:pPr>
          </w:p>
          <w:p w14:paraId="6F445976" w14:textId="77777777" w:rsidR="008D384B" w:rsidRDefault="008D384B" w:rsidP="00D76D94">
            <w:pPr>
              <w:jc w:val="center"/>
              <w:rPr>
                <w:i/>
              </w:rPr>
            </w:pPr>
            <w:r>
              <w:rPr>
                <w:i/>
              </w:rPr>
              <w:t>_____</w:t>
            </w:r>
          </w:p>
          <w:p w14:paraId="2C28F5C2" w14:textId="77777777" w:rsidR="008D384B" w:rsidRPr="00567E34" w:rsidRDefault="008D384B" w:rsidP="00D76D94">
            <w:pPr>
              <w:jc w:val="center"/>
              <w:rPr>
                <w:i/>
                <w:sz w:val="16"/>
                <w:szCs w:val="16"/>
              </w:rPr>
            </w:pPr>
            <w:r w:rsidRPr="00567E34">
              <w:rPr>
                <w:i/>
                <w:sz w:val="16"/>
                <w:szCs w:val="16"/>
              </w:rPr>
              <w:t xml:space="preserve">Format: </w:t>
            </w:r>
            <w:r w:rsidR="00F912A6" w:rsidRPr="00567E34">
              <w:rPr>
                <w:i/>
                <w:sz w:val="16"/>
                <w:szCs w:val="16"/>
              </w:rPr>
              <w:t>1</w:t>
            </w:r>
            <w:r w:rsidRPr="00567E34">
              <w:rPr>
                <w:i/>
                <w:sz w:val="16"/>
                <w:szCs w:val="16"/>
              </w:rPr>
              <w:t>.</w:t>
            </w:r>
            <w:r w:rsidR="00F912A6" w:rsidRPr="00567E34">
              <w:rPr>
                <w:i/>
                <w:sz w:val="16"/>
                <w:szCs w:val="16"/>
              </w:rPr>
              <w:t>234</w:t>
            </w:r>
          </w:p>
          <w:p w14:paraId="3A68F0EA" w14:textId="77777777" w:rsidR="008D384B" w:rsidRPr="005C3293" w:rsidRDefault="008D384B" w:rsidP="00D76D94">
            <w:pPr>
              <w:jc w:val="center"/>
              <w:rPr>
                <w:i/>
              </w:rPr>
            </w:pPr>
          </w:p>
        </w:tc>
      </w:tr>
      <w:tr w:rsidR="00420B7C" w:rsidRPr="005C3293" w14:paraId="287E7A67"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7B0E8938" w14:textId="77777777" w:rsidR="008D384B" w:rsidRPr="009A1BC1" w:rsidRDefault="008D384B" w:rsidP="00AF2DB6">
            <w:pPr>
              <w:numPr>
                <w:ilvl w:val="0"/>
                <w:numId w:val="101"/>
              </w:numPr>
              <w:spacing w:before="120"/>
            </w:pPr>
            <w:r w:rsidRPr="009A1BC1">
              <w:t>Has your hospital measured its incidence of C. Difficile in the facility-wide inpatient population as defined by the NHSN for the Reporting Time Period</w:t>
            </w:r>
            <w:r w:rsidR="000C3436">
              <w:t>,</w:t>
            </w:r>
            <w:r w:rsidRPr="009A1BC1">
              <w:t xml:space="preserve"> </w:t>
            </w:r>
            <w:r w:rsidR="00C70E86" w:rsidRPr="009A1BC1">
              <w:t xml:space="preserve"> reported this information to the NHSN </w:t>
            </w:r>
            <w:r w:rsidRPr="009A1BC1">
              <w:t>using definitions and measure specificat</w:t>
            </w:r>
            <w:r w:rsidR="004A4F7E" w:rsidRPr="009A1BC1">
              <w:t>ions developed by NHSN</w:t>
            </w:r>
            <w:r w:rsidR="000C3436">
              <w:t>,</w:t>
            </w:r>
            <w:r w:rsidRPr="009A1BC1">
              <w:t xml:space="preserve"> and chosen to report this information to the survey? </w:t>
            </w:r>
            <w:r w:rsidRPr="009A1BC1">
              <w:br/>
            </w:r>
          </w:p>
          <w:p w14:paraId="1EE4831F" w14:textId="77777777" w:rsidR="00420B7C" w:rsidRDefault="008D384B" w:rsidP="00AF2DB6">
            <w:pPr>
              <w:spacing w:after="120"/>
              <w:ind w:left="360"/>
              <w:rPr>
                <w:i/>
              </w:rPr>
            </w:pPr>
            <w:r w:rsidRPr="009A1BC1">
              <w:rPr>
                <w:i/>
              </w:rPr>
              <w:t xml:space="preserve">If </w:t>
            </w:r>
            <w:r w:rsidR="00F05D7E" w:rsidRPr="009A1BC1">
              <w:rPr>
                <w:i/>
              </w:rPr>
              <w:t>“</w:t>
            </w:r>
            <w:r w:rsidRPr="009A1BC1">
              <w:rPr>
                <w:i/>
              </w:rPr>
              <w:t>no,</w:t>
            </w:r>
            <w:r w:rsidR="00F05D7E" w:rsidRPr="009A1BC1">
              <w:rPr>
                <w:i/>
              </w:rPr>
              <w:t>”</w:t>
            </w:r>
            <w:r w:rsidRPr="009A1BC1">
              <w:rPr>
                <w:i/>
              </w:rPr>
              <w:t xml:space="preserve"> C. Difficile score</w:t>
            </w:r>
            <w:r w:rsidR="00BF2D62" w:rsidRPr="009A1BC1">
              <w:rPr>
                <w:i/>
              </w:rPr>
              <w:t xml:space="preserve"> will show as “</w:t>
            </w:r>
            <w:r w:rsidRPr="009A1BC1">
              <w:rPr>
                <w:i/>
              </w:rPr>
              <w:t>Declined to Respond</w:t>
            </w:r>
            <w:r w:rsidR="00BF2D62" w:rsidRPr="009A1BC1">
              <w:rPr>
                <w:i/>
              </w:rPr>
              <w:t>.”</w:t>
            </w:r>
          </w:p>
          <w:p w14:paraId="77B32FE9" w14:textId="3F86F655" w:rsidR="008E5DBF" w:rsidRPr="009A1BC1" w:rsidRDefault="008E5DBF" w:rsidP="00AF2DB6">
            <w:pPr>
              <w:spacing w:after="120"/>
              <w:ind w:left="360"/>
            </w:pPr>
            <w:r w:rsidRPr="008E5DBF">
              <w:rPr>
                <w:i/>
                <w:highlight w:val="yellow"/>
              </w:rPr>
              <w:t>If hospital is a pediatric hospital and selects “no,” score will show as “Does Not Apply.”</w:t>
            </w:r>
          </w:p>
        </w:tc>
        <w:tc>
          <w:tcPr>
            <w:tcW w:w="2880" w:type="dxa"/>
            <w:tcBorders>
              <w:top w:val="single" w:sz="4" w:space="0" w:color="auto"/>
              <w:left w:val="nil"/>
            </w:tcBorders>
            <w:vAlign w:val="center"/>
          </w:tcPr>
          <w:p w14:paraId="3042068A" w14:textId="77777777" w:rsidR="00A02DBA" w:rsidRPr="005C3293" w:rsidRDefault="00A02DBA" w:rsidP="00A02DBA">
            <w:pPr>
              <w:jc w:val="center"/>
              <w:rPr>
                <w:i/>
              </w:rPr>
            </w:pPr>
            <w:r w:rsidRPr="005C3293">
              <w:rPr>
                <w:i/>
              </w:rPr>
              <w:t>Yes</w:t>
            </w:r>
            <w:r>
              <w:rPr>
                <w:i/>
              </w:rPr>
              <w:br/>
            </w:r>
          </w:p>
          <w:p w14:paraId="7001B093" w14:textId="77777777" w:rsidR="00A02DBA" w:rsidRPr="005C3293" w:rsidRDefault="00A02DBA" w:rsidP="00A02DBA">
            <w:pPr>
              <w:jc w:val="center"/>
              <w:rPr>
                <w:i/>
              </w:rPr>
            </w:pPr>
            <w:r w:rsidRPr="005C3293">
              <w:rPr>
                <w:i/>
              </w:rPr>
              <w:t>No</w:t>
            </w:r>
            <w:r>
              <w:rPr>
                <w:i/>
              </w:rPr>
              <w:br/>
            </w:r>
          </w:p>
          <w:p w14:paraId="0BDFEC72" w14:textId="77777777" w:rsidR="00420B7C" w:rsidRPr="005C3293" w:rsidRDefault="00A02DBA" w:rsidP="00A02DBA">
            <w:pPr>
              <w:jc w:val="center"/>
              <w:rPr>
                <w:i/>
              </w:rPr>
            </w:pPr>
            <w:r>
              <w:rPr>
                <w:i/>
              </w:rPr>
              <w:t>Yes, but displayed on NHSN report as ‘Not Available’</w:t>
            </w:r>
          </w:p>
        </w:tc>
      </w:tr>
      <w:tr w:rsidR="008D384B" w:rsidRPr="005C3293" w14:paraId="631FD52E"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bottom w:val="single" w:sz="4" w:space="0" w:color="auto"/>
            </w:tcBorders>
          </w:tcPr>
          <w:p w14:paraId="172A829C" w14:textId="77777777" w:rsidR="008D384B" w:rsidRPr="005C3293" w:rsidRDefault="00EA639C" w:rsidP="00AF2DB6">
            <w:pPr>
              <w:numPr>
                <w:ilvl w:val="0"/>
                <w:numId w:val="101"/>
              </w:numPr>
              <w:spacing w:before="120" w:after="120"/>
            </w:pPr>
            <w:r>
              <w:t xml:space="preserve">If ‘yes’ to question #4, what was your hospital’s standardized infection ratio for C. Difficile as shown on your NHSN report for the Reporting </w:t>
            </w:r>
            <w:r w:rsidR="00D20F32">
              <w:t xml:space="preserve">Time </w:t>
            </w:r>
            <w:r>
              <w:t>Period selected in question #1?</w:t>
            </w:r>
          </w:p>
        </w:tc>
        <w:tc>
          <w:tcPr>
            <w:tcW w:w="2880" w:type="dxa"/>
            <w:tcBorders>
              <w:top w:val="single" w:sz="4" w:space="0" w:color="auto"/>
              <w:left w:val="nil"/>
              <w:bottom w:val="single" w:sz="4" w:space="0" w:color="auto"/>
            </w:tcBorders>
            <w:vAlign w:val="center"/>
          </w:tcPr>
          <w:p w14:paraId="54E14F32" w14:textId="77777777" w:rsidR="008D384B" w:rsidRDefault="008D384B" w:rsidP="00EA639C">
            <w:pPr>
              <w:jc w:val="center"/>
            </w:pPr>
          </w:p>
          <w:p w14:paraId="62A817AA" w14:textId="77777777" w:rsidR="00EA639C" w:rsidRPr="00567E34" w:rsidRDefault="00EA639C" w:rsidP="00EA639C">
            <w:pPr>
              <w:jc w:val="center"/>
              <w:rPr>
                <w:i/>
                <w:sz w:val="16"/>
                <w:szCs w:val="16"/>
              </w:rPr>
            </w:pPr>
            <w:r>
              <w:t>_____</w:t>
            </w:r>
            <w:r>
              <w:br/>
            </w:r>
            <w:r w:rsidRPr="00567E34">
              <w:rPr>
                <w:i/>
                <w:sz w:val="16"/>
                <w:szCs w:val="16"/>
              </w:rPr>
              <w:t>Format: 1.234</w:t>
            </w:r>
          </w:p>
          <w:p w14:paraId="65A0C12D" w14:textId="77777777" w:rsidR="00EA639C" w:rsidRPr="00EA639C" w:rsidRDefault="00EA639C" w:rsidP="00EA639C">
            <w:pPr>
              <w:jc w:val="center"/>
              <w:rPr>
                <w:sz w:val="16"/>
                <w:szCs w:val="16"/>
              </w:rPr>
            </w:pPr>
          </w:p>
        </w:tc>
      </w:tr>
      <w:tr w:rsidR="003B0F7B" w:rsidRPr="005C3293" w14:paraId="3323D5A2"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47"/>
          <w:jc w:val="center"/>
        </w:trPr>
        <w:tc>
          <w:tcPr>
            <w:tcW w:w="7290" w:type="dxa"/>
            <w:tcBorders>
              <w:top w:val="single" w:sz="4" w:space="0" w:color="auto"/>
              <w:bottom w:val="single" w:sz="4" w:space="0" w:color="auto"/>
            </w:tcBorders>
          </w:tcPr>
          <w:p w14:paraId="57422CE3" w14:textId="77777777" w:rsidR="003B0F7B" w:rsidRDefault="003B0F7B" w:rsidP="00AF2DB6">
            <w:pPr>
              <w:numPr>
                <w:ilvl w:val="0"/>
                <w:numId w:val="101"/>
              </w:numPr>
              <w:spacing w:before="120"/>
            </w:pPr>
            <w:r w:rsidRPr="005C3293">
              <w:t xml:space="preserve">Has your hospital measured its incidence of </w:t>
            </w:r>
            <w:r>
              <w:t xml:space="preserve">Surgical Site Infections after Colon Surgery </w:t>
            </w:r>
            <w:r w:rsidR="00F05D7E">
              <w:t xml:space="preserve">(SSI Colon) for those procedures </w:t>
            </w:r>
            <w:r>
              <w:t xml:space="preserve">defined by the NHSN </w:t>
            </w:r>
            <w:r w:rsidRPr="005C3293">
              <w:t>for the Reporting Time Period</w:t>
            </w:r>
            <w:r w:rsidR="00362337">
              <w:t>,</w:t>
            </w:r>
            <w:r w:rsidR="009E5708">
              <w:t xml:space="preserve"> reported this information to the NHSN</w:t>
            </w:r>
            <w:r>
              <w:t xml:space="preserve"> using definitions and measure specifications developed by the NHSN</w:t>
            </w:r>
            <w:r w:rsidR="00362337">
              <w:t>,</w:t>
            </w:r>
            <w:r>
              <w:t xml:space="preserve"> </w:t>
            </w:r>
            <w:r w:rsidRPr="005C3293">
              <w:t xml:space="preserve">and chosen to report this information to the survey? </w:t>
            </w:r>
            <w:r w:rsidRPr="005C3293">
              <w:br/>
            </w:r>
          </w:p>
          <w:p w14:paraId="20C0DEE0" w14:textId="77777777" w:rsidR="00F05D7E" w:rsidRDefault="00F05D7E" w:rsidP="00F05D7E">
            <w:pPr>
              <w:ind w:left="360"/>
              <w:rPr>
                <w:i/>
              </w:rPr>
            </w:pPr>
            <w:r>
              <w:rPr>
                <w:i/>
              </w:rPr>
              <w:t>Hospitals that do not perform colon surgeries sh</w:t>
            </w:r>
            <w:r w:rsidR="00BF2D62">
              <w:rPr>
                <w:i/>
              </w:rPr>
              <w:t>ould select “Does Not A</w:t>
            </w:r>
            <w:r>
              <w:rPr>
                <w:i/>
              </w:rPr>
              <w:t>pply” and move on to the next subsection.</w:t>
            </w:r>
            <w:r w:rsidR="00B31D3F">
              <w:rPr>
                <w:i/>
              </w:rPr>
              <w:t xml:space="preserve"> </w:t>
            </w:r>
          </w:p>
          <w:p w14:paraId="22330C1F" w14:textId="77777777" w:rsidR="00F05D7E" w:rsidRPr="00F05D7E" w:rsidRDefault="00F05D7E" w:rsidP="00F05D7E">
            <w:pPr>
              <w:ind w:left="360"/>
              <w:rPr>
                <w:i/>
              </w:rPr>
            </w:pPr>
          </w:p>
          <w:p w14:paraId="1B64C573" w14:textId="77777777" w:rsidR="003B0F7B" w:rsidRDefault="003B0F7B" w:rsidP="00AF2DB6">
            <w:pPr>
              <w:spacing w:after="120"/>
              <w:ind w:left="360"/>
            </w:pPr>
            <w:r w:rsidRPr="005C3293">
              <w:rPr>
                <w:i/>
              </w:rPr>
              <w:t xml:space="preserve">If </w:t>
            </w:r>
            <w:r w:rsidR="00F05D7E">
              <w:rPr>
                <w:i/>
              </w:rPr>
              <w:t>“</w:t>
            </w:r>
            <w:r w:rsidRPr="005C3293">
              <w:rPr>
                <w:i/>
              </w:rPr>
              <w:t>no,</w:t>
            </w:r>
            <w:r w:rsidR="00F05D7E">
              <w:rPr>
                <w:i/>
              </w:rPr>
              <w:t>”</w:t>
            </w:r>
            <w:r w:rsidRPr="005C3293">
              <w:rPr>
                <w:i/>
              </w:rPr>
              <w:t xml:space="preserve"> </w:t>
            </w:r>
            <w:r w:rsidR="00F05D7E">
              <w:rPr>
                <w:i/>
              </w:rPr>
              <w:t>SSI Colon</w:t>
            </w:r>
            <w:r>
              <w:rPr>
                <w:i/>
              </w:rPr>
              <w:t xml:space="preserve"> </w:t>
            </w:r>
            <w:r w:rsidR="00BF2D62">
              <w:rPr>
                <w:i/>
              </w:rPr>
              <w:t>score will show as “</w:t>
            </w:r>
            <w:r w:rsidRPr="005C3293">
              <w:rPr>
                <w:i/>
              </w:rPr>
              <w:t>Declined to Respond</w:t>
            </w:r>
            <w:r w:rsidR="00BF2D62">
              <w:rPr>
                <w:i/>
              </w:rPr>
              <w:t>.”</w:t>
            </w:r>
          </w:p>
        </w:tc>
        <w:tc>
          <w:tcPr>
            <w:tcW w:w="2880" w:type="dxa"/>
            <w:tcBorders>
              <w:top w:val="single" w:sz="4" w:space="0" w:color="auto"/>
              <w:left w:val="nil"/>
              <w:bottom w:val="single" w:sz="4" w:space="0" w:color="auto"/>
            </w:tcBorders>
            <w:vAlign w:val="center"/>
          </w:tcPr>
          <w:p w14:paraId="03F78B7F" w14:textId="77777777" w:rsidR="00F05D7E" w:rsidRPr="005C3293" w:rsidRDefault="00F05D7E" w:rsidP="00F05D7E">
            <w:pPr>
              <w:jc w:val="center"/>
              <w:rPr>
                <w:i/>
              </w:rPr>
            </w:pPr>
            <w:r w:rsidRPr="005C3293">
              <w:rPr>
                <w:i/>
              </w:rPr>
              <w:t>Yes</w:t>
            </w:r>
            <w:r>
              <w:rPr>
                <w:i/>
              </w:rPr>
              <w:br/>
            </w:r>
          </w:p>
          <w:p w14:paraId="4AAF3BE3" w14:textId="77777777" w:rsidR="00F05D7E" w:rsidRDefault="00F05D7E" w:rsidP="00F05D7E">
            <w:pPr>
              <w:jc w:val="center"/>
              <w:rPr>
                <w:i/>
              </w:rPr>
            </w:pPr>
            <w:r w:rsidRPr="005C3293">
              <w:rPr>
                <w:i/>
              </w:rPr>
              <w:t>No</w:t>
            </w:r>
          </w:p>
          <w:p w14:paraId="3F994882" w14:textId="77777777" w:rsidR="00F05D7E" w:rsidRDefault="00F05D7E" w:rsidP="00F05D7E">
            <w:pPr>
              <w:jc w:val="center"/>
              <w:rPr>
                <w:i/>
              </w:rPr>
            </w:pPr>
          </w:p>
          <w:p w14:paraId="767F8348" w14:textId="77777777" w:rsidR="00F05D7E" w:rsidRPr="005C3293" w:rsidRDefault="00F05D7E" w:rsidP="00F05D7E">
            <w:pPr>
              <w:jc w:val="center"/>
              <w:rPr>
                <w:i/>
              </w:rPr>
            </w:pPr>
            <w:r>
              <w:rPr>
                <w:i/>
              </w:rPr>
              <w:t>Does not apply</w:t>
            </w:r>
            <w:r>
              <w:rPr>
                <w:i/>
              </w:rPr>
              <w:br/>
            </w:r>
          </w:p>
          <w:p w14:paraId="14DC5C1E" w14:textId="77777777" w:rsidR="00F05D7E" w:rsidRDefault="00F05D7E" w:rsidP="00F05D7E">
            <w:pPr>
              <w:jc w:val="center"/>
              <w:rPr>
                <w:i/>
              </w:rPr>
            </w:pPr>
            <w:r>
              <w:rPr>
                <w:i/>
              </w:rPr>
              <w:t>Yes, but displayed on NHSN report as ‘Not Available’</w:t>
            </w:r>
          </w:p>
          <w:p w14:paraId="64C6A138" w14:textId="77777777" w:rsidR="00F05D7E" w:rsidRPr="00F05D7E" w:rsidRDefault="00F05D7E" w:rsidP="00F05D7E">
            <w:pPr>
              <w:rPr>
                <w:i/>
              </w:rPr>
            </w:pPr>
          </w:p>
        </w:tc>
      </w:tr>
      <w:tr w:rsidR="00F76769" w:rsidRPr="005C3293" w14:paraId="49F90DD3"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3"/>
          <w:jc w:val="center"/>
        </w:trPr>
        <w:tc>
          <w:tcPr>
            <w:tcW w:w="7290" w:type="dxa"/>
            <w:tcBorders>
              <w:top w:val="single" w:sz="4" w:space="0" w:color="auto"/>
            </w:tcBorders>
          </w:tcPr>
          <w:p w14:paraId="00C77E19" w14:textId="77777777" w:rsidR="00F76769" w:rsidRPr="005C3293" w:rsidRDefault="00F76769" w:rsidP="001E2FB8">
            <w:pPr>
              <w:numPr>
                <w:ilvl w:val="0"/>
                <w:numId w:val="101"/>
              </w:numPr>
              <w:spacing w:before="120" w:after="120"/>
            </w:pPr>
            <w:r>
              <w:lastRenderedPageBreak/>
              <w:t>If ‘yes’ to question #</w:t>
            </w:r>
            <w:r w:rsidR="00B532CE">
              <w:t>6</w:t>
            </w:r>
            <w:r>
              <w:t xml:space="preserve">, what was your hospital’s standardized infection ratio for </w:t>
            </w:r>
            <w:r w:rsidR="00B532CE">
              <w:t>SSI Colon</w:t>
            </w:r>
            <w:r>
              <w:t xml:space="preserve"> as shown on your NHSN report for the Reporting </w:t>
            </w:r>
            <w:r w:rsidR="00D20F32">
              <w:t xml:space="preserve">Time </w:t>
            </w:r>
            <w:r>
              <w:t>Period selected in question #1?</w:t>
            </w:r>
          </w:p>
        </w:tc>
        <w:tc>
          <w:tcPr>
            <w:tcW w:w="2880" w:type="dxa"/>
            <w:tcBorders>
              <w:top w:val="single" w:sz="4" w:space="0" w:color="auto"/>
              <w:left w:val="nil"/>
            </w:tcBorders>
            <w:vAlign w:val="center"/>
          </w:tcPr>
          <w:p w14:paraId="003D3B2F" w14:textId="77777777" w:rsidR="00F76769" w:rsidRDefault="00F76769" w:rsidP="00D76D94">
            <w:pPr>
              <w:jc w:val="center"/>
            </w:pPr>
          </w:p>
          <w:p w14:paraId="48143318" w14:textId="77777777" w:rsidR="00F76769" w:rsidRPr="00F76769" w:rsidRDefault="00F76769" w:rsidP="00F76769">
            <w:pPr>
              <w:spacing w:after="120"/>
              <w:jc w:val="center"/>
              <w:rPr>
                <w:sz w:val="16"/>
                <w:szCs w:val="16"/>
              </w:rPr>
            </w:pPr>
            <w:r>
              <w:t>_____</w:t>
            </w:r>
            <w:r>
              <w:br/>
            </w:r>
            <w:r w:rsidRPr="00567E34">
              <w:rPr>
                <w:i/>
                <w:sz w:val="16"/>
                <w:szCs w:val="16"/>
              </w:rPr>
              <w:t>Format: 1.234</w:t>
            </w:r>
          </w:p>
        </w:tc>
      </w:tr>
    </w:tbl>
    <w:p w14:paraId="432782AC" w14:textId="77777777" w:rsidR="004B31CA" w:rsidRDefault="004B31CA"/>
    <w:p w14:paraId="5DCCE82F" w14:textId="77777777" w:rsidR="004B31CA" w:rsidRDefault="004B31CA"/>
    <w:tbl>
      <w:tblPr>
        <w:tblW w:w="9994" w:type="dxa"/>
        <w:jc w:val="center"/>
        <w:tblBorders>
          <w:top w:val="single" w:sz="24" w:space="0" w:color="auto"/>
        </w:tblBorders>
        <w:tblLayout w:type="fixed"/>
        <w:tblLook w:val="0000" w:firstRow="0" w:lastRow="0" w:firstColumn="0" w:lastColumn="0" w:noHBand="0" w:noVBand="0"/>
      </w:tblPr>
      <w:tblGrid>
        <w:gridCol w:w="7033"/>
        <w:gridCol w:w="2961"/>
      </w:tblGrid>
      <w:tr w:rsidR="003C5C5D" w:rsidRPr="003B4001" w14:paraId="63206EB6" w14:textId="77777777" w:rsidTr="0007258A">
        <w:trPr>
          <w:cantSplit/>
          <w:jc w:val="center"/>
        </w:trPr>
        <w:tc>
          <w:tcPr>
            <w:tcW w:w="9720" w:type="dxa"/>
            <w:gridSpan w:val="2"/>
          </w:tcPr>
          <w:p w14:paraId="18F43BE7" w14:textId="77777777" w:rsidR="003C5C5D" w:rsidRDefault="003C5C5D" w:rsidP="00D76D94">
            <w:pPr>
              <w:rPr>
                <w:i/>
              </w:rPr>
            </w:pPr>
          </w:p>
          <w:p w14:paraId="6CAAC4D0" w14:textId="77777777" w:rsidR="003C5C5D" w:rsidRDefault="00CE0633" w:rsidP="00954B73">
            <w:pPr>
              <w:pStyle w:val="Heading2"/>
              <w:rPr>
                <w:snapToGrid w:val="0"/>
              </w:rPr>
            </w:pPr>
            <w:bookmarkStart w:id="292" w:name="_Toc419979004"/>
            <w:bookmarkStart w:id="293" w:name="_Toc447195068"/>
            <w:r>
              <w:rPr>
                <w:snapToGrid w:val="0"/>
              </w:rPr>
              <w:t>7D</w:t>
            </w:r>
            <w:r w:rsidR="003C5C5D">
              <w:rPr>
                <w:snapToGrid w:val="0"/>
              </w:rPr>
              <w:t>: Hospital-Acquired Conditions – Pressure Ulcer and Injuries</w:t>
            </w:r>
            <w:bookmarkEnd w:id="292"/>
            <w:bookmarkEnd w:id="293"/>
          </w:p>
          <w:p w14:paraId="6E4D4CBB" w14:textId="77777777" w:rsidR="003C5C5D" w:rsidRDefault="003C5C5D" w:rsidP="00D76D94">
            <w:pPr>
              <w:rPr>
                <w:i/>
              </w:rPr>
            </w:pPr>
          </w:p>
          <w:p w14:paraId="268594CD" w14:textId="77777777" w:rsidR="003C5C5D" w:rsidRPr="001313DC" w:rsidRDefault="003C5C5D" w:rsidP="00D76D94">
            <w:pPr>
              <w:rPr>
                <w:b/>
                <w:color w:val="FF0000"/>
              </w:rPr>
            </w:pPr>
            <w:r w:rsidRPr="001313DC">
              <w:rPr>
                <w:b/>
                <w:color w:val="FF0000"/>
              </w:rPr>
              <w:t>Pediatric hospitals skip questions #1-</w:t>
            </w:r>
            <w:r>
              <w:rPr>
                <w:b/>
                <w:color w:val="FF0000"/>
              </w:rPr>
              <w:t>5.</w:t>
            </w:r>
          </w:p>
          <w:p w14:paraId="6DAA417B" w14:textId="77777777" w:rsidR="003C5C5D" w:rsidRPr="00EF414E" w:rsidRDefault="003C5C5D" w:rsidP="00D76D94">
            <w:pPr>
              <w:rPr>
                <w:i/>
              </w:rPr>
            </w:pPr>
          </w:p>
          <w:p w14:paraId="379EF0B0" w14:textId="77777777" w:rsidR="003C5C5D" w:rsidRPr="001313DC" w:rsidRDefault="003C5C5D" w:rsidP="00D76D94">
            <w:pPr>
              <w:rPr>
                <w:b/>
                <w:color w:val="FF0000"/>
              </w:rPr>
            </w:pPr>
            <w:r w:rsidRPr="001313DC">
              <w:rPr>
                <w:b/>
                <w:color w:val="FF0000"/>
              </w:rPr>
              <w:t xml:space="preserve">Critical access hospitals (CAH) </w:t>
            </w:r>
            <w:r w:rsidR="003B6100">
              <w:rPr>
                <w:b/>
                <w:color w:val="FF0000"/>
              </w:rPr>
              <w:t>that do not collect Present-on-Admission (POA) indicators should answer “no”</w:t>
            </w:r>
            <w:r w:rsidRPr="001313DC">
              <w:rPr>
                <w:b/>
                <w:color w:val="FF0000"/>
              </w:rPr>
              <w:t xml:space="preserve"> to question #</w:t>
            </w:r>
            <w:r>
              <w:rPr>
                <w:b/>
                <w:color w:val="FF0000"/>
              </w:rPr>
              <w:t>2</w:t>
            </w:r>
            <w:r w:rsidR="003B6100">
              <w:rPr>
                <w:b/>
                <w:color w:val="FF0000"/>
              </w:rPr>
              <w:t xml:space="preserve"> and will be scored as “Does Not Apply</w:t>
            </w:r>
            <w:r w:rsidRPr="001313DC">
              <w:rPr>
                <w:b/>
                <w:color w:val="FF0000"/>
              </w:rPr>
              <w:t>.</w:t>
            </w:r>
          </w:p>
          <w:p w14:paraId="67846414" w14:textId="77777777" w:rsidR="003C5C5D" w:rsidRPr="00EF414E" w:rsidRDefault="003C5C5D" w:rsidP="00D76D94">
            <w:pPr>
              <w:rPr>
                <w:i/>
                <w:snapToGrid w:val="0"/>
              </w:rPr>
            </w:pPr>
          </w:p>
          <w:p w14:paraId="5D0052CB" w14:textId="77777777" w:rsidR="003C5C5D" w:rsidRPr="00755986" w:rsidRDefault="003C5C5D" w:rsidP="00D76D94">
            <w:pPr>
              <w:tabs>
                <w:tab w:val="left" w:pos="360"/>
              </w:tabs>
            </w:pPr>
            <w:r w:rsidRPr="005C3293">
              <w:rPr>
                <w:b/>
                <w:snapToGrid w:val="0"/>
              </w:rPr>
              <w:t xml:space="preserve">Specifications: </w:t>
            </w:r>
            <w:r w:rsidRPr="005C3293">
              <w:t>Hospitals should refer to</w:t>
            </w:r>
            <w:r>
              <w:t xml:space="preserve"> the</w:t>
            </w:r>
            <w:r w:rsidRPr="005C3293">
              <w:t xml:space="preserve"> </w:t>
            </w:r>
            <w:hyperlink w:anchor="PUInjSpecs" w:history="1">
              <w:r w:rsidRPr="009615E7">
                <w:rPr>
                  <w:rStyle w:val="Hyperlink"/>
                  <w:b/>
                  <w:i/>
                </w:rPr>
                <w:t xml:space="preserve">Pressure Ulcers and Injuries </w:t>
              </w:r>
              <w:r w:rsidR="009A1BC1">
                <w:rPr>
                  <w:rStyle w:val="Hyperlink"/>
                  <w:b/>
                  <w:i/>
                </w:rPr>
                <w:t xml:space="preserve">Measure </w:t>
              </w:r>
              <w:r w:rsidRPr="009615E7">
                <w:rPr>
                  <w:rStyle w:val="Hyperlink"/>
                  <w:b/>
                  <w:i/>
                </w:rPr>
                <w:t>Specifications</w:t>
              </w:r>
            </w:hyperlink>
            <w:r w:rsidRPr="005C3293">
              <w:t xml:space="preserve"> in </w:t>
            </w:r>
            <w:r>
              <w:t xml:space="preserve">the Managing Serious Errors Reference </w:t>
            </w:r>
            <w:r w:rsidRPr="00471587">
              <w:t>Information on page</w:t>
            </w:r>
            <w:r w:rsidR="00F1093C" w:rsidRPr="00471587">
              <w:t>s 138-139</w:t>
            </w:r>
            <w:r w:rsidRPr="00471587">
              <w:t xml:space="preserve"> for</w:t>
            </w:r>
            <w:r w:rsidRPr="00755986">
              <w:t xml:space="preserve"> counting patient discharges and events.</w:t>
            </w:r>
          </w:p>
          <w:p w14:paraId="7075156D" w14:textId="77777777" w:rsidR="003C5C5D" w:rsidRDefault="003C5C5D" w:rsidP="00D76D94">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3607F6" w14:paraId="5BED00F0" w14:textId="77777777" w:rsidTr="003607F6">
              <w:trPr>
                <w:jc w:val="center"/>
              </w:trPr>
              <w:tc>
                <w:tcPr>
                  <w:tcW w:w="9759" w:type="dxa"/>
                </w:tcPr>
                <w:p w14:paraId="56C3F513" w14:textId="77777777" w:rsidR="003607F6" w:rsidRPr="009A1BC1" w:rsidRDefault="003607F6" w:rsidP="00127CCD">
                  <w:pPr>
                    <w:spacing w:before="120"/>
                    <w:rPr>
                      <w:snapToGrid w:val="0"/>
                    </w:rPr>
                  </w:pPr>
                  <w:r w:rsidRPr="009A1BC1">
                    <w:rPr>
                      <w:b/>
                      <w:snapToGrid w:val="0"/>
                    </w:rPr>
                    <w:t>Reporting Time Period: 9 months</w:t>
                  </w:r>
                </w:p>
                <w:p w14:paraId="369DCB1F" w14:textId="77777777" w:rsidR="003607F6" w:rsidRPr="009A1BC1" w:rsidRDefault="003607F6" w:rsidP="00ED58C1">
                  <w:pPr>
                    <w:numPr>
                      <w:ilvl w:val="0"/>
                      <w:numId w:val="73"/>
                    </w:numPr>
                    <w:rPr>
                      <w:i/>
                      <w:snapToGrid w:val="0"/>
                    </w:rPr>
                  </w:pPr>
                  <w:r w:rsidRPr="009A1BC1">
                    <w:rPr>
                      <w:snapToGrid w:val="0"/>
                    </w:rPr>
                    <w:t>Surveys submitted prior to September 1, 2016: 01/01/2015 – 09/30/2015</w:t>
                  </w:r>
                </w:p>
                <w:p w14:paraId="5E862958" w14:textId="77777777" w:rsidR="003607F6" w:rsidRPr="003607F6" w:rsidRDefault="003607F6" w:rsidP="00127CCD">
                  <w:pPr>
                    <w:numPr>
                      <w:ilvl w:val="0"/>
                      <w:numId w:val="73"/>
                    </w:numPr>
                    <w:spacing w:after="120"/>
                    <w:rPr>
                      <w:i/>
                      <w:snapToGrid w:val="0"/>
                    </w:rPr>
                  </w:pPr>
                  <w:r w:rsidRPr="009A1BC1">
                    <w:rPr>
                      <w:snapToGrid w:val="0"/>
                    </w:rPr>
                    <w:t>Surveys (re)submitted on or after September 1, 2016: 10/01/2015 – 06/30/2016</w:t>
                  </w:r>
                </w:p>
              </w:tc>
            </w:tr>
          </w:tbl>
          <w:p w14:paraId="2E49ED93" w14:textId="77777777" w:rsidR="003C5C5D" w:rsidRDefault="003C5C5D" w:rsidP="003607F6">
            <w:pPr>
              <w:rPr>
                <w:b/>
                <w:snapToGrid w:val="0"/>
              </w:rPr>
            </w:pPr>
          </w:p>
          <w:p w14:paraId="652BF9F1" w14:textId="77777777" w:rsidR="003607F6" w:rsidRPr="003B4001" w:rsidRDefault="003607F6" w:rsidP="003607F6">
            <w:pPr>
              <w:rPr>
                <w:i/>
                <w:snapToGrid w:val="0"/>
              </w:rPr>
            </w:pPr>
          </w:p>
        </w:tc>
      </w:tr>
      <w:tr w:rsidR="003C5C5D" w:rsidRPr="00223EF7" w14:paraId="05631CC8"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vAlign w:val="center"/>
          </w:tcPr>
          <w:p w14:paraId="6E4425FD" w14:textId="77777777" w:rsidR="003C5C5D" w:rsidRPr="003607F6" w:rsidRDefault="00A67237" w:rsidP="00ED58C1">
            <w:pPr>
              <w:numPr>
                <w:ilvl w:val="0"/>
                <w:numId w:val="26"/>
              </w:numPr>
              <w:rPr>
                <w:snapToGrid w:val="0"/>
                <w:color w:val="000000"/>
              </w:rPr>
            </w:pPr>
            <w:r w:rsidRPr="003607F6">
              <w:rPr>
                <w:snapToGrid w:val="0"/>
                <w:color w:val="000000"/>
              </w:rPr>
              <w:t>9-month r</w:t>
            </w:r>
            <w:r w:rsidR="003C5C5D" w:rsidRPr="003607F6">
              <w:rPr>
                <w:snapToGrid w:val="0"/>
                <w:color w:val="000000"/>
              </w:rPr>
              <w:t>eporting time peri</w:t>
            </w:r>
            <w:r w:rsidRPr="003607F6">
              <w:rPr>
                <w:snapToGrid w:val="0"/>
                <w:color w:val="000000"/>
              </w:rPr>
              <w:t>od used</w:t>
            </w:r>
            <w:r w:rsidR="003C5C5D" w:rsidRPr="003607F6">
              <w:rPr>
                <w:snapToGrid w:val="0"/>
                <w:color w:val="000000"/>
              </w:rPr>
              <w:t>:</w:t>
            </w:r>
          </w:p>
        </w:tc>
        <w:tc>
          <w:tcPr>
            <w:tcW w:w="2880" w:type="dxa"/>
          </w:tcPr>
          <w:p w14:paraId="47724E00" w14:textId="77777777" w:rsidR="003C5C5D" w:rsidRPr="003607F6" w:rsidRDefault="00A67237" w:rsidP="00ED58C1">
            <w:pPr>
              <w:pStyle w:val="ListParagraph"/>
              <w:numPr>
                <w:ilvl w:val="0"/>
                <w:numId w:val="51"/>
              </w:numPr>
              <w:rPr>
                <w:i/>
              </w:rPr>
            </w:pPr>
            <w:r w:rsidRPr="003607F6">
              <w:rPr>
                <w:snapToGrid w:val="0"/>
              </w:rPr>
              <w:t>01/01/2015 – 09/30/2015</w:t>
            </w:r>
          </w:p>
          <w:p w14:paraId="07272FD8" w14:textId="77777777" w:rsidR="003C5C5D" w:rsidRPr="003607F6" w:rsidRDefault="00A67237" w:rsidP="00ED58C1">
            <w:pPr>
              <w:pStyle w:val="ListParagraph"/>
              <w:numPr>
                <w:ilvl w:val="0"/>
                <w:numId w:val="51"/>
              </w:numPr>
              <w:rPr>
                <w:i/>
              </w:rPr>
            </w:pPr>
            <w:r w:rsidRPr="003607F6">
              <w:rPr>
                <w:snapToGrid w:val="0"/>
              </w:rPr>
              <w:t>10/01/2015 – 06/30/2016</w:t>
            </w:r>
          </w:p>
        </w:tc>
      </w:tr>
      <w:tr w:rsidR="003C5C5D" w:rsidRPr="00F04B00" w14:paraId="626A730A"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tcPr>
          <w:p w14:paraId="4653D7AF" w14:textId="77777777" w:rsidR="003C5C5D" w:rsidRPr="00A67237" w:rsidRDefault="003C5C5D" w:rsidP="00567E34">
            <w:pPr>
              <w:numPr>
                <w:ilvl w:val="0"/>
                <w:numId w:val="26"/>
              </w:numPr>
              <w:spacing w:before="120"/>
              <w:rPr>
                <w:snapToGrid w:val="0"/>
                <w:color w:val="000000"/>
              </w:rPr>
            </w:pPr>
            <w:r>
              <w:rPr>
                <w:snapToGrid w:val="0"/>
                <w:color w:val="000000"/>
              </w:rPr>
              <w:t xml:space="preserve">Has your </w:t>
            </w:r>
            <w:r>
              <w:rPr>
                <w:snapToGrid w:val="0"/>
              </w:rPr>
              <w:t xml:space="preserve">hospital collected Present-on-Admission (POA) indicators for the Reporting Time Period, tabulated HAC measures as specified here for that time period, and chosen to report this information to the survey?  </w:t>
            </w:r>
          </w:p>
          <w:p w14:paraId="198622CD" w14:textId="77777777" w:rsidR="00A67237" w:rsidRPr="00436610" w:rsidRDefault="00A67237" w:rsidP="00A67237">
            <w:pPr>
              <w:ind w:left="360"/>
              <w:rPr>
                <w:snapToGrid w:val="0"/>
                <w:color w:val="000000"/>
              </w:rPr>
            </w:pPr>
          </w:p>
          <w:p w14:paraId="49F1DE3A" w14:textId="77777777" w:rsidR="003C5C5D" w:rsidRDefault="003C5C5D" w:rsidP="00567E34">
            <w:pPr>
              <w:spacing w:after="120"/>
              <w:ind w:left="360"/>
              <w:rPr>
                <w:snapToGrid w:val="0"/>
                <w:color w:val="000000"/>
              </w:rPr>
            </w:pPr>
            <w:r w:rsidRPr="00690231">
              <w:rPr>
                <w:i/>
                <w:snapToGrid w:val="0"/>
              </w:rPr>
              <w:t>I</w:t>
            </w:r>
            <w:r w:rsidR="00BF2D62">
              <w:rPr>
                <w:i/>
                <w:snapToGrid w:val="0"/>
                <w:color w:val="000000"/>
              </w:rPr>
              <w:t>f “no,”</w:t>
            </w:r>
            <w:r>
              <w:rPr>
                <w:i/>
                <w:snapToGrid w:val="0"/>
                <w:color w:val="000000"/>
              </w:rPr>
              <w:t xml:space="preserve"> </w:t>
            </w:r>
            <w:r w:rsidR="000C7BD6">
              <w:rPr>
                <w:i/>
                <w:snapToGrid w:val="0"/>
                <w:color w:val="000000"/>
              </w:rPr>
              <w:t xml:space="preserve">skip questions #3-5 and proceed to the next subsection. </w:t>
            </w:r>
            <w:r w:rsidR="000C7BD6">
              <w:rPr>
                <w:i/>
              </w:rPr>
              <w:t>S</w:t>
            </w:r>
            <w:r>
              <w:rPr>
                <w:i/>
              </w:rPr>
              <w:t>core wi</w:t>
            </w:r>
            <w:r w:rsidR="00BF2D62">
              <w:rPr>
                <w:i/>
              </w:rPr>
              <w:t>ll show as “Declined to Respond</w:t>
            </w:r>
            <w:r w:rsidR="000C7BD6">
              <w:rPr>
                <w:i/>
              </w:rPr>
              <w:t>.</w:t>
            </w:r>
            <w:r w:rsidR="00BF2D62">
              <w:rPr>
                <w:i/>
              </w:rPr>
              <w:t>”</w:t>
            </w:r>
            <w:r>
              <w:rPr>
                <w:i/>
                <w:snapToGrid w:val="0"/>
                <w:color w:val="000000"/>
              </w:rPr>
              <w:t xml:space="preserve"> </w:t>
            </w:r>
            <w:r w:rsidR="00BF2D62">
              <w:rPr>
                <w:i/>
                <w:snapToGrid w:val="0"/>
                <w:color w:val="000000"/>
              </w:rPr>
              <w:br/>
            </w:r>
            <w:r w:rsidR="00BF2D62">
              <w:rPr>
                <w:i/>
                <w:snapToGrid w:val="0"/>
                <w:color w:val="000000"/>
              </w:rPr>
              <w:br/>
            </w:r>
            <w:r>
              <w:rPr>
                <w:i/>
                <w:snapToGrid w:val="0"/>
                <w:color w:val="000000"/>
              </w:rPr>
              <w:t>If hospital is a critical access hospital, and selects “no,” sco</w:t>
            </w:r>
            <w:r w:rsidR="00BF2D62">
              <w:rPr>
                <w:i/>
                <w:snapToGrid w:val="0"/>
                <w:color w:val="000000"/>
              </w:rPr>
              <w:t>re will show as “Does Not Apply.”</w:t>
            </w:r>
          </w:p>
        </w:tc>
        <w:tc>
          <w:tcPr>
            <w:tcW w:w="2880" w:type="dxa"/>
            <w:vAlign w:val="center"/>
          </w:tcPr>
          <w:p w14:paraId="5EE7230C" w14:textId="77777777" w:rsidR="003C5C5D" w:rsidRPr="00BE5EF3" w:rsidRDefault="003C5C5D" w:rsidP="00D76D94">
            <w:pPr>
              <w:jc w:val="center"/>
              <w:rPr>
                <w:i/>
              </w:rPr>
            </w:pPr>
            <w:r w:rsidRPr="00BE5EF3">
              <w:rPr>
                <w:i/>
              </w:rPr>
              <w:t>Yes</w:t>
            </w:r>
          </w:p>
          <w:p w14:paraId="6438643D" w14:textId="77777777" w:rsidR="003C5C5D" w:rsidRPr="00F04B00" w:rsidRDefault="003C5C5D" w:rsidP="00D76D94">
            <w:pPr>
              <w:jc w:val="center"/>
            </w:pPr>
            <w:r w:rsidRPr="00BE5EF3">
              <w:rPr>
                <w:i/>
              </w:rPr>
              <w:t>No</w:t>
            </w:r>
          </w:p>
        </w:tc>
      </w:tr>
      <w:tr w:rsidR="003C5C5D" w14:paraId="16C6FF06"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jc w:val="center"/>
        </w:trPr>
        <w:tc>
          <w:tcPr>
            <w:tcW w:w="6840" w:type="dxa"/>
            <w:vAlign w:val="center"/>
          </w:tcPr>
          <w:p w14:paraId="28CC42A4" w14:textId="77777777" w:rsidR="003C5C5D" w:rsidRPr="00A96A7E" w:rsidRDefault="003C5C5D" w:rsidP="00ED58C1">
            <w:pPr>
              <w:numPr>
                <w:ilvl w:val="0"/>
                <w:numId w:val="26"/>
              </w:numPr>
              <w:rPr>
                <w:snapToGrid w:val="0"/>
                <w:color w:val="000000"/>
              </w:rPr>
            </w:pPr>
            <w:r w:rsidRPr="00A96A7E">
              <w:rPr>
                <w:snapToGrid w:val="0"/>
                <w:color w:val="000000"/>
              </w:rPr>
              <w:t xml:space="preserve">Total </w:t>
            </w:r>
            <w:r>
              <w:rPr>
                <w:snapToGrid w:val="0"/>
                <w:color w:val="000000"/>
              </w:rPr>
              <w:t xml:space="preserve">number of </w:t>
            </w:r>
            <w:r w:rsidRPr="00A206BF">
              <w:rPr>
                <w:snapToGrid w:val="0"/>
                <w:color w:val="000000"/>
                <w:u w:val="single"/>
              </w:rPr>
              <w:t>adult</w:t>
            </w:r>
            <w:r>
              <w:rPr>
                <w:snapToGrid w:val="0"/>
                <w:color w:val="000000"/>
              </w:rPr>
              <w:t xml:space="preserve"> inpatient discharges (including deaths) during the reporting period. </w:t>
            </w:r>
          </w:p>
        </w:tc>
        <w:tc>
          <w:tcPr>
            <w:tcW w:w="2880" w:type="dxa"/>
            <w:vAlign w:val="center"/>
          </w:tcPr>
          <w:p w14:paraId="3F2558A8" w14:textId="77777777" w:rsidR="003C5C5D" w:rsidRDefault="003C5C5D" w:rsidP="00D76D94">
            <w:pPr>
              <w:jc w:val="center"/>
            </w:pPr>
            <w:r>
              <w:t>________</w:t>
            </w:r>
          </w:p>
        </w:tc>
      </w:tr>
      <w:tr w:rsidR="003C5C5D" w:rsidRPr="001C3B89" w14:paraId="4B940E7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0" w:type="dxa"/>
            <w:gridSpan w:val="2"/>
            <w:tcBorders>
              <w:left w:val="nil"/>
              <w:right w:val="nil"/>
            </w:tcBorders>
          </w:tcPr>
          <w:p w14:paraId="6B32426C" w14:textId="77777777" w:rsidR="003C5C5D" w:rsidRPr="00567E34" w:rsidRDefault="003C5C5D" w:rsidP="00D76D94">
            <w:pPr>
              <w:rPr>
                <w:b/>
                <w:snapToGrid w:val="0"/>
                <w:color w:val="000000"/>
              </w:rPr>
            </w:pPr>
            <w:r w:rsidRPr="00567E34">
              <w:br w:type="page"/>
            </w:r>
          </w:p>
          <w:p w14:paraId="022B20C0" w14:textId="77777777" w:rsidR="003C5C5D" w:rsidRPr="00567E34" w:rsidRDefault="003C5C5D" w:rsidP="00D76D94">
            <w:pPr>
              <w:rPr>
                <w:b/>
              </w:rPr>
            </w:pPr>
            <w:r w:rsidRPr="00567E34">
              <w:rPr>
                <w:b/>
                <w:snapToGrid w:val="0"/>
                <w:color w:val="000000"/>
              </w:rPr>
              <w:t xml:space="preserve">Pressure Ulcers </w:t>
            </w:r>
          </w:p>
        </w:tc>
      </w:tr>
      <w:tr w:rsidR="003C5C5D" w14:paraId="326B534B"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vAlign w:val="center"/>
          </w:tcPr>
          <w:p w14:paraId="09FAAA5F" w14:textId="77777777" w:rsidR="003C5C5D" w:rsidRPr="00223EF7" w:rsidRDefault="003C5C5D" w:rsidP="00ED58C1">
            <w:pPr>
              <w:numPr>
                <w:ilvl w:val="0"/>
                <w:numId w:val="26"/>
              </w:numPr>
              <w:rPr>
                <w:snapToGrid w:val="0"/>
                <w:color w:val="000000"/>
              </w:rPr>
            </w:pPr>
            <w:r w:rsidRPr="00572F93">
              <w:rPr>
                <w:snapToGrid w:val="0"/>
                <w:color w:val="000000"/>
              </w:rPr>
              <w:t xml:space="preserve">Number of discharges </w:t>
            </w:r>
            <w:r w:rsidRPr="00572F93">
              <w:rPr>
                <w:b/>
                <w:snapToGrid w:val="0"/>
                <w:color w:val="000000"/>
              </w:rPr>
              <w:t>in question #</w:t>
            </w:r>
            <w:r>
              <w:rPr>
                <w:b/>
                <w:snapToGrid w:val="0"/>
                <w:color w:val="000000"/>
              </w:rPr>
              <w:t>3</w:t>
            </w:r>
            <w:r w:rsidRPr="00572F93">
              <w:rPr>
                <w:snapToGrid w:val="0"/>
                <w:color w:val="000000"/>
              </w:rPr>
              <w:t xml:space="preserve"> with a hospital-acquired stage III or IV Pressure Ulcer. </w:t>
            </w:r>
          </w:p>
        </w:tc>
        <w:tc>
          <w:tcPr>
            <w:tcW w:w="2880" w:type="dxa"/>
          </w:tcPr>
          <w:p w14:paraId="7066B428" w14:textId="77777777" w:rsidR="003C5C5D" w:rsidRDefault="003C5C5D" w:rsidP="00D76D94">
            <w:pPr>
              <w:jc w:val="center"/>
            </w:pPr>
          </w:p>
          <w:p w14:paraId="2F1A64D5" w14:textId="77777777" w:rsidR="003C5C5D" w:rsidRDefault="003C5C5D" w:rsidP="00D76D94">
            <w:pPr>
              <w:jc w:val="center"/>
            </w:pPr>
            <w:r>
              <w:t>________</w:t>
            </w:r>
          </w:p>
          <w:p w14:paraId="229B146D" w14:textId="77777777" w:rsidR="003C5C5D" w:rsidRDefault="003C5C5D" w:rsidP="00D76D94">
            <w:pPr>
              <w:jc w:val="center"/>
            </w:pPr>
          </w:p>
        </w:tc>
      </w:tr>
      <w:tr w:rsidR="003C5C5D" w:rsidRPr="00572F93" w14:paraId="22E395CE"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20" w:type="dxa"/>
            <w:gridSpan w:val="2"/>
            <w:tcBorders>
              <w:left w:val="nil"/>
              <w:right w:val="nil"/>
            </w:tcBorders>
          </w:tcPr>
          <w:p w14:paraId="5A6738D7" w14:textId="77777777" w:rsidR="003C5C5D" w:rsidRPr="00567E34" w:rsidRDefault="003C5C5D" w:rsidP="00D76D94">
            <w:pPr>
              <w:rPr>
                <w:b/>
                <w:snapToGrid w:val="0"/>
                <w:color w:val="000000"/>
              </w:rPr>
            </w:pPr>
          </w:p>
          <w:p w14:paraId="44FC6CB8" w14:textId="77777777" w:rsidR="003C5C5D" w:rsidRPr="00567E34" w:rsidRDefault="003C5C5D" w:rsidP="00D76D94">
            <w:pPr>
              <w:rPr>
                <w:b/>
              </w:rPr>
            </w:pPr>
            <w:r w:rsidRPr="00567E34">
              <w:rPr>
                <w:b/>
                <w:snapToGrid w:val="0"/>
                <w:color w:val="000000"/>
              </w:rPr>
              <w:t xml:space="preserve">Injuries </w:t>
            </w:r>
          </w:p>
        </w:tc>
      </w:tr>
      <w:tr w:rsidR="003C5C5D" w14:paraId="2B47C698"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840" w:type="dxa"/>
            <w:vAlign w:val="center"/>
          </w:tcPr>
          <w:p w14:paraId="0FF6B3D7" w14:textId="77777777" w:rsidR="003C5C5D" w:rsidRPr="00223EF7" w:rsidRDefault="003C5C5D" w:rsidP="00ED58C1">
            <w:pPr>
              <w:numPr>
                <w:ilvl w:val="0"/>
                <w:numId w:val="26"/>
              </w:numPr>
              <w:rPr>
                <w:snapToGrid w:val="0"/>
                <w:color w:val="000000"/>
              </w:rPr>
            </w:pPr>
            <w:r w:rsidRPr="00572F93">
              <w:rPr>
                <w:snapToGrid w:val="0"/>
                <w:color w:val="000000"/>
              </w:rPr>
              <w:t xml:space="preserve">Number of discharges </w:t>
            </w:r>
            <w:r w:rsidRPr="00572F93">
              <w:rPr>
                <w:b/>
                <w:snapToGrid w:val="0"/>
                <w:color w:val="000000"/>
              </w:rPr>
              <w:t>in question #</w:t>
            </w:r>
            <w:r>
              <w:rPr>
                <w:b/>
                <w:snapToGrid w:val="0"/>
                <w:color w:val="000000"/>
              </w:rPr>
              <w:t>3</w:t>
            </w:r>
            <w:r w:rsidRPr="00572F93">
              <w:rPr>
                <w:snapToGrid w:val="0"/>
                <w:color w:val="000000"/>
              </w:rPr>
              <w:t xml:space="preserve"> with a hospital-acquired injury. </w:t>
            </w:r>
          </w:p>
        </w:tc>
        <w:tc>
          <w:tcPr>
            <w:tcW w:w="2880" w:type="dxa"/>
          </w:tcPr>
          <w:p w14:paraId="065DF4D5" w14:textId="77777777" w:rsidR="003C5C5D" w:rsidRDefault="003C5C5D" w:rsidP="00D76D94">
            <w:pPr>
              <w:jc w:val="center"/>
            </w:pPr>
          </w:p>
          <w:p w14:paraId="5D864BEB" w14:textId="77777777" w:rsidR="003C5C5D" w:rsidRDefault="003C5C5D" w:rsidP="00D76D94">
            <w:pPr>
              <w:jc w:val="center"/>
            </w:pPr>
            <w:r>
              <w:t>________</w:t>
            </w:r>
          </w:p>
          <w:p w14:paraId="041B6D96" w14:textId="77777777" w:rsidR="003C5C5D" w:rsidRDefault="003C5C5D" w:rsidP="00D76D94">
            <w:pPr>
              <w:jc w:val="center"/>
            </w:pPr>
          </w:p>
        </w:tc>
      </w:tr>
    </w:tbl>
    <w:p w14:paraId="7B9A8A69" w14:textId="77777777" w:rsidR="00495EB4" w:rsidRDefault="00495EB4" w:rsidP="00D24FC1">
      <w:pPr>
        <w:spacing w:after="200" w:line="276" w:lineRule="auto"/>
        <w:rPr>
          <w:b/>
          <w:snapToGrid w:val="0"/>
          <w:color w:val="000000"/>
        </w:rPr>
      </w:pPr>
    </w:p>
    <w:p w14:paraId="72BCCC23" w14:textId="77777777" w:rsidR="00D77B9A" w:rsidRDefault="00D77B9A">
      <w:pPr>
        <w:rPr>
          <w:b/>
          <w:snapToGrid w:val="0"/>
          <w:color w:val="000000"/>
        </w:rPr>
      </w:pPr>
      <w:r>
        <w:rPr>
          <w:b/>
          <w:snapToGrid w:val="0"/>
          <w:color w:val="000000"/>
        </w:rPr>
        <w:br w:type="page"/>
      </w:r>
    </w:p>
    <w:p w14:paraId="4FF04D6E" w14:textId="77777777" w:rsidR="00D77B9A" w:rsidRDefault="001F3EF6" w:rsidP="00954B73">
      <w:pPr>
        <w:pStyle w:val="Heading2"/>
        <w:rPr>
          <w:snapToGrid w:val="0"/>
        </w:rPr>
      </w:pPr>
      <w:bookmarkStart w:id="294" w:name="_Toc447195069"/>
      <w:r>
        <w:rPr>
          <w:snapToGrid w:val="0"/>
        </w:rPr>
        <w:lastRenderedPageBreak/>
        <w:t>7E</w:t>
      </w:r>
      <w:r w:rsidR="00D77B9A">
        <w:rPr>
          <w:snapToGrid w:val="0"/>
        </w:rPr>
        <w:t xml:space="preserve">: Antibiotic Stewardship </w:t>
      </w:r>
      <w:r w:rsidR="00EA4193">
        <w:rPr>
          <w:snapToGrid w:val="0"/>
        </w:rPr>
        <w:t>Practices</w:t>
      </w:r>
      <w:bookmarkEnd w:id="294"/>
    </w:p>
    <w:p w14:paraId="50D75265" w14:textId="77777777" w:rsidR="00D77B9A" w:rsidRDefault="00D77B9A" w:rsidP="00D77B9A">
      <w:pPr>
        <w:rPr>
          <w:lang w:eastAsia="ja-JP"/>
        </w:rPr>
      </w:pPr>
    </w:p>
    <w:p w14:paraId="6F80D9EF" w14:textId="77777777" w:rsidR="00EA4193" w:rsidRDefault="00EA4193" w:rsidP="00EA4193">
      <w:pPr>
        <w:rPr>
          <w:lang w:eastAsia="ja-JP"/>
        </w:rPr>
      </w:pPr>
      <w:r>
        <w:rPr>
          <w:lang w:eastAsia="ja-JP"/>
        </w:rPr>
        <w:t xml:space="preserve">The following questions have been taken directly from the NHSN’s 2015 Patient Safety Component – Annual Hospital Survey questions #23 – 34. More information about these questions can be found at </w:t>
      </w:r>
      <w:hyperlink r:id="rId167" w:history="1">
        <w:r w:rsidRPr="005D7AE3">
          <w:rPr>
            <w:rStyle w:val="Hyperlink"/>
            <w:lang w:eastAsia="ja-JP"/>
          </w:rPr>
          <w:t>http://www.cdc.gov/nhsn/forms/instr/57_103-TOI.pdf</w:t>
        </w:r>
      </w:hyperlink>
      <w:r>
        <w:rPr>
          <w:lang w:eastAsia="ja-JP"/>
        </w:rPr>
        <w:t xml:space="preserve"> </w:t>
      </w:r>
    </w:p>
    <w:p w14:paraId="3D359F95" w14:textId="77777777" w:rsidR="00ED7211" w:rsidRDefault="00ED7211" w:rsidP="00EA4193">
      <w:pPr>
        <w:rPr>
          <w:lang w:eastAsia="ja-JP"/>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76"/>
      </w:tblGrid>
      <w:tr w:rsidR="00ED7211" w14:paraId="771B60A4" w14:textId="77777777" w:rsidTr="00ED7211">
        <w:tc>
          <w:tcPr>
            <w:tcW w:w="9576" w:type="dxa"/>
          </w:tcPr>
          <w:p w14:paraId="4D37F769" w14:textId="77777777" w:rsidR="00FB2DB9" w:rsidRPr="00FB2DB9" w:rsidRDefault="00ED7211" w:rsidP="00FB2DB9">
            <w:pPr>
              <w:pStyle w:val="Header"/>
              <w:tabs>
                <w:tab w:val="clear" w:pos="4320"/>
                <w:tab w:val="clear" w:pos="8640"/>
              </w:tabs>
              <w:spacing w:before="120" w:after="120"/>
            </w:pPr>
            <w:r w:rsidRPr="009A1BC1">
              <w:rPr>
                <w:b/>
              </w:rPr>
              <w:t xml:space="preserve">Reporting Time Period: </w:t>
            </w:r>
            <w:r w:rsidRPr="009A1BC1">
              <w:t>Answer questions #1-12 based your hospital’s most current NHSN Annual Hospital Survey (must be 2015 or 2016 survey) or based on your hospital’s current structure.</w:t>
            </w:r>
            <w:r>
              <w:t xml:space="preserve"> </w:t>
            </w:r>
          </w:p>
        </w:tc>
      </w:tr>
    </w:tbl>
    <w:p w14:paraId="70576A30" w14:textId="77777777" w:rsidR="00ED7211" w:rsidRPr="008110F5" w:rsidRDefault="00ED7211" w:rsidP="00EA4193">
      <w:pPr>
        <w:rPr>
          <w:lang w:eastAsia="ja-JP"/>
        </w:rPr>
      </w:pPr>
    </w:p>
    <w:p w14:paraId="6491A1F4" w14:textId="77777777" w:rsidR="00356630" w:rsidRDefault="00356630" w:rsidP="00EA4193">
      <w:pPr>
        <w:pStyle w:val="Header"/>
        <w:tabs>
          <w:tab w:val="clear" w:pos="4320"/>
          <w:tab w:val="clear" w:pos="8640"/>
        </w:tabs>
      </w:pPr>
    </w:p>
    <w:tbl>
      <w:tblPr>
        <w:tblStyle w:val="TableGrid"/>
        <w:tblW w:w="9994" w:type="dxa"/>
        <w:jc w:val="center"/>
        <w:tblLook w:val="04A0" w:firstRow="1" w:lastRow="0" w:firstColumn="1" w:lastColumn="0" w:noHBand="0" w:noVBand="1"/>
      </w:tblPr>
      <w:tblGrid>
        <w:gridCol w:w="7345"/>
        <w:gridCol w:w="2649"/>
      </w:tblGrid>
      <w:tr w:rsidR="005C71FE" w:rsidRPr="005C71FE" w14:paraId="7E01BD26" w14:textId="77777777" w:rsidTr="00127CCD">
        <w:trPr>
          <w:jc w:val="center"/>
        </w:trPr>
        <w:tc>
          <w:tcPr>
            <w:tcW w:w="7038" w:type="dxa"/>
          </w:tcPr>
          <w:p w14:paraId="704FEE50" w14:textId="02D22B0B" w:rsidR="00591607" w:rsidRPr="00127CCD" w:rsidRDefault="005C71FE" w:rsidP="00127CCD">
            <w:pPr>
              <w:pStyle w:val="Header"/>
              <w:numPr>
                <w:ilvl w:val="0"/>
                <w:numId w:val="103"/>
              </w:numPr>
              <w:tabs>
                <w:tab w:val="clear" w:pos="4320"/>
                <w:tab w:val="clear" w:pos="8640"/>
              </w:tabs>
              <w:spacing w:before="120" w:after="120"/>
              <w:rPr>
                <w:rFonts w:cs="Arial"/>
              </w:rPr>
            </w:pPr>
            <w:r w:rsidRPr="00FC1E62">
              <w:rPr>
                <w:rFonts w:cs="Arial"/>
              </w:rPr>
              <w:t xml:space="preserve">Does your facility have a written statement of support from leadership that supports efforts to improve antibiotic use (antibiotic stewardship)? </w:t>
            </w:r>
          </w:p>
        </w:tc>
        <w:tc>
          <w:tcPr>
            <w:tcW w:w="2538" w:type="dxa"/>
            <w:vAlign w:val="center"/>
          </w:tcPr>
          <w:p w14:paraId="457657D7" w14:textId="77777777" w:rsidR="005C71FE" w:rsidRPr="005C71FE" w:rsidRDefault="005C71FE" w:rsidP="005C71FE">
            <w:pPr>
              <w:pStyle w:val="Header"/>
              <w:tabs>
                <w:tab w:val="clear" w:pos="4320"/>
                <w:tab w:val="clear" w:pos="8640"/>
              </w:tabs>
              <w:jc w:val="center"/>
              <w:rPr>
                <w:rFonts w:cs="Arial"/>
                <w:i/>
              </w:rPr>
            </w:pPr>
            <w:r w:rsidRPr="005C71FE">
              <w:rPr>
                <w:rFonts w:cs="Arial"/>
                <w:i/>
              </w:rPr>
              <w:t>Yes</w:t>
            </w:r>
          </w:p>
          <w:p w14:paraId="6814B8C8" w14:textId="77777777" w:rsidR="005C71FE" w:rsidRPr="005C71FE" w:rsidRDefault="005C71FE" w:rsidP="005C71FE">
            <w:pPr>
              <w:pStyle w:val="Header"/>
              <w:tabs>
                <w:tab w:val="clear" w:pos="4320"/>
                <w:tab w:val="clear" w:pos="8640"/>
              </w:tabs>
              <w:jc w:val="center"/>
              <w:rPr>
                <w:rFonts w:cs="Arial"/>
                <w:i/>
              </w:rPr>
            </w:pPr>
            <w:r w:rsidRPr="005C71FE">
              <w:rPr>
                <w:rFonts w:cs="Arial"/>
                <w:i/>
              </w:rPr>
              <w:t>No</w:t>
            </w:r>
          </w:p>
        </w:tc>
      </w:tr>
      <w:tr w:rsidR="005C71FE" w:rsidRPr="005C71FE" w14:paraId="1B6E6FFE" w14:textId="77777777" w:rsidTr="00127CCD">
        <w:trPr>
          <w:jc w:val="center"/>
        </w:trPr>
        <w:tc>
          <w:tcPr>
            <w:tcW w:w="7038" w:type="dxa"/>
          </w:tcPr>
          <w:p w14:paraId="23C25B9C" w14:textId="77777777" w:rsidR="005C71FE" w:rsidRPr="00FC1E62" w:rsidRDefault="005C71FE"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Is there a leader responsible for outcomes of stewardship activities at your facility? </w:t>
            </w:r>
          </w:p>
          <w:p w14:paraId="72412C70" w14:textId="77777777" w:rsidR="005C71FE" w:rsidRPr="00FC1E62" w:rsidRDefault="005C71FE" w:rsidP="005C71FE">
            <w:pPr>
              <w:pStyle w:val="Default"/>
              <w:ind w:left="360"/>
              <w:rPr>
                <w:rFonts w:ascii="Arial" w:hAnsi="Arial" w:cs="Arial"/>
                <w:sz w:val="20"/>
                <w:szCs w:val="20"/>
              </w:rPr>
            </w:pPr>
          </w:p>
          <w:p w14:paraId="03617E4E" w14:textId="53C9EA62" w:rsidR="00591607" w:rsidRPr="00FC1E62" w:rsidRDefault="005C71FE" w:rsidP="00127CCD">
            <w:pPr>
              <w:pStyle w:val="Default"/>
              <w:spacing w:after="120"/>
              <w:ind w:left="360"/>
              <w:rPr>
                <w:rFonts w:ascii="Arial" w:hAnsi="Arial" w:cs="Arial"/>
                <w:i/>
                <w:sz w:val="20"/>
                <w:szCs w:val="20"/>
              </w:rPr>
            </w:pPr>
            <w:r w:rsidRPr="00FC1E62">
              <w:rPr>
                <w:rFonts w:ascii="Arial" w:hAnsi="Arial" w:cs="Arial"/>
                <w:i/>
                <w:sz w:val="20"/>
                <w:szCs w:val="20"/>
              </w:rPr>
              <w:t>If “no,” skip 2a and move on to question #3.</w:t>
            </w:r>
          </w:p>
        </w:tc>
        <w:tc>
          <w:tcPr>
            <w:tcW w:w="2538" w:type="dxa"/>
            <w:vAlign w:val="center"/>
          </w:tcPr>
          <w:p w14:paraId="4E37343A" w14:textId="77777777" w:rsidR="005C71FE" w:rsidRDefault="005C71FE" w:rsidP="005C71FE">
            <w:pPr>
              <w:pStyle w:val="Header"/>
              <w:tabs>
                <w:tab w:val="clear" w:pos="4320"/>
                <w:tab w:val="clear" w:pos="8640"/>
              </w:tabs>
              <w:jc w:val="center"/>
              <w:rPr>
                <w:rFonts w:cs="Arial"/>
                <w:i/>
              </w:rPr>
            </w:pPr>
            <w:r>
              <w:rPr>
                <w:rFonts w:cs="Arial"/>
                <w:i/>
              </w:rPr>
              <w:t>Yes</w:t>
            </w:r>
          </w:p>
          <w:p w14:paraId="36DB7042" w14:textId="77777777" w:rsidR="005C71FE" w:rsidRPr="005C71FE" w:rsidRDefault="005C71FE" w:rsidP="005C71FE">
            <w:pPr>
              <w:pStyle w:val="Header"/>
              <w:tabs>
                <w:tab w:val="clear" w:pos="4320"/>
                <w:tab w:val="clear" w:pos="8640"/>
              </w:tabs>
              <w:jc w:val="center"/>
              <w:rPr>
                <w:rFonts w:cs="Arial"/>
                <w:i/>
              </w:rPr>
            </w:pPr>
            <w:r>
              <w:rPr>
                <w:rFonts w:cs="Arial"/>
                <w:i/>
              </w:rPr>
              <w:t>No</w:t>
            </w:r>
          </w:p>
        </w:tc>
      </w:tr>
      <w:tr w:rsidR="005C71FE" w:rsidRPr="005C71FE" w14:paraId="245CF69E" w14:textId="77777777" w:rsidTr="00127CCD">
        <w:trPr>
          <w:jc w:val="center"/>
        </w:trPr>
        <w:tc>
          <w:tcPr>
            <w:tcW w:w="7038" w:type="dxa"/>
          </w:tcPr>
          <w:p w14:paraId="76CB18D8" w14:textId="77777777" w:rsidR="005C71FE" w:rsidRPr="00FC1E62" w:rsidRDefault="005C71FE" w:rsidP="00127CCD">
            <w:pPr>
              <w:pStyle w:val="Header"/>
              <w:tabs>
                <w:tab w:val="clear" w:pos="4320"/>
                <w:tab w:val="clear" w:pos="8640"/>
              </w:tabs>
              <w:spacing w:before="120"/>
              <w:rPr>
                <w:rFonts w:cs="Arial"/>
              </w:rPr>
            </w:pPr>
            <w:r w:rsidRPr="00FC1E62">
              <w:rPr>
                <w:rFonts w:cs="Arial"/>
              </w:rPr>
              <w:t>2a) If yes, what is the position of this leader? (check one)</w:t>
            </w:r>
          </w:p>
        </w:tc>
        <w:tc>
          <w:tcPr>
            <w:tcW w:w="2538" w:type="dxa"/>
            <w:vAlign w:val="center"/>
          </w:tcPr>
          <w:p w14:paraId="688511CC" w14:textId="77777777" w:rsidR="005C71FE" w:rsidRDefault="005C71FE" w:rsidP="00ED58C1">
            <w:pPr>
              <w:pStyle w:val="Header"/>
              <w:numPr>
                <w:ilvl w:val="0"/>
                <w:numId w:val="78"/>
              </w:numPr>
              <w:tabs>
                <w:tab w:val="clear" w:pos="4320"/>
                <w:tab w:val="clear" w:pos="8640"/>
              </w:tabs>
              <w:rPr>
                <w:rFonts w:cs="Arial"/>
                <w:i/>
              </w:rPr>
            </w:pPr>
            <w:r>
              <w:rPr>
                <w:rFonts w:cs="Arial"/>
                <w:i/>
              </w:rPr>
              <w:t>Physician</w:t>
            </w:r>
          </w:p>
          <w:p w14:paraId="5408BEB6" w14:textId="77777777" w:rsidR="005C71FE" w:rsidRDefault="005C71FE" w:rsidP="00ED58C1">
            <w:pPr>
              <w:pStyle w:val="Header"/>
              <w:numPr>
                <w:ilvl w:val="0"/>
                <w:numId w:val="78"/>
              </w:numPr>
              <w:tabs>
                <w:tab w:val="clear" w:pos="4320"/>
                <w:tab w:val="clear" w:pos="8640"/>
              </w:tabs>
              <w:rPr>
                <w:rFonts w:cs="Arial"/>
                <w:i/>
              </w:rPr>
            </w:pPr>
            <w:r>
              <w:rPr>
                <w:rFonts w:cs="Arial"/>
                <w:i/>
              </w:rPr>
              <w:t>Pharmacist</w:t>
            </w:r>
          </w:p>
          <w:p w14:paraId="206D8390" w14:textId="75372F32" w:rsidR="005C71FE" w:rsidRPr="00127CCD" w:rsidRDefault="005C71FE" w:rsidP="00127CCD">
            <w:pPr>
              <w:pStyle w:val="Header"/>
              <w:numPr>
                <w:ilvl w:val="0"/>
                <w:numId w:val="78"/>
              </w:numPr>
              <w:tabs>
                <w:tab w:val="clear" w:pos="4320"/>
                <w:tab w:val="clear" w:pos="8640"/>
              </w:tabs>
              <w:rPr>
                <w:rFonts w:cs="Arial"/>
                <w:i/>
              </w:rPr>
            </w:pPr>
            <w:r>
              <w:rPr>
                <w:rFonts w:cs="Arial"/>
                <w:i/>
              </w:rPr>
              <w:t>Other</w:t>
            </w:r>
            <w:r w:rsidR="00812F2E">
              <w:rPr>
                <w:rFonts w:cs="Arial"/>
                <w:i/>
              </w:rPr>
              <w:t xml:space="preserve"> (please specify): </w:t>
            </w:r>
          </w:p>
        </w:tc>
      </w:tr>
      <w:tr w:rsidR="005C71FE" w:rsidRPr="005C71FE" w14:paraId="6145AA42" w14:textId="77777777" w:rsidTr="00127CCD">
        <w:trPr>
          <w:jc w:val="center"/>
        </w:trPr>
        <w:tc>
          <w:tcPr>
            <w:tcW w:w="7038" w:type="dxa"/>
          </w:tcPr>
          <w:p w14:paraId="196824B5" w14:textId="63D06EFB" w:rsidR="00591607" w:rsidRPr="00127CCD" w:rsidRDefault="00FC1E62" w:rsidP="00127CCD">
            <w:pPr>
              <w:pStyle w:val="Default"/>
              <w:numPr>
                <w:ilvl w:val="0"/>
                <w:numId w:val="103"/>
              </w:numPr>
              <w:spacing w:before="120" w:after="100" w:afterAutospacing="1"/>
              <w:rPr>
                <w:rFonts w:ascii="Arial" w:hAnsi="Arial" w:cs="Arial"/>
                <w:sz w:val="20"/>
                <w:szCs w:val="20"/>
              </w:rPr>
            </w:pPr>
            <w:r w:rsidRPr="00FC1E62">
              <w:rPr>
                <w:rFonts w:ascii="Arial" w:hAnsi="Arial" w:cs="Arial"/>
                <w:sz w:val="20"/>
                <w:szCs w:val="20"/>
              </w:rPr>
              <w:t xml:space="preserve">Is there at least one pharmacist responsible for improving antibiotic use at your facility? </w:t>
            </w:r>
          </w:p>
        </w:tc>
        <w:tc>
          <w:tcPr>
            <w:tcW w:w="2538" w:type="dxa"/>
            <w:vAlign w:val="center"/>
          </w:tcPr>
          <w:p w14:paraId="4B550606" w14:textId="77777777" w:rsidR="005C71FE" w:rsidRDefault="00FC1E62" w:rsidP="005C71FE">
            <w:pPr>
              <w:pStyle w:val="Header"/>
              <w:tabs>
                <w:tab w:val="clear" w:pos="4320"/>
                <w:tab w:val="clear" w:pos="8640"/>
              </w:tabs>
              <w:jc w:val="center"/>
              <w:rPr>
                <w:rFonts w:cs="Arial"/>
                <w:i/>
              </w:rPr>
            </w:pPr>
            <w:r>
              <w:rPr>
                <w:rFonts w:cs="Arial"/>
                <w:i/>
              </w:rPr>
              <w:t>Yes</w:t>
            </w:r>
          </w:p>
          <w:p w14:paraId="17D4FEF5"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4DEFD983" w14:textId="77777777" w:rsidTr="00127CCD">
        <w:trPr>
          <w:jc w:val="center"/>
        </w:trPr>
        <w:tc>
          <w:tcPr>
            <w:tcW w:w="7038" w:type="dxa"/>
          </w:tcPr>
          <w:p w14:paraId="7AC79785" w14:textId="21E1BEE3"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Does your facility provide any salary support for dedicated time for antibiotic stewardship activities? </w:t>
            </w:r>
          </w:p>
        </w:tc>
        <w:tc>
          <w:tcPr>
            <w:tcW w:w="2538" w:type="dxa"/>
            <w:vAlign w:val="center"/>
          </w:tcPr>
          <w:p w14:paraId="560CC52C" w14:textId="77777777" w:rsidR="005C71FE" w:rsidRDefault="00FC1E62" w:rsidP="005C71FE">
            <w:pPr>
              <w:pStyle w:val="Header"/>
              <w:tabs>
                <w:tab w:val="clear" w:pos="4320"/>
                <w:tab w:val="clear" w:pos="8640"/>
              </w:tabs>
              <w:jc w:val="center"/>
              <w:rPr>
                <w:rFonts w:cs="Arial"/>
                <w:i/>
              </w:rPr>
            </w:pPr>
            <w:r>
              <w:rPr>
                <w:rFonts w:cs="Arial"/>
                <w:i/>
              </w:rPr>
              <w:t>Yes</w:t>
            </w:r>
          </w:p>
          <w:p w14:paraId="42F50C90"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2F57950C" w14:textId="77777777" w:rsidTr="00127CCD">
        <w:trPr>
          <w:jc w:val="center"/>
        </w:trPr>
        <w:tc>
          <w:tcPr>
            <w:tcW w:w="7038" w:type="dxa"/>
          </w:tcPr>
          <w:p w14:paraId="05785155" w14:textId="77777777" w:rsidR="00FC1E62"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Does your facility have a policy that requires prescribers to document an indication for all antibiotics in the medical record or during order entry? </w:t>
            </w:r>
          </w:p>
          <w:p w14:paraId="73D4DC14" w14:textId="77777777" w:rsidR="00FC1E62" w:rsidRDefault="00FC1E62" w:rsidP="00FC1E62">
            <w:pPr>
              <w:pStyle w:val="Default"/>
              <w:ind w:left="360"/>
              <w:rPr>
                <w:rFonts w:ascii="Arial" w:hAnsi="Arial" w:cs="Arial"/>
                <w:sz w:val="20"/>
                <w:szCs w:val="20"/>
              </w:rPr>
            </w:pPr>
          </w:p>
          <w:p w14:paraId="0A9A8043" w14:textId="6C64CA87" w:rsidR="00591607" w:rsidRPr="00127CCD" w:rsidRDefault="00FC1E62" w:rsidP="00127CCD">
            <w:pPr>
              <w:pStyle w:val="Default"/>
              <w:spacing w:after="120"/>
              <w:ind w:left="360"/>
              <w:rPr>
                <w:rFonts w:ascii="Arial" w:hAnsi="Arial" w:cs="Arial"/>
                <w:i/>
                <w:sz w:val="20"/>
                <w:szCs w:val="20"/>
              </w:rPr>
            </w:pPr>
            <w:r w:rsidRPr="00FC1E62">
              <w:rPr>
                <w:rFonts w:ascii="Arial" w:hAnsi="Arial" w:cs="Arial"/>
                <w:i/>
                <w:sz w:val="20"/>
                <w:szCs w:val="20"/>
              </w:rPr>
              <w:t>If “no,” skip 5a and move on to question #6.</w:t>
            </w:r>
          </w:p>
        </w:tc>
        <w:tc>
          <w:tcPr>
            <w:tcW w:w="2538" w:type="dxa"/>
            <w:vAlign w:val="center"/>
          </w:tcPr>
          <w:p w14:paraId="643732CD" w14:textId="77777777" w:rsidR="005C71FE" w:rsidRDefault="00FC1E62" w:rsidP="005C71FE">
            <w:pPr>
              <w:pStyle w:val="Header"/>
              <w:tabs>
                <w:tab w:val="clear" w:pos="4320"/>
                <w:tab w:val="clear" w:pos="8640"/>
              </w:tabs>
              <w:jc w:val="center"/>
              <w:rPr>
                <w:rFonts w:cs="Arial"/>
                <w:i/>
              </w:rPr>
            </w:pPr>
            <w:r>
              <w:rPr>
                <w:rFonts w:cs="Arial"/>
                <w:i/>
              </w:rPr>
              <w:t>Yes</w:t>
            </w:r>
          </w:p>
          <w:p w14:paraId="34A4BF9C"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660B72DA" w14:textId="77777777" w:rsidTr="00127CCD">
        <w:trPr>
          <w:jc w:val="center"/>
        </w:trPr>
        <w:tc>
          <w:tcPr>
            <w:tcW w:w="7038" w:type="dxa"/>
          </w:tcPr>
          <w:p w14:paraId="17913216" w14:textId="1B2D19E1" w:rsidR="00591607" w:rsidRPr="00FC1E62" w:rsidRDefault="00FC1E62" w:rsidP="00127CCD">
            <w:pPr>
              <w:pStyle w:val="Default"/>
              <w:spacing w:before="120" w:after="120"/>
              <w:rPr>
                <w:rFonts w:ascii="Arial" w:hAnsi="Arial" w:cs="Arial"/>
                <w:sz w:val="20"/>
                <w:szCs w:val="20"/>
              </w:rPr>
            </w:pPr>
            <w:r>
              <w:rPr>
                <w:rFonts w:ascii="Arial" w:hAnsi="Arial" w:cs="Arial"/>
                <w:sz w:val="20"/>
                <w:szCs w:val="20"/>
              </w:rPr>
              <w:t xml:space="preserve">5a) </w:t>
            </w:r>
            <w:r w:rsidRPr="00FC1E62">
              <w:rPr>
                <w:rFonts w:ascii="Arial" w:hAnsi="Arial" w:cs="Arial"/>
                <w:sz w:val="20"/>
                <w:szCs w:val="20"/>
              </w:rPr>
              <w:t>If Yes, has adherence to the policy to document an indication been monitored?</w:t>
            </w:r>
          </w:p>
        </w:tc>
        <w:tc>
          <w:tcPr>
            <w:tcW w:w="2538" w:type="dxa"/>
            <w:vAlign w:val="center"/>
          </w:tcPr>
          <w:p w14:paraId="383B403F" w14:textId="77777777" w:rsidR="005C71FE" w:rsidRDefault="00FC1E62" w:rsidP="005C71FE">
            <w:pPr>
              <w:pStyle w:val="Header"/>
              <w:tabs>
                <w:tab w:val="clear" w:pos="4320"/>
                <w:tab w:val="clear" w:pos="8640"/>
              </w:tabs>
              <w:jc w:val="center"/>
              <w:rPr>
                <w:rFonts w:cs="Arial"/>
                <w:i/>
              </w:rPr>
            </w:pPr>
            <w:r>
              <w:rPr>
                <w:rFonts w:cs="Arial"/>
                <w:i/>
              </w:rPr>
              <w:t>Yes</w:t>
            </w:r>
          </w:p>
          <w:p w14:paraId="541C8AF3"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61120EAF" w14:textId="77777777" w:rsidTr="00127CCD">
        <w:trPr>
          <w:jc w:val="center"/>
        </w:trPr>
        <w:tc>
          <w:tcPr>
            <w:tcW w:w="7038" w:type="dxa"/>
          </w:tcPr>
          <w:p w14:paraId="60420895" w14:textId="77777777" w:rsidR="005C71FE"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Does your facility have facility-specific treatment recommendations, based on national guidelines and local susceptibility, to assist with antibiotic selection for common clinical conditions? </w:t>
            </w:r>
          </w:p>
          <w:p w14:paraId="605031D7" w14:textId="77777777" w:rsidR="00FC1E62" w:rsidRDefault="00FC1E62" w:rsidP="00FC1E62">
            <w:pPr>
              <w:pStyle w:val="Default"/>
              <w:ind w:left="360"/>
              <w:rPr>
                <w:rFonts w:ascii="Arial" w:hAnsi="Arial" w:cs="Arial"/>
                <w:sz w:val="20"/>
                <w:szCs w:val="20"/>
              </w:rPr>
            </w:pPr>
          </w:p>
          <w:p w14:paraId="0F47C3EC" w14:textId="2C469B31" w:rsidR="00591607" w:rsidRPr="00FC1E62" w:rsidRDefault="00FC1E62" w:rsidP="00127CCD">
            <w:pPr>
              <w:pStyle w:val="Default"/>
              <w:spacing w:after="120"/>
              <w:ind w:left="360"/>
              <w:rPr>
                <w:rFonts w:ascii="Arial" w:hAnsi="Arial" w:cs="Arial"/>
                <w:i/>
                <w:sz w:val="20"/>
                <w:szCs w:val="20"/>
              </w:rPr>
            </w:pPr>
            <w:r>
              <w:rPr>
                <w:rFonts w:ascii="Arial" w:hAnsi="Arial" w:cs="Arial"/>
                <w:i/>
                <w:sz w:val="20"/>
                <w:szCs w:val="20"/>
              </w:rPr>
              <w:t>If “no,” skip 6a and move on to question #7.</w:t>
            </w:r>
          </w:p>
        </w:tc>
        <w:tc>
          <w:tcPr>
            <w:tcW w:w="2538" w:type="dxa"/>
            <w:vAlign w:val="center"/>
          </w:tcPr>
          <w:p w14:paraId="4F33F4F3" w14:textId="77777777" w:rsidR="00FC1E62" w:rsidRDefault="00FC1E62" w:rsidP="00FC1E62">
            <w:pPr>
              <w:pStyle w:val="Header"/>
              <w:tabs>
                <w:tab w:val="clear" w:pos="4320"/>
                <w:tab w:val="clear" w:pos="8640"/>
              </w:tabs>
              <w:jc w:val="center"/>
              <w:rPr>
                <w:rFonts w:cs="Arial"/>
                <w:i/>
              </w:rPr>
            </w:pPr>
            <w:r>
              <w:rPr>
                <w:rFonts w:cs="Arial"/>
                <w:i/>
              </w:rPr>
              <w:t>Yes</w:t>
            </w:r>
          </w:p>
          <w:p w14:paraId="1748DB4E" w14:textId="77777777" w:rsidR="00FC1E62" w:rsidRPr="005C71FE" w:rsidRDefault="00FC1E62" w:rsidP="00FC1E62">
            <w:pPr>
              <w:pStyle w:val="Header"/>
              <w:tabs>
                <w:tab w:val="clear" w:pos="4320"/>
                <w:tab w:val="clear" w:pos="8640"/>
              </w:tabs>
              <w:jc w:val="center"/>
              <w:rPr>
                <w:rFonts w:cs="Arial"/>
                <w:i/>
              </w:rPr>
            </w:pPr>
            <w:r>
              <w:rPr>
                <w:rFonts w:cs="Arial"/>
                <w:i/>
              </w:rPr>
              <w:t>No</w:t>
            </w:r>
          </w:p>
        </w:tc>
      </w:tr>
      <w:tr w:rsidR="00FC1E62" w:rsidRPr="005C71FE" w14:paraId="7743B8D6" w14:textId="77777777" w:rsidTr="00127CCD">
        <w:trPr>
          <w:jc w:val="center"/>
        </w:trPr>
        <w:tc>
          <w:tcPr>
            <w:tcW w:w="7038" w:type="dxa"/>
          </w:tcPr>
          <w:p w14:paraId="44B1A183" w14:textId="2BBC6119" w:rsidR="00591607" w:rsidRPr="00FC1E62" w:rsidRDefault="00FC1E62" w:rsidP="00127CCD">
            <w:pPr>
              <w:pStyle w:val="Default"/>
              <w:spacing w:before="120" w:after="120"/>
              <w:rPr>
                <w:rFonts w:ascii="Arial" w:hAnsi="Arial" w:cs="Arial"/>
                <w:sz w:val="20"/>
                <w:szCs w:val="20"/>
              </w:rPr>
            </w:pPr>
            <w:r>
              <w:rPr>
                <w:rFonts w:ascii="Arial" w:hAnsi="Arial" w:cs="Arial"/>
                <w:sz w:val="20"/>
                <w:szCs w:val="20"/>
              </w:rPr>
              <w:t xml:space="preserve">6a) </w:t>
            </w:r>
            <w:r w:rsidRPr="00FC1E62">
              <w:rPr>
                <w:rFonts w:ascii="Arial" w:hAnsi="Arial" w:cs="Arial"/>
                <w:sz w:val="20"/>
                <w:szCs w:val="20"/>
              </w:rPr>
              <w:t xml:space="preserve">If Yes, has adherence to facility-specific treatment recommendations been monitored? </w:t>
            </w:r>
          </w:p>
        </w:tc>
        <w:tc>
          <w:tcPr>
            <w:tcW w:w="2538" w:type="dxa"/>
            <w:vAlign w:val="center"/>
          </w:tcPr>
          <w:p w14:paraId="6D8E0517" w14:textId="77777777" w:rsidR="00FC1E62" w:rsidRDefault="00FC1E62" w:rsidP="005C71FE">
            <w:pPr>
              <w:pStyle w:val="Header"/>
              <w:tabs>
                <w:tab w:val="clear" w:pos="4320"/>
                <w:tab w:val="clear" w:pos="8640"/>
              </w:tabs>
              <w:jc w:val="center"/>
              <w:rPr>
                <w:rFonts w:cs="Arial"/>
                <w:i/>
              </w:rPr>
            </w:pPr>
            <w:r>
              <w:rPr>
                <w:rFonts w:cs="Arial"/>
                <w:i/>
              </w:rPr>
              <w:t>Yes</w:t>
            </w:r>
          </w:p>
          <w:p w14:paraId="7C662FC6"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FC1E62" w:rsidRPr="005C71FE" w14:paraId="49327CCD" w14:textId="77777777" w:rsidTr="00127CCD">
        <w:trPr>
          <w:jc w:val="center"/>
        </w:trPr>
        <w:tc>
          <w:tcPr>
            <w:tcW w:w="7038" w:type="dxa"/>
          </w:tcPr>
          <w:p w14:paraId="1367D9B4" w14:textId="35D4D73C"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Is there a formal procedure for all clinicians to review the appropriateness of all antibiotics at or after 48 hours from the initial orders (e.g. antibiotic time out)?</w:t>
            </w:r>
          </w:p>
        </w:tc>
        <w:tc>
          <w:tcPr>
            <w:tcW w:w="2538" w:type="dxa"/>
            <w:vAlign w:val="center"/>
          </w:tcPr>
          <w:p w14:paraId="12178012" w14:textId="77777777" w:rsidR="00FC1E62" w:rsidRDefault="00812F2E" w:rsidP="005C71FE">
            <w:pPr>
              <w:pStyle w:val="Header"/>
              <w:tabs>
                <w:tab w:val="clear" w:pos="4320"/>
                <w:tab w:val="clear" w:pos="8640"/>
              </w:tabs>
              <w:jc w:val="center"/>
              <w:rPr>
                <w:rFonts w:cs="Arial"/>
                <w:i/>
              </w:rPr>
            </w:pPr>
            <w:r>
              <w:rPr>
                <w:rFonts w:cs="Arial"/>
                <w:i/>
              </w:rPr>
              <w:t>Yes</w:t>
            </w:r>
          </w:p>
          <w:p w14:paraId="2A98F66D"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0A792077" w14:textId="77777777" w:rsidTr="00127CCD">
        <w:trPr>
          <w:jc w:val="center"/>
        </w:trPr>
        <w:tc>
          <w:tcPr>
            <w:tcW w:w="7038" w:type="dxa"/>
          </w:tcPr>
          <w:p w14:paraId="36717616" w14:textId="67874992"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Do any specified antibiotic agents need to be approved by a physician or pharmacist prior to dispensing at your facility?</w:t>
            </w:r>
          </w:p>
        </w:tc>
        <w:tc>
          <w:tcPr>
            <w:tcW w:w="2538" w:type="dxa"/>
            <w:vAlign w:val="center"/>
          </w:tcPr>
          <w:p w14:paraId="39CBF1C6" w14:textId="77777777" w:rsidR="00FC1E62" w:rsidRDefault="00812F2E" w:rsidP="005C71FE">
            <w:pPr>
              <w:pStyle w:val="Header"/>
              <w:tabs>
                <w:tab w:val="clear" w:pos="4320"/>
                <w:tab w:val="clear" w:pos="8640"/>
              </w:tabs>
              <w:jc w:val="center"/>
              <w:rPr>
                <w:rFonts w:cs="Arial"/>
                <w:i/>
              </w:rPr>
            </w:pPr>
            <w:r>
              <w:rPr>
                <w:rFonts w:cs="Arial"/>
                <w:i/>
              </w:rPr>
              <w:t>Yes</w:t>
            </w:r>
          </w:p>
          <w:p w14:paraId="60071337"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6EFC92D2" w14:textId="77777777" w:rsidTr="00127CCD">
        <w:trPr>
          <w:jc w:val="center"/>
        </w:trPr>
        <w:tc>
          <w:tcPr>
            <w:tcW w:w="7038" w:type="dxa"/>
          </w:tcPr>
          <w:p w14:paraId="63DF35E4" w14:textId="77777777" w:rsidR="00591607" w:rsidRPr="00BD6AEC"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Does a physician or pharmacist review courses of therapy for specified antibiotic agents and communicate results with prescribers (i.e., audit with </w:t>
            </w:r>
            <w:r w:rsidRPr="00FC1E62">
              <w:rPr>
                <w:rFonts w:ascii="Arial" w:hAnsi="Arial" w:cs="Arial"/>
                <w:sz w:val="20"/>
                <w:szCs w:val="20"/>
              </w:rPr>
              <w:lastRenderedPageBreak/>
              <w:t xml:space="preserve">feedback) at your facility? </w:t>
            </w:r>
          </w:p>
        </w:tc>
        <w:tc>
          <w:tcPr>
            <w:tcW w:w="2538" w:type="dxa"/>
            <w:vAlign w:val="center"/>
          </w:tcPr>
          <w:p w14:paraId="052362AB" w14:textId="77777777" w:rsidR="00FC1E62" w:rsidRDefault="00812F2E" w:rsidP="005C71FE">
            <w:pPr>
              <w:pStyle w:val="Header"/>
              <w:tabs>
                <w:tab w:val="clear" w:pos="4320"/>
                <w:tab w:val="clear" w:pos="8640"/>
              </w:tabs>
              <w:jc w:val="center"/>
              <w:rPr>
                <w:rFonts w:cs="Arial"/>
                <w:i/>
              </w:rPr>
            </w:pPr>
            <w:r>
              <w:rPr>
                <w:rFonts w:cs="Arial"/>
                <w:i/>
              </w:rPr>
              <w:lastRenderedPageBreak/>
              <w:t>Yes</w:t>
            </w:r>
          </w:p>
          <w:p w14:paraId="398CF0BF"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70FA400F" w14:textId="77777777" w:rsidTr="00127CCD">
        <w:trPr>
          <w:jc w:val="center"/>
        </w:trPr>
        <w:tc>
          <w:tcPr>
            <w:tcW w:w="7038" w:type="dxa"/>
          </w:tcPr>
          <w:p w14:paraId="6A996E69" w14:textId="77777777" w:rsidR="00FC1E62"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lastRenderedPageBreak/>
              <w:t xml:space="preserve">Does your facility monitor antibiotic use (consumption) at the unit, service, and/or facility wide? </w:t>
            </w:r>
          </w:p>
          <w:p w14:paraId="1B2D902F" w14:textId="77777777" w:rsidR="00812F2E" w:rsidRDefault="00812F2E" w:rsidP="00812F2E">
            <w:pPr>
              <w:pStyle w:val="Default"/>
              <w:ind w:left="360"/>
              <w:rPr>
                <w:rFonts w:ascii="Arial" w:hAnsi="Arial" w:cs="Arial"/>
                <w:sz w:val="20"/>
                <w:szCs w:val="20"/>
              </w:rPr>
            </w:pPr>
          </w:p>
          <w:p w14:paraId="495BAB9C" w14:textId="4C1E4319" w:rsidR="00591607" w:rsidRPr="00812F2E" w:rsidRDefault="00812F2E" w:rsidP="00127CCD">
            <w:pPr>
              <w:pStyle w:val="Default"/>
              <w:spacing w:after="120"/>
              <w:ind w:left="360"/>
              <w:rPr>
                <w:rFonts w:ascii="Arial" w:hAnsi="Arial" w:cs="Arial"/>
                <w:i/>
                <w:sz w:val="20"/>
                <w:szCs w:val="20"/>
              </w:rPr>
            </w:pPr>
            <w:r>
              <w:rPr>
                <w:rFonts w:ascii="Arial" w:hAnsi="Arial" w:cs="Arial"/>
                <w:i/>
                <w:sz w:val="20"/>
                <w:szCs w:val="20"/>
              </w:rPr>
              <w:t>If “no,” skip 10a and 10b and move on to question #11.</w:t>
            </w:r>
          </w:p>
        </w:tc>
        <w:tc>
          <w:tcPr>
            <w:tcW w:w="2538" w:type="dxa"/>
            <w:vAlign w:val="center"/>
          </w:tcPr>
          <w:p w14:paraId="5CD362E0" w14:textId="77777777" w:rsidR="00FC1E62" w:rsidRDefault="00812F2E" w:rsidP="005C71FE">
            <w:pPr>
              <w:pStyle w:val="Header"/>
              <w:tabs>
                <w:tab w:val="clear" w:pos="4320"/>
                <w:tab w:val="clear" w:pos="8640"/>
              </w:tabs>
              <w:jc w:val="center"/>
              <w:rPr>
                <w:rFonts w:cs="Arial"/>
                <w:i/>
              </w:rPr>
            </w:pPr>
            <w:r>
              <w:rPr>
                <w:rFonts w:cs="Arial"/>
                <w:i/>
              </w:rPr>
              <w:t xml:space="preserve">Yes </w:t>
            </w:r>
          </w:p>
          <w:p w14:paraId="34851819"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7A85E0B0" w14:textId="77777777" w:rsidTr="00127CCD">
        <w:trPr>
          <w:jc w:val="center"/>
        </w:trPr>
        <w:tc>
          <w:tcPr>
            <w:tcW w:w="7038" w:type="dxa"/>
          </w:tcPr>
          <w:tbl>
            <w:tblPr>
              <w:tblW w:w="0" w:type="auto"/>
              <w:tblBorders>
                <w:top w:val="nil"/>
                <w:left w:val="nil"/>
                <w:bottom w:val="nil"/>
                <w:right w:val="nil"/>
              </w:tblBorders>
              <w:tblLook w:val="0000" w:firstRow="0" w:lastRow="0" w:firstColumn="0" w:lastColumn="0" w:noHBand="0" w:noVBand="0"/>
            </w:tblPr>
            <w:tblGrid>
              <w:gridCol w:w="4818"/>
            </w:tblGrid>
            <w:tr w:rsidR="00E027B6" w:rsidRPr="00FC1E62" w14:paraId="684D40D8" w14:textId="77777777">
              <w:trPr>
                <w:trHeight w:val="94"/>
              </w:trPr>
              <w:tc>
                <w:tcPr>
                  <w:tcW w:w="0" w:type="auto"/>
                </w:tcPr>
                <w:p w14:paraId="4B787C81" w14:textId="77777777" w:rsidR="00FC1E62" w:rsidRPr="00FC1E62" w:rsidRDefault="00E027B6" w:rsidP="00127CCD">
                  <w:pPr>
                    <w:autoSpaceDE w:val="0"/>
                    <w:autoSpaceDN w:val="0"/>
                    <w:adjustRightInd w:val="0"/>
                    <w:spacing w:before="120"/>
                    <w:rPr>
                      <w:rFonts w:cs="Arial"/>
                      <w:color w:val="000000"/>
                    </w:rPr>
                  </w:pPr>
                  <w:r>
                    <w:rPr>
                      <w:rFonts w:cs="Arial"/>
                      <w:color w:val="000000"/>
                    </w:rPr>
                    <w:t xml:space="preserve">10a) </w:t>
                  </w:r>
                  <w:r w:rsidR="00FC1E62" w:rsidRPr="00FC1E62">
                    <w:rPr>
                      <w:rFonts w:cs="Arial"/>
                      <w:color w:val="000000"/>
                    </w:rPr>
                    <w:t xml:space="preserve">If </w:t>
                  </w:r>
                  <w:r>
                    <w:rPr>
                      <w:rFonts w:cs="Arial"/>
                      <w:color w:val="000000"/>
                    </w:rPr>
                    <w:t xml:space="preserve">Yes, </w:t>
                  </w:r>
                  <w:r w:rsidR="00FC1E62" w:rsidRPr="00FC1E62">
                    <w:rPr>
                      <w:rFonts w:cs="Arial"/>
                      <w:color w:val="000000"/>
                    </w:rPr>
                    <w:t xml:space="preserve">by which metrics? (Check all that apply) </w:t>
                  </w:r>
                </w:p>
              </w:tc>
            </w:tr>
          </w:tbl>
          <w:p w14:paraId="76BD9274" w14:textId="77777777" w:rsidR="00FC1E62" w:rsidRPr="00FC1E62" w:rsidRDefault="00FC1E62" w:rsidP="00FC1E62">
            <w:pPr>
              <w:pStyle w:val="Default"/>
              <w:rPr>
                <w:rFonts w:ascii="Arial" w:hAnsi="Arial" w:cs="Arial"/>
                <w:sz w:val="20"/>
                <w:szCs w:val="20"/>
              </w:rPr>
            </w:pPr>
          </w:p>
        </w:tc>
        <w:tc>
          <w:tcPr>
            <w:tcW w:w="2538" w:type="dxa"/>
            <w:vAlign w:val="center"/>
          </w:tcPr>
          <w:p w14:paraId="61A8733C" w14:textId="77777777" w:rsidR="00FC1E62" w:rsidRDefault="00812F2E" w:rsidP="00ED58C1">
            <w:pPr>
              <w:pStyle w:val="Header"/>
              <w:numPr>
                <w:ilvl w:val="0"/>
                <w:numId w:val="104"/>
              </w:numPr>
              <w:tabs>
                <w:tab w:val="clear" w:pos="4320"/>
                <w:tab w:val="clear" w:pos="8640"/>
              </w:tabs>
              <w:ind w:left="360"/>
              <w:rPr>
                <w:rFonts w:cs="Arial"/>
                <w:i/>
              </w:rPr>
            </w:pPr>
            <w:r>
              <w:rPr>
                <w:rFonts w:cs="Arial"/>
                <w:i/>
              </w:rPr>
              <w:t>Days of Therapy</w:t>
            </w:r>
          </w:p>
          <w:p w14:paraId="1659B1D2" w14:textId="77777777" w:rsidR="00812F2E" w:rsidRDefault="00812F2E" w:rsidP="00ED58C1">
            <w:pPr>
              <w:pStyle w:val="Header"/>
              <w:numPr>
                <w:ilvl w:val="0"/>
                <w:numId w:val="104"/>
              </w:numPr>
              <w:tabs>
                <w:tab w:val="clear" w:pos="4320"/>
                <w:tab w:val="clear" w:pos="8640"/>
              </w:tabs>
              <w:ind w:left="360"/>
              <w:rPr>
                <w:rFonts w:cs="Arial"/>
                <w:i/>
              </w:rPr>
            </w:pPr>
            <w:r>
              <w:rPr>
                <w:rFonts w:cs="Arial"/>
                <w:i/>
              </w:rPr>
              <w:t>Defined Daily Dose</w:t>
            </w:r>
          </w:p>
          <w:p w14:paraId="0A0783C8" w14:textId="77777777" w:rsidR="00812F2E" w:rsidRDefault="00812F2E" w:rsidP="00ED58C1">
            <w:pPr>
              <w:pStyle w:val="Header"/>
              <w:numPr>
                <w:ilvl w:val="0"/>
                <w:numId w:val="104"/>
              </w:numPr>
              <w:tabs>
                <w:tab w:val="clear" w:pos="4320"/>
                <w:tab w:val="clear" w:pos="8640"/>
              </w:tabs>
              <w:ind w:left="360"/>
              <w:rPr>
                <w:rFonts w:cs="Arial"/>
                <w:i/>
              </w:rPr>
            </w:pPr>
            <w:r>
              <w:rPr>
                <w:rFonts w:cs="Arial"/>
                <w:i/>
              </w:rPr>
              <w:t>Purchasing Data</w:t>
            </w:r>
          </w:p>
          <w:p w14:paraId="5D5755DD" w14:textId="77777777" w:rsidR="00812F2E" w:rsidRPr="005C71FE" w:rsidRDefault="00812F2E" w:rsidP="00ED58C1">
            <w:pPr>
              <w:pStyle w:val="Header"/>
              <w:numPr>
                <w:ilvl w:val="0"/>
                <w:numId w:val="104"/>
              </w:numPr>
              <w:tabs>
                <w:tab w:val="clear" w:pos="4320"/>
                <w:tab w:val="clear" w:pos="8640"/>
              </w:tabs>
              <w:ind w:left="360"/>
              <w:rPr>
                <w:rFonts w:cs="Arial"/>
                <w:i/>
              </w:rPr>
            </w:pPr>
            <w:r>
              <w:rPr>
                <w:rFonts w:cs="Arial"/>
                <w:i/>
              </w:rPr>
              <w:t xml:space="preserve">Other (please specify): </w:t>
            </w:r>
          </w:p>
        </w:tc>
      </w:tr>
      <w:tr w:rsidR="00FC1E62" w:rsidRPr="005C71FE" w14:paraId="546E80BE" w14:textId="77777777" w:rsidTr="00127CCD">
        <w:trPr>
          <w:jc w:val="center"/>
        </w:trPr>
        <w:tc>
          <w:tcPr>
            <w:tcW w:w="7038" w:type="dxa"/>
          </w:tcPr>
          <w:tbl>
            <w:tblPr>
              <w:tblW w:w="0" w:type="auto"/>
              <w:tblBorders>
                <w:top w:val="nil"/>
                <w:left w:val="nil"/>
                <w:bottom w:val="nil"/>
                <w:right w:val="nil"/>
              </w:tblBorders>
              <w:tblLook w:val="0000" w:firstRow="0" w:lastRow="0" w:firstColumn="0" w:lastColumn="0" w:noHBand="0" w:noVBand="0"/>
            </w:tblPr>
            <w:tblGrid>
              <w:gridCol w:w="7129"/>
            </w:tblGrid>
            <w:tr w:rsidR="00FC1E62" w:rsidRPr="00FC1E62" w14:paraId="0EE9FDA7" w14:textId="77777777">
              <w:trPr>
                <w:trHeight w:val="94"/>
              </w:trPr>
              <w:tc>
                <w:tcPr>
                  <w:tcW w:w="0" w:type="auto"/>
                </w:tcPr>
                <w:p w14:paraId="7AE06E07" w14:textId="400106D9" w:rsidR="00591607" w:rsidRPr="00FC1E62" w:rsidRDefault="00E027B6" w:rsidP="00127CCD">
                  <w:pPr>
                    <w:autoSpaceDE w:val="0"/>
                    <w:autoSpaceDN w:val="0"/>
                    <w:adjustRightInd w:val="0"/>
                    <w:spacing w:before="120" w:after="120"/>
                    <w:rPr>
                      <w:rFonts w:cs="Arial"/>
                      <w:color w:val="000000"/>
                    </w:rPr>
                  </w:pPr>
                  <w:r>
                    <w:rPr>
                      <w:rFonts w:cs="Arial"/>
                      <w:color w:val="000000"/>
                    </w:rPr>
                    <w:t xml:space="preserve">10b) </w:t>
                  </w:r>
                  <w:r w:rsidR="00FC1E62" w:rsidRPr="00FC1E62">
                    <w:rPr>
                      <w:rFonts w:cs="Arial"/>
                      <w:color w:val="000000"/>
                    </w:rPr>
                    <w:t xml:space="preserve">If Yes, are facility- and/or unit- or service-specific reports on antibiotic use shared with prescribers? </w:t>
                  </w:r>
                </w:p>
              </w:tc>
            </w:tr>
          </w:tbl>
          <w:p w14:paraId="41B4B3EE" w14:textId="77777777" w:rsidR="00FC1E62" w:rsidRPr="00FC1E62" w:rsidRDefault="00FC1E62" w:rsidP="00FC1E62">
            <w:pPr>
              <w:pStyle w:val="Default"/>
              <w:rPr>
                <w:rFonts w:ascii="Arial" w:hAnsi="Arial" w:cs="Arial"/>
                <w:sz w:val="20"/>
                <w:szCs w:val="20"/>
              </w:rPr>
            </w:pPr>
          </w:p>
        </w:tc>
        <w:tc>
          <w:tcPr>
            <w:tcW w:w="2538" w:type="dxa"/>
            <w:vAlign w:val="center"/>
          </w:tcPr>
          <w:p w14:paraId="4C677725" w14:textId="77777777" w:rsidR="00FC1E62" w:rsidRDefault="00E027B6" w:rsidP="005C71FE">
            <w:pPr>
              <w:pStyle w:val="Header"/>
              <w:tabs>
                <w:tab w:val="clear" w:pos="4320"/>
                <w:tab w:val="clear" w:pos="8640"/>
              </w:tabs>
              <w:jc w:val="center"/>
              <w:rPr>
                <w:rFonts w:cs="Arial"/>
                <w:i/>
              </w:rPr>
            </w:pPr>
            <w:r>
              <w:rPr>
                <w:rFonts w:cs="Arial"/>
                <w:i/>
              </w:rPr>
              <w:t>Yes</w:t>
            </w:r>
          </w:p>
          <w:p w14:paraId="38529D6F" w14:textId="77777777" w:rsidR="00E027B6" w:rsidRPr="005C71FE" w:rsidRDefault="00E027B6" w:rsidP="005C71FE">
            <w:pPr>
              <w:pStyle w:val="Header"/>
              <w:tabs>
                <w:tab w:val="clear" w:pos="4320"/>
                <w:tab w:val="clear" w:pos="8640"/>
              </w:tabs>
              <w:jc w:val="center"/>
              <w:rPr>
                <w:rFonts w:cs="Arial"/>
                <w:i/>
              </w:rPr>
            </w:pPr>
            <w:r>
              <w:rPr>
                <w:rFonts w:cs="Arial"/>
                <w:i/>
              </w:rPr>
              <w:t>No</w:t>
            </w:r>
          </w:p>
        </w:tc>
      </w:tr>
      <w:tr w:rsidR="00FC1E62" w:rsidRPr="005C71FE" w14:paraId="2E758948" w14:textId="77777777" w:rsidTr="00127CCD">
        <w:trPr>
          <w:jc w:val="center"/>
        </w:trPr>
        <w:tc>
          <w:tcPr>
            <w:tcW w:w="7038" w:type="dxa"/>
          </w:tcPr>
          <w:p w14:paraId="7B06B54C" w14:textId="41B4E1FD" w:rsidR="00FC1E62"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 prescribers ever receive feedback by the stewardship program about how they can improve their antibiotic prescribing? </w:t>
            </w:r>
          </w:p>
        </w:tc>
        <w:tc>
          <w:tcPr>
            <w:tcW w:w="2538" w:type="dxa"/>
            <w:vAlign w:val="center"/>
          </w:tcPr>
          <w:p w14:paraId="4B662975" w14:textId="77777777" w:rsidR="00FC1E62" w:rsidRDefault="00356630" w:rsidP="005C71FE">
            <w:pPr>
              <w:pStyle w:val="Header"/>
              <w:tabs>
                <w:tab w:val="clear" w:pos="4320"/>
                <w:tab w:val="clear" w:pos="8640"/>
              </w:tabs>
              <w:jc w:val="center"/>
              <w:rPr>
                <w:rFonts w:cs="Arial"/>
                <w:i/>
              </w:rPr>
            </w:pPr>
            <w:r>
              <w:rPr>
                <w:rFonts w:cs="Arial"/>
                <w:i/>
              </w:rPr>
              <w:t>Yes</w:t>
            </w:r>
          </w:p>
          <w:p w14:paraId="2951494B" w14:textId="77777777" w:rsidR="00356630" w:rsidRPr="005C71FE" w:rsidRDefault="00356630" w:rsidP="005C71FE">
            <w:pPr>
              <w:pStyle w:val="Header"/>
              <w:tabs>
                <w:tab w:val="clear" w:pos="4320"/>
                <w:tab w:val="clear" w:pos="8640"/>
              </w:tabs>
              <w:jc w:val="center"/>
              <w:rPr>
                <w:rFonts w:cs="Arial"/>
                <w:i/>
              </w:rPr>
            </w:pPr>
            <w:r>
              <w:rPr>
                <w:rFonts w:cs="Arial"/>
                <w:i/>
              </w:rPr>
              <w:t>No</w:t>
            </w:r>
          </w:p>
        </w:tc>
      </w:tr>
      <w:tr w:rsidR="00FC1E62" w:rsidRPr="005C71FE" w14:paraId="4C1AD7A3" w14:textId="77777777" w:rsidTr="00127CCD">
        <w:trPr>
          <w:jc w:val="center"/>
        </w:trPr>
        <w:tc>
          <w:tcPr>
            <w:tcW w:w="7038" w:type="dxa"/>
          </w:tcPr>
          <w:p w14:paraId="67C88597" w14:textId="49FEC8D9" w:rsidR="00FC1E62"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Has your stewardship program provided education to clinicians and other relevant staff on improving antibiotic use? </w:t>
            </w:r>
          </w:p>
        </w:tc>
        <w:tc>
          <w:tcPr>
            <w:tcW w:w="2538" w:type="dxa"/>
            <w:vAlign w:val="center"/>
          </w:tcPr>
          <w:p w14:paraId="12B9D54A" w14:textId="77777777" w:rsidR="00FC1E62" w:rsidRDefault="00356630" w:rsidP="005C71FE">
            <w:pPr>
              <w:pStyle w:val="Header"/>
              <w:tabs>
                <w:tab w:val="clear" w:pos="4320"/>
                <w:tab w:val="clear" w:pos="8640"/>
              </w:tabs>
              <w:jc w:val="center"/>
              <w:rPr>
                <w:rFonts w:cs="Arial"/>
                <w:i/>
              </w:rPr>
            </w:pPr>
            <w:r>
              <w:rPr>
                <w:rFonts w:cs="Arial"/>
                <w:i/>
              </w:rPr>
              <w:t>Yes</w:t>
            </w:r>
          </w:p>
          <w:p w14:paraId="7E382CC7" w14:textId="77777777" w:rsidR="00356630" w:rsidRPr="005C71FE" w:rsidRDefault="00356630" w:rsidP="005C71FE">
            <w:pPr>
              <w:pStyle w:val="Header"/>
              <w:tabs>
                <w:tab w:val="clear" w:pos="4320"/>
                <w:tab w:val="clear" w:pos="8640"/>
              </w:tabs>
              <w:jc w:val="center"/>
              <w:rPr>
                <w:rFonts w:cs="Arial"/>
                <w:i/>
              </w:rPr>
            </w:pPr>
            <w:r>
              <w:rPr>
                <w:rFonts w:cs="Arial"/>
                <w:i/>
              </w:rPr>
              <w:t>No</w:t>
            </w:r>
          </w:p>
        </w:tc>
      </w:tr>
    </w:tbl>
    <w:p w14:paraId="3CCF601B" w14:textId="77777777" w:rsidR="00EA4193" w:rsidRPr="005C71FE" w:rsidRDefault="00EA4193" w:rsidP="00EA4193">
      <w:pPr>
        <w:pStyle w:val="Header"/>
        <w:tabs>
          <w:tab w:val="clear" w:pos="4320"/>
          <w:tab w:val="clear" w:pos="8640"/>
        </w:tabs>
        <w:rPr>
          <w:rFonts w:cs="Arial"/>
        </w:rPr>
      </w:pPr>
    </w:p>
    <w:p w14:paraId="7AA6C81E" w14:textId="77777777" w:rsidR="00D77B9A" w:rsidRPr="00D77B9A" w:rsidRDefault="00D77B9A" w:rsidP="00D77B9A">
      <w:pPr>
        <w:rPr>
          <w:lang w:eastAsia="ja-JP"/>
        </w:rPr>
      </w:pPr>
    </w:p>
    <w:p w14:paraId="6B581EB5" w14:textId="77777777" w:rsidR="003C5C5D" w:rsidRDefault="003C5C5D">
      <w:pPr>
        <w:rPr>
          <w:b/>
          <w:snapToGrid w:val="0"/>
          <w:color w:val="000000"/>
        </w:rPr>
      </w:pPr>
    </w:p>
    <w:p w14:paraId="2E9EF0AE" w14:textId="77777777" w:rsidR="00D77B9A" w:rsidRDefault="00D77B9A">
      <w:pPr>
        <w:rPr>
          <w:b/>
          <w:snapToGrid w:val="0"/>
          <w:color w:val="000000"/>
        </w:rPr>
      </w:pPr>
      <w:r>
        <w:rPr>
          <w:b/>
          <w:snapToGrid w:val="0"/>
          <w:color w:val="000000"/>
        </w:rPr>
        <w:br w:type="page"/>
      </w:r>
    </w:p>
    <w:p w14:paraId="2283FE7B" w14:textId="77777777" w:rsidR="008910AA" w:rsidRPr="00D634CF" w:rsidRDefault="008910AA" w:rsidP="00D24FC1">
      <w:pPr>
        <w:spacing w:after="200" w:line="276" w:lineRule="auto"/>
        <w:rPr>
          <w:snapToGrid w:val="0"/>
          <w:color w:val="000000"/>
        </w:rPr>
      </w:pPr>
      <w:r w:rsidRPr="00D634CF">
        <w:rPr>
          <w:b/>
          <w:snapToGrid w:val="0"/>
          <w:color w:val="000000"/>
        </w:rPr>
        <w:lastRenderedPageBreak/>
        <w:t>Affirmation of Accuracy</w:t>
      </w:r>
    </w:p>
    <w:p w14:paraId="3CC68229" w14:textId="77777777" w:rsidR="00C075C3" w:rsidRPr="00362B11" w:rsidRDefault="00C075C3" w:rsidP="00C075C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Managing Serious Errors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67C31B1" w14:textId="77777777" w:rsidR="00C075C3" w:rsidRPr="00362B11" w:rsidRDefault="00C075C3" w:rsidP="00C075C3">
      <w:pPr>
        <w:rPr>
          <w:rFonts w:cs="Arial"/>
          <w:color w:val="000000"/>
        </w:rPr>
      </w:pPr>
    </w:p>
    <w:p w14:paraId="058B2221" w14:textId="77777777" w:rsidR="00C075C3" w:rsidRDefault="00C075C3" w:rsidP="00C075C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45A902C3" w14:textId="77777777" w:rsidR="008910AA" w:rsidRDefault="008910AA">
      <w:pPr>
        <w:rPr>
          <w:snapToGrid w:val="0"/>
          <w:color w:val="000000"/>
        </w:rPr>
      </w:pPr>
    </w:p>
    <w:p w14:paraId="7FDBC435" w14:textId="77777777" w:rsidR="008910AA" w:rsidRDefault="008910AA">
      <w:pPr>
        <w:rPr>
          <w:snapToGrid w:val="0"/>
          <w:color w:val="000000"/>
        </w:rPr>
      </w:pPr>
    </w:p>
    <w:p w14:paraId="2D032F80" w14:textId="77777777" w:rsidR="008910AA" w:rsidRDefault="008910AA">
      <w:pPr>
        <w:rPr>
          <w:snapToGrid w:val="0"/>
          <w:color w:val="000000"/>
        </w:rPr>
      </w:pPr>
      <w:r>
        <w:rPr>
          <w:snapToGrid w:val="0"/>
          <w:color w:val="000000"/>
        </w:rPr>
        <w:t>Affirmed by _____________________, the hospital’s ___________________________,</w:t>
      </w:r>
    </w:p>
    <w:p w14:paraId="6E41F9EB" w14:textId="77777777" w:rsidR="008910AA" w:rsidRDefault="008910AA">
      <w:pPr>
        <w:pStyle w:val="BodyText2"/>
      </w:pPr>
      <w:r>
        <w:tab/>
      </w:r>
      <w:r>
        <w:tab/>
        <w:t xml:space="preserve">   (name)</w:t>
      </w:r>
      <w:r>
        <w:tab/>
      </w:r>
      <w:r>
        <w:tab/>
      </w:r>
      <w:r>
        <w:tab/>
      </w:r>
      <w:r>
        <w:tab/>
      </w:r>
      <w:r>
        <w:tab/>
      </w:r>
      <w:r>
        <w:tab/>
        <w:t>(title)</w:t>
      </w:r>
    </w:p>
    <w:p w14:paraId="741DA3F4" w14:textId="77777777" w:rsidR="008910AA" w:rsidRDefault="008910AA">
      <w:pPr>
        <w:rPr>
          <w:snapToGrid w:val="0"/>
          <w:color w:val="000000"/>
        </w:rPr>
      </w:pPr>
      <w:r>
        <w:rPr>
          <w:snapToGrid w:val="0"/>
          <w:color w:val="000000"/>
        </w:rPr>
        <w:t>on _______________________.</w:t>
      </w:r>
    </w:p>
    <w:p w14:paraId="3027C3F3" w14:textId="77777777" w:rsidR="008910AA" w:rsidRDefault="008910AA">
      <w:pPr>
        <w:pStyle w:val="BodyText2"/>
      </w:pPr>
      <w:r>
        <w:t xml:space="preserve">                    (date)</w:t>
      </w:r>
    </w:p>
    <w:p w14:paraId="009501F2" w14:textId="77777777" w:rsidR="008910AA" w:rsidRDefault="008910AA"/>
    <w:p w14:paraId="6F784B05" w14:textId="77777777" w:rsidR="00884856" w:rsidRDefault="00884856"/>
    <w:p w14:paraId="74E3022A" w14:textId="77777777" w:rsidR="007F7C05" w:rsidRDefault="007F7C05">
      <w:r>
        <w:br w:type="page"/>
      </w:r>
    </w:p>
    <w:p w14:paraId="43D6FAAC" w14:textId="77777777" w:rsidR="005A41AD" w:rsidRDefault="005A41AD"/>
    <w:p w14:paraId="295B643D" w14:textId="77777777" w:rsidR="005A41AD" w:rsidRPr="00BC2D78" w:rsidRDefault="005A41AD" w:rsidP="002C3E94">
      <w:pPr>
        <w:pStyle w:val="Title"/>
        <w:rPr>
          <w:lang w:eastAsia="ja-JP"/>
        </w:rPr>
      </w:pPr>
      <w:bookmarkStart w:id="295" w:name="_Toc383775064"/>
      <w:bookmarkStart w:id="296" w:name="_Toc447195070"/>
      <w:r w:rsidRPr="00BC2D78">
        <w:t xml:space="preserve">Section 7:  </w:t>
      </w:r>
      <w:r w:rsidR="004F68CC">
        <w:t>2016</w:t>
      </w:r>
      <w:r>
        <w:t xml:space="preserve"> </w:t>
      </w:r>
      <w:r w:rsidRPr="00BC2D78">
        <w:t>Managing Serious Errors</w:t>
      </w:r>
      <w:bookmarkEnd w:id="295"/>
      <w:r w:rsidR="007F7C05">
        <w:t xml:space="preserve"> Reference Information</w:t>
      </w:r>
      <w:bookmarkEnd w:id="296"/>
    </w:p>
    <w:p w14:paraId="32214423" w14:textId="77777777" w:rsidR="005A41AD" w:rsidRPr="00BC2D78" w:rsidRDefault="005A41AD" w:rsidP="005A41AD">
      <w:pPr>
        <w:rPr>
          <w:bCs/>
          <w:sz w:val="32"/>
          <w:lang w:eastAsia="ja-JP"/>
        </w:rPr>
      </w:pPr>
    </w:p>
    <w:p w14:paraId="413FD399" w14:textId="77777777" w:rsidR="005A41AD" w:rsidRPr="00BC2D78" w:rsidRDefault="005A41AD" w:rsidP="007A44CB">
      <w:pPr>
        <w:pStyle w:val="Heading3"/>
      </w:pPr>
      <w:bookmarkStart w:id="297" w:name="_Toc236218074"/>
      <w:bookmarkStart w:id="298" w:name="_Toc383775065"/>
      <w:bookmarkStart w:id="299" w:name="_Toc447195071"/>
      <w:r w:rsidRPr="00BC2D78">
        <w:rPr>
          <w:rFonts w:hint="eastAsia"/>
        </w:rPr>
        <w:t>What</w:t>
      </w:r>
      <w:r w:rsidRPr="00BC2D78">
        <w:t>’</w:t>
      </w:r>
      <w:r w:rsidRPr="00BC2D78">
        <w:rPr>
          <w:rFonts w:hint="eastAsia"/>
        </w:rPr>
        <w:t>s New</w:t>
      </w:r>
      <w:bookmarkEnd w:id="297"/>
      <w:r w:rsidRPr="00BC2D78">
        <w:rPr>
          <w:rFonts w:hint="eastAsia"/>
        </w:rPr>
        <w:t xml:space="preserve"> in the </w:t>
      </w:r>
      <w:bookmarkEnd w:id="298"/>
      <w:r w:rsidR="004F68CC">
        <w:t>2016 Survey</w:t>
      </w:r>
      <w:bookmarkEnd w:id="299"/>
    </w:p>
    <w:p w14:paraId="48A5691A" w14:textId="77777777" w:rsidR="005A41AD" w:rsidRPr="00BC2D78" w:rsidRDefault="005A41AD" w:rsidP="005A41AD">
      <w:pPr>
        <w:rPr>
          <w:lang w:eastAsia="ja-JP"/>
        </w:rPr>
      </w:pPr>
    </w:p>
    <w:p w14:paraId="0CBDE018" w14:textId="77777777" w:rsidR="001E5ACE" w:rsidRDefault="001E5ACE" w:rsidP="001E5ACE">
      <w:pPr>
        <w:shd w:val="clear" w:color="auto" w:fill="FFFFFF"/>
        <w:contextualSpacing/>
        <w:rPr>
          <w:rFonts w:cs="Arial"/>
          <w:bCs/>
          <w:color w:val="000000"/>
          <w:bdr w:val="none" w:sz="0" w:space="0" w:color="auto" w:frame="1"/>
        </w:rPr>
      </w:pPr>
      <w:r>
        <w:rPr>
          <w:rFonts w:cs="Arial"/>
          <w:bCs/>
          <w:color w:val="000000"/>
          <w:bdr w:val="none" w:sz="0" w:space="0" w:color="auto" w:frame="1"/>
        </w:rPr>
        <w:t>In response to requests from hospitals, Leapfrog include</w:t>
      </w:r>
      <w:r w:rsidR="00BC5075">
        <w:rPr>
          <w:rFonts w:cs="Arial"/>
          <w:bCs/>
          <w:color w:val="000000"/>
          <w:bdr w:val="none" w:sz="0" w:space="0" w:color="auto" w:frame="1"/>
        </w:rPr>
        <w:t>d</w:t>
      </w:r>
      <w:r>
        <w:rPr>
          <w:rFonts w:cs="Arial"/>
          <w:bCs/>
          <w:color w:val="000000"/>
          <w:bdr w:val="none" w:sz="0" w:space="0" w:color="auto" w:frame="1"/>
        </w:rPr>
        <w:t xml:space="preserve"> three additional hospital-acquired infection measures on the survey: MRSA, CDI, and SSI after Major Colon Surgery. These measures come directly from the NHSN and are in use in one or more CMS inpatient</w:t>
      </w:r>
      <w:r w:rsidR="00BC5075">
        <w:rPr>
          <w:rFonts w:cs="Arial"/>
          <w:bCs/>
          <w:color w:val="000000"/>
          <w:bdr w:val="none" w:sz="0" w:space="0" w:color="auto" w:frame="1"/>
        </w:rPr>
        <w:t xml:space="preserve"> reporting</w:t>
      </w:r>
      <w:r>
        <w:rPr>
          <w:rFonts w:cs="Arial"/>
          <w:bCs/>
          <w:color w:val="000000"/>
          <w:bdr w:val="none" w:sz="0" w:space="0" w:color="auto" w:frame="1"/>
        </w:rPr>
        <w:t xml:space="preserve"> programs. Unlike the central</w:t>
      </w:r>
      <w:r w:rsidR="00BC5075">
        <w:rPr>
          <w:rFonts w:cs="Arial"/>
          <w:bCs/>
          <w:color w:val="000000"/>
          <w:bdr w:val="none" w:sz="0" w:space="0" w:color="auto" w:frame="1"/>
        </w:rPr>
        <w:t xml:space="preserve"> </w:t>
      </w:r>
      <w:r>
        <w:rPr>
          <w:rFonts w:cs="Arial"/>
          <w:bCs/>
          <w:color w:val="000000"/>
          <w:bdr w:val="none" w:sz="0" w:space="0" w:color="auto" w:frame="1"/>
        </w:rPr>
        <w:t>line</w:t>
      </w:r>
      <w:r w:rsidR="00BC5075">
        <w:rPr>
          <w:rFonts w:cs="Arial"/>
          <w:bCs/>
          <w:color w:val="000000"/>
          <w:bdr w:val="none" w:sz="0" w:space="0" w:color="auto" w:frame="1"/>
        </w:rPr>
        <w:t>-</w:t>
      </w:r>
      <w:r>
        <w:rPr>
          <w:rFonts w:cs="Arial"/>
          <w:bCs/>
          <w:color w:val="000000"/>
          <w:bdr w:val="none" w:sz="0" w:space="0" w:color="auto" w:frame="1"/>
        </w:rPr>
        <w:t xml:space="preserve"> associated bloodstream infection and catheter-associated urinary tract infection measures, these measures do not require hospitals to report by specific unit or ward, as they are hospital-wide inpatient or surgery specific measures. Therefore, Leapfrog will not ask hospitals to report a numerator and denominator. Instead, hospitals will report the standardized infection ratio (SIR) as calculated by NHSN for a specified 12-month reporting period. </w:t>
      </w:r>
    </w:p>
    <w:p w14:paraId="6B4A9D6E" w14:textId="77777777" w:rsidR="005A41AD" w:rsidRDefault="005A41AD" w:rsidP="005A41AD">
      <w:pPr>
        <w:rPr>
          <w:lang w:eastAsia="ja-JP"/>
        </w:rPr>
      </w:pPr>
    </w:p>
    <w:p w14:paraId="28868551" w14:textId="77777777" w:rsidR="001E5ACE" w:rsidRDefault="001E5ACE" w:rsidP="001E5ACE">
      <w:pPr>
        <w:shd w:val="clear" w:color="auto" w:fill="FFFFFF"/>
        <w:contextualSpacing/>
        <w:rPr>
          <w:rFonts w:cs="Arial"/>
          <w:bCs/>
          <w:color w:val="000000"/>
          <w:bdr w:val="none" w:sz="0" w:space="0" w:color="auto" w:frame="1"/>
        </w:rPr>
      </w:pPr>
      <w:r w:rsidRPr="00785A1B">
        <w:t>In order to support national efforts around the responsible use of antibiotics in hospitals, Leapfrog will be publicly reporting hospital compliance with the CDC's standards</w:t>
      </w:r>
      <w:r>
        <w:t xml:space="preserve"> for Antibiotic Stewardship Programs.</w:t>
      </w:r>
      <w:r w:rsidRPr="00785A1B">
        <w:rPr>
          <w:rFonts w:cs="Arial"/>
          <w:bCs/>
          <w:color w:val="000000"/>
          <w:bdr w:val="none" w:sz="0" w:space="0" w:color="auto" w:frame="1"/>
        </w:rPr>
        <w:t xml:space="preserve"> </w:t>
      </w:r>
      <w:r>
        <w:rPr>
          <w:rFonts w:cs="Arial"/>
          <w:bCs/>
          <w:color w:val="000000"/>
          <w:bdr w:val="none" w:sz="0" w:space="0" w:color="auto" w:frame="1"/>
        </w:rPr>
        <w:t>The CDC has published seven Core Elements of Antibiotic Stewardship Programs:</w:t>
      </w:r>
    </w:p>
    <w:p w14:paraId="4BB52DBF"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 xml:space="preserve">Leadership </w:t>
      </w:r>
      <w:r w:rsidR="00BC5075">
        <w:rPr>
          <w:rFonts w:cs="Arial"/>
          <w:bCs/>
          <w:color w:val="000000"/>
          <w:bdr w:val="none" w:sz="0" w:space="0" w:color="auto" w:frame="1"/>
        </w:rPr>
        <w:t>C</w:t>
      </w:r>
      <w:r>
        <w:rPr>
          <w:rFonts w:cs="Arial"/>
          <w:bCs/>
          <w:color w:val="000000"/>
          <w:bdr w:val="none" w:sz="0" w:space="0" w:color="auto" w:frame="1"/>
        </w:rPr>
        <w:t>ommitment</w:t>
      </w:r>
    </w:p>
    <w:p w14:paraId="00A8D082"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Accountability</w:t>
      </w:r>
    </w:p>
    <w:p w14:paraId="6753AFB7"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Drug Expertise</w:t>
      </w:r>
    </w:p>
    <w:p w14:paraId="1088EAEF"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Action</w:t>
      </w:r>
    </w:p>
    <w:p w14:paraId="6FA97D88"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Tracking</w:t>
      </w:r>
    </w:p>
    <w:p w14:paraId="5441B8C6"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Reporting</w:t>
      </w:r>
    </w:p>
    <w:p w14:paraId="785A7332" w14:textId="77777777" w:rsidR="001E5ACE" w:rsidRPr="00DC7808"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Education</w:t>
      </w:r>
    </w:p>
    <w:p w14:paraId="41023B40" w14:textId="77777777" w:rsidR="007F7C05" w:rsidRDefault="001E5ACE" w:rsidP="001E5ACE">
      <w:pPr>
        <w:rPr>
          <w:rFonts w:cs="Arial"/>
          <w:bCs/>
          <w:color w:val="000000"/>
          <w:bdr w:val="none" w:sz="0" w:space="0" w:color="auto" w:frame="1"/>
        </w:rPr>
      </w:pPr>
      <w:r>
        <w:rPr>
          <w:rFonts w:cs="Arial"/>
          <w:bCs/>
          <w:color w:val="000000"/>
          <w:bdr w:val="none" w:sz="0" w:space="0" w:color="auto" w:frame="1"/>
        </w:rPr>
        <w:t>To collect this information regarding hospital adoption of these seven Core Elements, Leapfrog will use a set of 12 questions from the NHSN Annual Hospital Survey on antibiotic stewardship programs (questions #23-34 from the NHSN Annual Hospital Survey).</w:t>
      </w:r>
      <w:bookmarkStart w:id="300" w:name="_Toc236218075"/>
      <w:bookmarkStart w:id="301" w:name="_Toc383775066"/>
    </w:p>
    <w:p w14:paraId="0DA7EA48" w14:textId="77777777" w:rsidR="001E5ACE" w:rsidRDefault="001E5ACE" w:rsidP="001E5ACE">
      <w:pPr>
        <w:rPr>
          <w:lang w:eastAsia="ja-JP"/>
        </w:rPr>
      </w:pPr>
    </w:p>
    <w:p w14:paraId="7DD3926F" w14:textId="77777777" w:rsidR="007F7C05" w:rsidRDefault="007F7C05" w:rsidP="00FE54C0">
      <w:pPr>
        <w:pStyle w:val="Heading1"/>
      </w:pPr>
    </w:p>
    <w:p w14:paraId="38A5BB10" w14:textId="77777777" w:rsidR="005A41AD" w:rsidRPr="00BC2D78" w:rsidRDefault="005A41AD" w:rsidP="007A44CB">
      <w:pPr>
        <w:pStyle w:val="Heading3"/>
      </w:pPr>
      <w:bookmarkStart w:id="302" w:name="_Toc447195072"/>
      <w:r w:rsidRPr="00BC2D78">
        <w:rPr>
          <w:rFonts w:hint="eastAsia"/>
        </w:rPr>
        <w:t>Change Summary</w:t>
      </w:r>
      <w:bookmarkEnd w:id="300"/>
      <w:r w:rsidRPr="00BC2D78">
        <w:rPr>
          <w:rFonts w:hint="eastAsia"/>
        </w:rPr>
        <w:t xml:space="preserve"> since Release</w:t>
      </w:r>
      <w:bookmarkEnd w:id="301"/>
      <w:bookmarkEnd w:id="302"/>
    </w:p>
    <w:p w14:paraId="49062FB3" w14:textId="77777777" w:rsidR="005A41AD" w:rsidRPr="00BC2D78" w:rsidRDefault="005A41AD" w:rsidP="005A41AD">
      <w:pPr>
        <w:rPr>
          <w:lang w:eastAsia="ja-JP"/>
        </w:rPr>
      </w:pPr>
    </w:p>
    <w:p w14:paraId="0D60CC88" w14:textId="77777777" w:rsidR="005A41AD" w:rsidRDefault="005A41AD" w:rsidP="005A41AD">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874B7A5" w14:textId="77777777" w:rsidR="00000750" w:rsidRDefault="00000750" w:rsidP="005A41AD">
      <w:pPr>
        <w:pStyle w:val="BodyText3"/>
        <w:rPr>
          <w:lang w:eastAsia="ja-JP"/>
        </w:rPr>
      </w:pPr>
    </w:p>
    <w:p w14:paraId="0A1C0B55" w14:textId="77777777" w:rsidR="00260FFA" w:rsidRPr="00260FFA" w:rsidRDefault="00260FFA" w:rsidP="005A41AD">
      <w:pPr>
        <w:pStyle w:val="BodyText3"/>
        <w:rPr>
          <w:b/>
          <w:highlight w:val="yellow"/>
          <w:lang w:eastAsia="ja-JP"/>
        </w:rPr>
      </w:pPr>
      <w:r w:rsidRPr="00260FFA">
        <w:rPr>
          <w:b/>
          <w:highlight w:val="yellow"/>
          <w:lang w:eastAsia="ja-JP"/>
        </w:rPr>
        <w:t>Issued May 31, 2016:</w:t>
      </w:r>
    </w:p>
    <w:p w14:paraId="118959D7" w14:textId="77777777" w:rsidR="00260FFA" w:rsidRPr="00260FFA" w:rsidRDefault="00260FFA" w:rsidP="005A41AD">
      <w:pPr>
        <w:pStyle w:val="BodyText3"/>
        <w:rPr>
          <w:highlight w:val="yellow"/>
          <w:lang w:eastAsia="ja-JP"/>
        </w:rPr>
      </w:pPr>
    </w:p>
    <w:p w14:paraId="20B5F7C8" w14:textId="77954EE5" w:rsidR="00000750" w:rsidRDefault="00573876" w:rsidP="005A41AD">
      <w:pPr>
        <w:pStyle w:val="BodyText3"/>
        <w:rPr>
          <w:lang w:eastAsia="ja-JP"/>
        </w:rPr>
      </w:pPr>
      <w:r w:rsidRPr="00260FFA">
        <w:rPr>
          <w:highlight w:val="yellow"/>
          <w:lang w:eastAsia="ja-JP"/>
        </w:rPr>
        <w:t>1. Pediatric hospitals that respond “no,”</w:t>
      </w:r>
      <w:r w:rsidR="00260FFA" w:rsidRPr="00260FFA">
        <w:rPr>
          <w:highlight w:val="yellow"/>
          <w:lang w:eastAsia="ja-JP"/>
        </w:rPr>
        <w:t xml:space="preserve"> to questions #2 and #4 in Section 7C Other Healthcare-Associated Infections will be scored as “Does Not Apply.”</w:t>
      </w:r>
      <w:r w:rsidR="00260FFA">
        <w:rPr>
          <w:lang w:eastAsia="ja-JP"/>
        </w:rPr>
        <w:t xml:space="preserve"> </w:t>
      </w:r>
    </w:p>
    <w:p w14:paraId="55934377" w14:textId="77777777" w:rsidR="005A41AD" w:rsidRDefault="005A41AD" w:rsidP="005A41AD">
      <w:pPr>
        <w:pStyle w:val="EndnoteText"/>
        <w:rPr>
          <w:i/>
        </w:rPr>
      </w:pPr>
    </w:p>
    <w:p w14:paraId="0D8FFFB4" w14:textId="77777777" w:rsidR="005A41AD" w:rsidRDefault="005A41AD" w:rsidP="005A41AD">
      <w:pPr>
        <w:pStyle w:val="EndnoteText"/>
        <w:rPr>
          <w:i/>
        </w:rPr>
      </w:pPr>
    </w:p>
    <w:p w14:paraId="68515D34" w14:textId="77777777" w:rsidR="005A41AD" w:rsidRPr="009043DC" w:rsidRDefault="005A41AD" w:rsidP="00954B73">
      <w:pPr>
        <w:pStyle w:val="Heading2"/>
      </w:pPr>
      <w:r>
        <w:rPr>
          <w:sz w:val="24"/>
          <w:szCs w:val="24"/>
        </w:rPr>
        <w:br w:type="page"/>
      </w:r>
      <w:bookmarkStart w:id="303" w:name="_Toc236218078"/>
      <w:bookmarkStart w:id="304" w:name="_Toc383775068"/>
      <w:bookmarkStart w:id="305" w:name="_Toc447195073"/>
      <w:r w:rsidRPr="009043DC">
        <w:rPr>
          <w:rFonts w:hint="eastAsia"/>
        </w:rPr>
        <w:lastRenderedPageBreak/>
        <w:t xml:space="preserve">Never Events </w:t>
      </w:r>
      <w:bookmarkEnd w:id="303"/>
      <w:r w:rsidRPr="009043DC">
        <w:rPr>
          <w:rFonts w:hint="eastAsia"/>
        </w:rPr>
        <w:t>Frequently Asked Questions (FAQs)</w:t>
      </w:r>
      <w:bookmarkEnd w:id="304"/>
      <w:bookmarkEnd w:id="305"/>
    </w:p>
    <w:p w14:paraId="1471724E" w14:textId="77777777" w:rsidR="005A41AD" w:rsidRPr="00BC2D78" w:rsidRDefault="005A41AD" w:rsidP="005A41AD">
      <w:pPr>
        <w:rPr>
          <w:lang w:eastAsia="ja-JP"/>
        </w:rPr>
      </w:pPr>
    </w:p>
    <w:p w14:paraId="5F3AC8B7" w14:textId="77777777" w:rsidR="005A41AD" w:rsidRPr="00BC2D78" w:rsidRDefault="005A41AD" w:rsidP="00ED58C1">
      <w:pPr>
        <w:numPr>
          <w:ilvl w:val="0"/>
          <w:numId w:val="43"/>
        </w:numPr>
        <w:rPr>
          <w:b/>
        </w:rPr>
      </w:pPr>
      <w:r w:rsidRPr="00BC2D78">
        <w:rPr>
          <w:rFonts w:cs="Arial"/>
          <w:b/>
          <w:bCs/>
          <w:color w:val="000000"/>
        </w:rPr>
        <w:t xml:space="preserve">What are never events? </w:t>
      </w:r>
    </w:p>
    <w:p w14:paraId="6D32FF07" w14:textId="77777777" w:rsidR="005A41AD" w:rsidRDefault="005A41AD" w:rsidP="005A41AD">
      <w:pPr>
        <w:pStyle w:val="EndnoteText"/>
        <w:ind w:left="720"/>
      </w:pPr>
      <w:r w:rsidRPr="00BC2D78">
        <w:rPr>
          <w:rFonts w:cs="Arial"/>
          <w:color w:val="000000"/>
        </w:rPr>
        <w:t>The National Quality Forum, a nonprofit national coalition of physicians, hospitals, businesses and policy-makers, has identified 2</w:t>
      </w:r>
      <w:r>
        <w:rPr>
          <w:rFonts w:cs="Arial"/>
          <w:color w:val="000000"/>
        </w:rPr>
        <w:t>9</w:t>
      </w:r>
      <w:r w:rsidRPr="00BC2D78">
        <w:rPr>
          <w:rFonts w:cs="Arial"/>
          <w:color w:val="000000"/>
        </w:rPr>
        <w:t xml:space="preserve"> events as occurrences that should never happen in a hospital and can be prevented. They termed them “serious reportable events”, or never events. They include surgical events</w:t>
      </w:r>
      <w:r w:rsidR="0010345B">
        <w:rPr>
          <w:rFonts w:cs="Arial"/>
          <w:color w:val="000000"/>
        </w:rPr>
        <w:t>,</w:t>
      </w:r>
      <w:r w:rsidRPr="00BC2D78">
        <w:rPr>
          <w:rFonts w:cs="Arial"/>
          <w:color w:val="000000"/>
        </w:rPr>
        <w:t xml:space="preserve"> such as performing the wrong surgical procedure, product or device events</w:t>
      </w:r>
      <w:r w:rsidR="0010345B">
        <w:rPr>
          <w:rFonts w:cs="Arial"/>
          <w:color w:val="000000"/>
        </w:rPr>
        <w:t>,</w:t>
      </w:r>
      <w:r w:rsidRPr="00BC2D78">
        <w:rPr>
          <w:rFonts w:cs="Arial"/>
          <w:color w:val="000000"/>
        </w:rPr>
        <w:t xml:space="preserve"> such as contaminated drugs or devices</w:t>
      </w:r>
      <w:r w:rsidR="0010345B">
        <w:rPr>
          <w:rFonts w:cs="Arial"/>
          <w:color w:val="000000"/>
        </w:rPr>
        <w:t>,</w:t>
      </w:r>
      <w:r w:rsidRPr="00BC2D78">
        <w:rPr>
          <w:rFonts w:cs="Arial"/>
          <w:color w:val="000000"/>
        </w:rPr>
        <w:t xml:space="preserve"> and criminal events</w:t>
      </w:r>
      <w:r w:rsidR="0010345B">
        <w:rPr>
          <w:rFonts w:cs="Arial"/>
          <w:color w:val="000000"/>
        </w:rPr>
        <w:t>,</w:t>
      </w:r>
      <w:r w:rsidRPr="00BC2D78">
        <w:rPr>
          <w:rFonts w:cs="Arial"/>
          <w:color w:val="000000"/>
        </w:rPr>
        <w:t xml:space="preserve"> such as abduction of a patient. </w:t>
      </w:r>
      <w:r>
        <w:rPr>
          <w:rStyle w:val="Hyperlink"/>
        </w:rPr>
        <w:br/>
      </w:r>
      <w:r>
        <w:rPr>
          <w:rStyle w:val="Hyperlink"/>
        </w:rPr>
        <w:br/>
      </w:r>
      <w:r w:rsidRPr="00425C78">
        <w:t>To earn credit for this question, hospitals must have a policy in place that addresses the National Quality Forum’s list of Serious Report</w:t>
      </w:r>
      <w:r w:rsidR="0010345B">
        <w:t>able</w:t>
      </w:r>
      <w:r w:rsidRPr="00425C78">
        <w:t xml:space="preserve"> Events. All references to “never event” or “serious reportable event” are specific to the National Quality Forum list available at </w:t>
      </w:r>
      <w:hyperlink r:id="rId168" w:history="1">
        <w:r w:rsidRPr="00425C78">
          <w:rPr>
            <w:rStyle w:val="Hyperlink"/>
          </w:rPr>
          <w:t>http://www.qualityforum.org/WorkArea/linkit.aspx?LinkIdentifier=id&amp;ItemID=69573</w:t>
        </w:r>
      </w:hyperlink>
      <w:r w:rsidRPr="00425C78">
        <w:rPr>
          <w:rStyle w:val="Hyperlink"/>
        </w:rPr>
        <w:t xml:space="preserve">. </w:t>
      </w:r>
      <w:r w:rsidRPr="00425C78">
        <w:t>Hospitals may not earn credit for this question if they have only implemented a policy that includes the Center</w:t>
      </w:r>
      <w:r w:rsidR="0010345B">
        <w:t>s</w:t>
      </w:r>
      <w:r w:rsidRPr="00425C78">
        <w:t xml:space="preserve"> for Medicare and Medicaid </w:t>
      </w:r>
      <w:r w:rsidR="0010345B">
        <w:t xml:space="preserve">Services </w:t>
      </w:r>
      <w:r w:rsidRPr="00425C78">
        <w:t>(CMS) Never Events.</w:t>
      </w:r>
    </w:p>
    <w:p w14:paraId="586E949F" w14:textId="77777777" w:rsidR="005A41AD" w:rsidRPr="00BC2D78" w:rsidRDefault="005A41AD" w:rsidP="005A41AD">
      <w:pPr>
        <w:rPr>
          <w:rFonts w:cs="Arial"/>
          <w:color w:val="000000"/>
        </w:rPr>
      </w:pPr>
    </w:p>
    <w:p w14:paraId="254872F4" w14:textId="77777777" w:rsidR="005A41AD" w:rsidRPr="00BC2D78" w:rsidRDefault="005A41AD" w:rsidP="00ED58C1">
      <w:pPr>
        <w:numPr>
          <w:ilvl w:val="0"/>
          <w:numId w:val="43"/>
        </w:numPr>
        <w:rPr>
          <w:rFonts w:cs="Arial"/>
          <w:color w:val="000000"/>
        </w:rPr>
      </w:pPr>
      <w:r w:rsidRPr="00BC2D78">
        <w:rPr>
          <w:rFonts w:cs="Arial"/>
          <w:b/>
          <w:bCs/>
          <w:color w:val="000000"/>
        </w:rPr>
        <w:t>When reporting Never Events, what “state reporting program for medical errors” applies in my state?</w:t>
      </w:r>
      <w:r w:rsidRPr="00BC2D78">
        <w:rPr>
          <w:rFonts w:cs="Arial"/>
          <w:b/>
          <w:bCs/>
          <w:color w:val="000000"/>
        </w:rPr>
        <w:br/>
      </w:r>
      <w:r w:rsidRPr="00BC2D78">
        <w:rPr>
          <w:rFonts w:cs="Arial"/>
          <w:bCs/>
          <w:color w:val="000000"/>
        </w:rPr>
        <w:t xml:space="preserve">Congress has passed legislation requiring all states to develop a reporting program for medical errors. </w:t>
      </w:r>
      <w:r w:rsidRPr="00BC2D78">
        <w:rPr>
          <w:rFonts w:cs="Arial"/>
          <w:color w:val="000000"/>
        </w:rPr>
        <w:t>At this time, many states have already enacted or adopted some requirement that hospitals report serious medical errors or similar adver</w:t>
      </w:r>
      <w:r w:rsidR="00393698">
        <w:rPr>
          <w:rFonts w:cs="Arial"/>
          <w:color w:val="000000"/>
        </w:rPr>
        <w:t>se events to a state agency</w:t>
      </w:r>
      <w:r w:rsidRPr="00BC2D78">
        <w:rPr>
          <w:rFonts w:cs="Arial"/>
          <w:color w:val="000000"/>
        </w:rPr>
        <w:t xml:space="preserve">. Others are still implementing legislation or regulations that define that requirement. States that have developed programs may also define reportable events differently. </w:t>
      </w:r>
    </w:p>
    <w:p w14:paraId="676EB04A" w14:textId="77777777" w:rsidR="005A41AD" w:rsidRPr="00BC2D78" w:rsidRDefault="005A41AD" w:rsidP="005A41AD">
      <w:pPr>
        <w:ind w:left="720"/>
        <w:rPr>
          <w:rFonts w:cs="Arial"/>
          <w:color w:val="000000"/>
        </w:rPr>
      </w:pPr>
    </w:p>
    <w:p w14:paraId="1C6DE2D3" w14:textId="77777777" w:rsidR="005A41AD" w:rsidRPr="00BC2D78" w:rsidRDefault="005A41AD" w:rsidP="00ED58C1">
      <w:pPr>
        <w:numPr>
          <w:ilvl w:val="0"/>
          <w:numId w:val="43"/>
        </w:numPr>
        <w:rPr>
          <w:rFonts w:cs="Arial"/>
          <w:color w:val="000000"/>
        </w:rPr>
      </w:pPr>
      <w:r w:rsidRPr="00BC2D78">
        <w:rPr>
          <w:rFonts w:cs="Arial"/>
          <w:b/>
          <w:bCs/>
          <w:color w:val="000000"/>
        </w:rPr>
        <w:t>What if there is no “state reporting program for medical errors” in my state? Do we still have to report Never Events to meet Leapfrog principles for this policy? To whom?</w:t>
      </w:r>
      <w:r w:rsidRPr="00BC2D78">
        <w:rPr>
          <w:rFonts w:cs="Arial"/>
          <w:b/>
          <w:bCs/>
          <w:color w:val="000000"/>
        </w:rPr>
        <w:br/>
      </w:r>
      <w:r w:rsidRPr="00BC2D78">
        <w:rPr>
          <w:rFonts w:cs="Arial"/>
          <w:bCs/>
          <w:color w:val="000000"/>
        </w:rPr>
        <w:t xml:space="preserve">Hospitals in states that do not have a state reporting program or requirement in effect can meet the reporting requirement of Leapfrog’s principles for implementation of a Never Events policy by reporting all Never Events voluntarily to either </w:t>
      </w:r>
      <w:r>
        <w:rPr>
          <w:rFonts w:cs="Arial"/>
          <w:bCs/>
          <w:color w:val="000000"/>
        </w:rPr>
        <w:t>T</w:t>
      </w:r>
      <w:r w:rsidRPr="00BC2D78">
        <w:rPr>
          <w:rFonts w:cs="Arial"/>
          <w:bCs/>
          <w:color w:val="000000"/>
        </w:rPr>
        <w:t xml:space="preserve">he Joint Commission or a Patient Safety Organization. </w:t>
      </w:r>
      <w:r w:rsidRPr="00BC2D78">
        <w:rPr>
          <w:rFonts w:cs="Arial"/>
          <w:bCs/>
          <w:color w:val="000000"/>
        </w:rPr>
        <w:br/>
      </w:r>
      <w:r w:rsidRPr="00BC2D78">
        <w:rPr>
          <w:rFonts w:cs="Arial"/>
          <w:bCs/>
          <w:color w:val="000000"/>
        </w:rPr>
        <w:br/>
        <w:t xml:space="preserve">If there is no state-required reporting program in effect, no available Patient Safety Organization to which your hospital can report, </w:t>
      </w:r>
      <w:r w:rsidRPr="00BC2D78">
        <w:rPr>
          <w:rFonts w:cs="Arial"/>
          <w:bCs/>
          <w:color w:val="000000"/>
          <w:u w:val="single"/>
        </w:rPr>
        <w:t>and</w:t>
      </w:r>
      <w:r w:rsidRPr="00BC2D78">
        <w:rPr>
          <w:rFonts w:cs="Arial"/>
          <w:bCs/>
          <w:color w:val="000000"/>
        </w:rPr>
        <w:t xml:space="preserve"> your hospital is not Joint Commission accredited, the Leapfrog requirement for reporting to an external agency is amended. Hospitals must report the Never-Event to their governance board. And, hospitals must still perform a root-cause analysis internally of each Never Event to meet Leapfrog’s principle for full implementation of its Never Events policy. </w:t>
      </w:r>
    </w:p>
    <w:p w14:paraId="3EA36742" w14:textId="77777777" w:rsidR="005A41AD" w:rsidRPr="00BC2D78" w:rsidRDefault="005A41AD" w:rsidP="005A41AD">
      <w:pPr>
        <w:rPr>
          <w:rFonts w:cs="Arial"/>
          <w:color w:val="000000"/>
        </w:rPr>
      </w:pPr>
    </w:p>
    <w:p w14:paraId="1DBD2812" w14:textId="77777777" w:rsidR="005A41AD" w:rsidRPr="00BC2D78" w:rsidRDefault="005A41AD" w:rsidP="00ED58C1">
      <w:pPr>
        <w:numPr>
          <w:ilvl w:val="0"/>
          <w:numId w:val="43"/>
        </w:numPr>
        <w:rPr>
          <w:rFonts w:cs="Arial"/>
          <w:color w:val="000000"/>
        </w:rPr>
      </w:pPr>
      <w:r w:rsidRPr="00BC2D78">
        <w:rPr>
          <w:rFonts w:cs="Arial"/>
          <w:b/>
          <w:bCs/>
          <w:color w:val="000000"/>
        </w:rPr>
        <w:t>The reportable adverse events defined by our state’s reporting program don’t include all 2</w:t>
      </w:r>
      <w:r>
        <w:rPr>
          <w:rFonts w:cs="Arial"/>
          <w:b/>
          <w:bCs/>
          <w:color w:val="000000"/>
        </w:rPr>
        <w:t>9</w:t>
      </w:r>
      <w:r w:rsidRPr="00BC2D78">
        <w:rPr>
          <w:rFonts w:cs="Arial"/>
          <w:b/>
          <w:bCs/>
          <w:color w:val="000000"/>
        </w:rPr>
        <w:t xml:space="preserve"> Never Events endorsed by the National Quality Forum (NQF) and adopted in the Leapfrog policy. Will reporting </w:t>
      </w:r>
      <w:r w:rsidRPr="00BC2D78">
        <w:rPr>
          <w:rFonts w:cs="Arial"/>
          <w:b/>
          <w:bCs/>
          <w:color w:val="000000"/>
          <w:u w:val="single"/>
        </w:rPr>
        <w:t>only</w:t>
      </w:r>
      <w:r w:rsidRPr="00BC2D78">
        <w:rPr>
          <w:rFonts w:cs="Arial"/>
          <w:b/>
          <w:bCs/>
          <w:color w:val="000000"/>
        </w:rPr>
        <w:t xml:space="preserve"> the state-required reportable events to the state agency suffice for meeting Leapfrog’s requirement for reporting Never Events to an external agency? Does our hospital have to report other Never Events, as defined by NQF/Leapfrog, to that state agency even though not required by our state’s reporting program?</w:t>
      </w:r>
      <w:r w:rsidRPr="00BC2D78">
        <w:rPr>
          <w:rFonts w:cs="Arial"/>
          <w:b/>
          <w:bCs/>
          <w:color w:val="000000"/>
        </w:rPr>
        <w:br/>
      </w:r>
      <w:r w:rsidRPr="00BC2D78">
        <w:rPr>
          <w:rFonts w:cs="Arial"/>
          <w:bCs/>
          <w:color w:val="000000"/>
        </w:rPr>
        <w:t>Hospitals</w:t>
      </w:r>
      <w:r w:rsidRPr="00BC2D78">
        <w:rPr>
          <w:rFonts w:cs="Arial"/>
          <w:b/>
          <w:bCs/>
          <w:color w:val="000000"/>
        </w:rPr>
        <w:t xml:space="preserve"> </w:t>
      </w:r>
      <w:r w:rsidRPr="00BC2D78">
        <w:rPr>
          <w:rFonts w:cs="Arial"/>
          <w:bCs/>
          <w:color w:val="000000"/>
        </w:rPr>
        <w:t xml:space="preserve">should report all </w:t>
      </w:r>
      <w:r w:rsidR="0089049E">
        <w:rPr>
          <w:rFonts w:cs="Arial"/>
          <w:bCs/>
          <w:color w:val="000000"/>
        </w:rPr>
        <w:t xml:space="preserve">of their </w:t>
      </w:r>
      <w:r w:rsidRPr="00BC2D78">
        <w:rPr>
          <w:rFonts w:cs="Arial"/>
          <w:bCs/>
          <w:color w:val="000000"/>
        </w:rPr>
        <w:t>state-required reportable events to the state agency. All other Never Events, as defined by NQF</w:t>
      </w:r>
      <w:r w:rsidR="0089049E">
        <w:rPr>
          <w:rFonts w:cs="Arial"/>
          <w:bCs/>
          <w:color w:val="000000"/>
        </w:rPr>
        <w:t>’s list of Serious Reportable Events</w:t>
      </w:r>
      <w:r w:rsidRPr="00BC2D78">
        <w:rPr>
          <w:rFonts w:cs="Arial"/>
          <w:bCs/>
          <w:color w:val="000000"/>
        </w:rPr>
        <w:t>, that cannot be r</w:t>
      </w:r>
      <w:r>
        <w:rPr>
          <w:rFonts w:cs="Arial"/>
          <w:bCs/>
          <w:color w:val="000000"/>
        </w:rPr>
        <w:t xml:space="preserve">eported to the state agency, </w:t>
      </w:r>
      <w:r w:rsidRPr="00BC2D78">
        <w:rPr>
          <w:rFonts w:cs="Arial"/>
          <w:bCs/>
          <w:color w:val="000000"/>
        </w:rPr>
        <w:t>should be reported to</w:t>
      </w:r>
      <w:r w:rsidR="0089049E">
        <w:rPr>
          <w:rFonts w:cs="Arial"/>
          <w:bCs/>
          <w:color w:val="000000"/>
        </w:rPr>
        <w:t xml:space="preserve"> another external agency (e.g., accreditor, Patient Safety Organization), if possible.  If reporting those events to another external agency is not possible, the final option is to report those events to</w:t>
      </w:r>
      <w:r w:rsidRPr="00BC2D78">
        <w:rPr>
          <w:rFonts w:cs="Arial"/>
          <w:bCs/>
          <w:color w:val="000000"/>
        </w:rPr>
        <w:t xml:space="preserve"> the hospital’s governance board.</w:t>
      </w:r>
    </w:p>
    <w:p w14:paraId="7CB6ECE3" w14:textId="77777777" w:rsidR="005A41AD" w:rsidRPr="00BC2D78" w:rsidRDefault="005A41AD" w:rsidP="005A41AD">
      <w:pPr>
        <w:rPr>
          <w:rFonts w:cs="Arial"/>
          <w:color w:val="000000"/>
        </w:rPr>
      </w:pPr>
    </w:p>
    <w:p w14:paraId="10AAC311" w14:textId="77777777" w:rsidR="005A41AD" w:rsidRPr="00BC2D78" w:rsidRDefault="005A41AD" w:rsidP="00ED58C1">
      <w:pPr>
        <w:numPr>
          <w:ilvl w:val="0"/>
          <w:numId w:val="43"/>
        </w:numPr>
        <w:rPr>
          <w:rFonts w:cs="Arial"/>
          <w:b/>
          <w:bCs/>
          <w:color w:val="000000"/>
        </w:rPr>
      </w:pPr>
      <w:r w:rsidRPr="00BC2D78">
        <w:rPr>
          <w:rFonts w:cs="Arial"/>
          <w:b/>
          <w:color w:val="000000"/>
        </w:rPr>
        <w:t>Won’t Leapfrog’s request to have hospitals apologize to the patient put the hospital at risk for liability?</w:t>
      </w:r>
      <w:r w:rsidRPr="00BC2D78">
        <w:rPr>
          <w:rFonts w:cs="Arial"/>
          <w:b/>
          <w:color w:val="000000"/>
        </w:rPr>
        <w:br/>
      </w:r>
      <w:r w:rsidRPr="00BC2D78">
        <w:rPr>
          <w:rFonts w:cs="Arial"/>
          <w:color w:val="000000"/>
        </w:rPr>
        <w:t xml:space="preserve">Not necessarily. Research indicates that malpractice suits are often the result of a failure on the hospital’s part to communicate openly with the patient and apologize for its error. Patients feel the most anger when they perceive that no one is willing to take responsibility for the adverse event </w:t>
      </w:r>
      <w:r w:rsidRPr="00BC2D78">
        <w:rPr>
          <w:rFonts w:cs="Arial"/>
          <w:color w:val="000000"/>
        </w:rPr>
        <w:lastRenderedPageBreak/>
        <w:t>that has occurred. A sincere apology from the responsible hospital staff can help to heal the breach of trust between doctor/hospital and patient. (When Things Go Wrong: Responding to Adverse Events. Boston, 2006. Mass Coalition for the Prevention of Medical Errors)</w:t>
      </w:r>
    </w:p>
    <w:p w14:paraId="020A2DBC" w14:textId="77777777" w:rsidR="005A41AD" w:rsidRPr="00BC2D78" w:rsidRDefault="005A41AD" w:rsidP="005A41AD">
      <w:pPr>
        <w:rPr>
          <w:rFonts w:cs="Arial"/>
          <w:b/>
          <w:bCs/>
          <w:color w:val="000000"/>
        </w:rPr>
      </w:pPr>
    </w:p>
    <w:p w14:paraId="5B892E82" w14:textId="77777777" w:rsidR="005A41AD" w:rsidRPr="00BC2D78" w:rsidRDefault="005A41AD" w:rsidP="00ED58C1">
      <w:pPr>
        <w:numPr>
          <w:ilvl w:val="0"/>
          <w:numId w:val="43"/>
        </w:numPr>
        <w:rPr>
          <w:rFonts w:cs="Arial"/>
          <w:b/>
          <w:bCs/>
          <w:color w:val="000000"/>
        </w:rPr>
      </w:pPr>
      <w:r w:rsidRPr="00BC2D78">
        <w:rPr>
          <w:rFonts w:cs="Arial"/>
          <w:b/>
          <w:bCs/>
          <w:color w:val="000000"/>
        </w:rPr>
        <w:t xml:space="preserve">Is Leapfrog’s belief that hospitals should not bill for </w:t>
      </w:r>
      <w:r>
        <w:rPr>
          <w:rFonts w:cs="Arial"/>
          <w:b/>
          <w:bCs/>
          <w:color w:val="000000"/>
        </w:rPr>
        <w:t>“</w:t>
      </w:r>
      <w:r w:rsidRPr="00BC2D78">
        <w:rPr>
          <w:rFonts w:cs="Arial"/>
          <w:b/>
          <w:bCs/>
          <w:color w:val="000000"/>
        </w:rPr>
        <w:t>never events</w:t>
      </w:r>
      <w:r>
        <w:rPr>
          <w:rFonts w:cs="Arial"/>
          <w:b/>
          <w:bCs/>
          <w:color w:val="000000"/>
        </w:rPr>
        <w:t>”</w:t>
      </w:r>
      <w:r w:rsidRPr="00BC2D78">
        <w:rPr>
          <w:rFonts w:cs="Arial"/>
          <w:b/>
          <w:bCs/>
          <w:color w:val="000000"/>
        </w:rPr>
        <w:t xml:space="preserve"> just a cost savings measure for employers or health plans?</w:t>
      </w:r>
      <w:r w:rsidRPr="00BC2D78">
        <w:rPr>
          <w:rFonts w:cs="Arial"/>
          <w:b/>
          <w:bCs/>
          <w:color w:val="000000"/>
        </w:rPr>
        <w:br/>
      </w:r>
      <w:r w:rsidRPr="00BC2D78">
        <w:rPr>
          <w:rFonts w:cs="Arial"/>
          <w:color w:val="000000"/>
        </w:rPr>
        <w:t>No. These events are rare and most likely do not represent a significant savings for employers or health plans. However, for a patient, it could relieve a significant financial burden. We believe that any patient who suffers from a "never event" should never have to pay for it.</w:t>
      </w:r>
    </w:p>
    <w:p w14:paraId="38CA0753" w14:textId="77777777" w:rsidR="005A41AD" w:rsidRPr="00BC2D78" w:rsidRDefault="005A41AD" w:rsidP="005A41AD">
      <w:pPr>
        <w:rPr>
          <w:rFonts w:cs="Arial"/>
          <w:b/>
          <w:bCs/>
          <w:color w:val="000000"/>
        </w:rPr>
      </w:pPr>
    </w:p>
    <w:p w14:paraId="3987BA51" w14:textId="77777777" w:rsidR="005A41AD" w:rsidRPr="00D85CC6" w:rsidRDefault="005A41AD" w:rsidP="00ED58C1">
      <w:pPr>
        <w:numPr>
          <w:ilvl w:val="0"/>
          <w:numId w:val="43"/>
        </w:numPr>
        <w:rPr>
          <w:rFonts w:cs="Arial"/>
          <w:bCs/>
          <w:color w:val="000000"/>
        </w:rPr>
      </w:pPr>
      <w:r w:rsidRPr="00BC2D78">
        <w:rPr>
          <w:rFonts w:cs="Arial"/>
          <w:b/>
          <w:bCs/>
          <w:color w:val="000000"/>
        </w:rPr>
        <w:t>How does Leapfrog define “waive cost”?</w:t>
      </w:r>
      <w:r w:rsidRPr="00BC2D78">
        <w:rPr>
          <w:rFonts w:cs="Arial"/>
          <w:b/>
          <w:bCs/>
          <w:color w:val="000000"/>
        </w:rPr>
        <w:br/>
      </w:r>
      <w:r w:rsidRPr="00BC2D78">
        <w:rPr>
          <w:rFonts w:cs="Arial"/>
          <w:bCs/>
          <w:color w:val="000000"/>
        </w:rPr>
        <w:t>At its core, Leapfrog’s approach to never events is about improving patient care. While the policy asks hospitals to refrain from billing either the patient or a third party payer, such as a health plan or employer company, for any costs directly related to a serious reportable adverse event, Leapfrog understands that, due to the wide array of circumstances surrounding never events, specific details of what constitutes “waiving cost” should be handled on a case-by-case basis by the parties involved.</w:t>
      </w:r>
      <w:r w:rsidRPr="00D85CC6">
        <w:rPr>
          <w:rFonts w:cs="Arial"/>
          <w:bCs/>
          <w:color w:val="000000"/>
        </w:rPr>
        <w:br/>
      </w:r>
    </w:p>
    <w:p w14:paraId="270393FD" w14:textId="77777777" w:rsidR="005A41AD" w:rsidRPr="007D425B" w:rsidRDefault="005A41AD" w:rsidP="007D425B">
      <w:pPr>
        <w:rPr>
          <w:lang w:eastAsia="ja-JP"/>
        </w:rPr>
      </w:pPr>
      <w:r w:rsidRPr="00BC2D78">
        <w:br w:type="page"/>
      </w:r>
    </w:p>
    <w:p w14:paraId="4F510D3A" w14:textId="77777777" w:rsidR="005A41AD" w:rsidRDefault="005B78E1" w:rsidP="00954B73">
      <w:pPr>
        <w:pStyle w:val="Heading2"/>
      </w:pPr>
      <w:bookmarkStart w:id="306" w:name="_CLABSI_and_CAUTI"/>
      <w:bookmarkStart w:id="307" w:name="_Toc447195074"/>
      <w:bookmarkEnd w:id="306"/>
      <w:r>
        <w:lastRenderedPageBreak/>
        <w:t>CLABSI and CAUTI Specifications</w:t>
      </w:r>
      <w:bookmarkEnd w:id="307"/>
    </w:p>
    <w:p w14:paraId="73754C60" w14:textId="77777777" w:rsidR="002B3F29" w:rsidRDefault="002B3F29" w:rsidP="002B3F29">
      <w:pPr>
        <w:rPr>
          <w:lang w:eastAsia="ja-JP"/>
        </w:rPr>
      </w:pPr>
      <w:bookmarkStart w:id="308" w:name="CLABSISpecs"/>
    </w:p>
    <w:p w14:paraId="75FFE4B3" w14:textId="77777777" w:rsidR="002B3F29" w:rsidRPr="0064237E" w:rsidRDefault="002B3F29" w:rsidP="002B3F29">
      <w:r w:rsidRPr="002B3F29">
        <w:rPr>
          <w:b/>
          <w:color w:val="FF0000"/>
          <w:lang w:eastAsia="ja-JP"/>
        </w:rPr>
        <w:t>Important Note:</w:t>
      </w:r>
      <w:r w:rsidRPr="002B3F29">
        <w:rPr>
          <w:color w:val="FF0000"/>
          <w:lang w:eastAsia="ja-JP"/>
        </w:rPr>
        <w:t xml:space="preserve"> </w:t>
      </w:r>
      <w:r w:rsidRPr="00F126A0">
        <w:rPr>
          <w:snapToGrid w:val="0"/>
        </w:rPr>
        <w:t xml:space="preserve">Hospitals that share a Medicare Provider Number are required to report by facility. Please carefully review </w:t>
      </w:r>
      <w:hyperlink r:id="rId169" w:history="1">
        <w:r w:rsidRPr="00F126A0">
          <w:rPr>
            <w:rStyle w:val="Hyperlink"/>
            <w:snapToGrid w:val="0"/>
          </w:rPr>
          <w:t>Leapfrog’s Multi-Campus Reporting Policy</w:t>
        </w:r>
      </w:hyperlink>
      <w:r w:rsidRPr="00F126A0">
        <w:rPr>
          <w:snapToGrid w:val="0"/>
        </w:rPr>
        <w:t>.</w:t>
      </w:r>
    </w:p>
    <w:bookmarkEnd w:id="308"/>
    <w:p w14:paraId="74F5A188" w14:textId="77777777" w:rsidR="005A41AD" w:rsidRPr="00BC2D78" w:rsidRDefault="005A41AD" w:rsidP="005A41AD">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5A41AD" w:rsidRPr="00BC2D78" w14:paraId="364BD974" w14:textId="77777777" w:rsidTr="005B78E1">
        <w:trPr>
          <w:jc w:val="center"/>
        </w:trPr>
        <w:tc>
          <w:tcPr>
            <w:tcW w:w="9221" w:type="dxa"/>
            <w:shd w:val="clear" w:color="auto" w:fill="CCCCCC"/>
          </w:tcPr>
          <w:p w14:paraId="0E42DE03" w14:textId="77777777" w:rsidR="005A41AD" w:rsidRPr="00BC2D78" w:rsidRDefault="005A41AD" w:rsidP="003A7DE0">
            <w:pPr>
              <w:pStyle w:val="Heading44"/>
            </w:pPr>
            <w:r>
              <w:rPr>
                <w:bCs/>
              </w:rPr>
              <w:t xml:space="preserve">Incidence </w:t>
            </w:r>
            <w:r w:rsidRPr="00BC2D78">
              <w:t>Rate of Central Line</w:t>
            </w:r>
            <w:r w:rsidR="003A7DE0">
              <w:t>-</w:t>
            </w:r>
            <w:r w:rsidRPr="00BC2D78">
              <w:t>Associated Bloodstream Infections</w:t>
            </w:r>
          </w:p>
        </w:tc>
      </w:tr>
      <w:tr w:rsidR="005A41AD" w:rsidRPr="00BC2D78" w14:paraId="4A3FB13F" w14:textId="77777777" w:rsidTr="005B78E1">
        <w:trPr>
          <w:jc w:val="center"/>
        </w:trPr>
        <w:tc>
          <w:tcPr>
            <w:tcW w:w="9221" w:type="dxa"/>
          </w:tcPr>
          <w:p w14:paraId="16E2121B" w14:textId="77777777" w:rsidR="005A41AD" w:rsidRPr="00BC2D78" w:rsidRDefault="005A41AD" w:rsidP="007849B0">
            <w:pPr>
              <w:autoSpaceDE w:val="0"/>
              <w:autoSpaceDN w:val="0"/>
              <w:adjustRightInd w:val="0"/>
              <w:rPr>
                <w:b/>
              </w:rPr>
            </w:pPr>
            <w:r w:rsidRPr="00BC2D78">
              <w:rPr>
                <w:b/>
              </w:rPr>
              <w:t xml:space="preserve">Source: </w:t>
            </w:r>
            <w:r w:rsidR="00335791" w:rsidRPr="009C6B41">
              <w:t>Na</w:t>
            </w:r>
            <w:r w:rsidR="00335791">
              <w:t>tional Quality Forum (NQF) #0139</w:t>
            </w:r>
          </w:p>
          <w:p w14:paraId="79DD5CEA" w14:textId="77777777" w:rsidR="005A41AD" w:rsidRPr="00BC2D78" w:rsidRDefault="005A41AD" w:rsidP="007849B0">
            <w:pPr>
              <w:autoSpaceDE w:val="0"/>
              <w:autoSpaceDN w:val="0"/>
              <w:adjustRightInd w:val="0"/>
              <w:rPr>
                <w:b/>
              </w:rPr>
            </w:pPr>
          </w:p>
          <w:p w14:paraId="3C42654F" w14:textId="77777777" w:rsidR="005A41AD" w:rsidRPr="00BC2D78" w:rsidRDefault="005A41AD" w:rsidP="007849B0">
            <w:pPr>
              <w:autoSpaceDE w:val="0"/>
              <w:autoSpaceDN w:val="0"/>
              <w:adjustRightInd w:val="0"/>
              <w:rPr>
                <w:i/>
              </w:rPr>
            </w:pPr>
            <w:r w:rsidRPr="00CE6583">
              <w:rPr>
                <w:i/>
              </w:rPr>
              <w:t xml:space="preserve">Rates will be stratified by ICU type – medical, surgical, medical/surgical, pediatric medical, pediatric medical/surgical, </w:t>
            </w:r>
            <w:r>
              <w:rPr>
                <w:i/>
              </w:rPr>
              <w:t xml:space="preserve">pediatric cardiothoracic, </w:t>
            </w:r>
            <w:r w:rsidR="00EC0685">
              <w:rPr>
                <w:i/>
              </w:rPr>
              <w:t>medical cardiac</w:t>
            </w:r>
            <w:r w:rsidRPr="00CE6583">
              <w:rPr>
                <w:i/>
              </w:rPr>
              <w:t xml:space="preserve">, </w:t>
            </w:r>
            <w:r w:rsidR="00335791">
              <w:rPr>
                <w:i/>
              </w:rPr>
              <w:t xml:space="preserve">respiratory, </w:t>
            </w:r>
            <w:r w:rsidRPr="00CE6583">
              <w:rPr>
                <w:i/>
              </w:rPr>
              <w:t>surgical cardiothoracic, neurolog</w:t>
            </w:r>
            <w:r w:rsidR="00EC0685">
              <w:rPr>
                <w:i/>
              </w:rPr>
              <w:t>ic</w:t>
            </w:r>
            <w:r w:rsidRPr="00CE6583">
              <w:rPr>
                <w:i/>
              </w:rPr>
              <w:t>,</w:t>
            </w:r>
            <w:r>
              <w:rPr>
                <w:i/>
              </w:rPr>
              <w:t xml:space="preserve"> </w:t>
            </w:r>
            <w:r w:rsidRPr="00CE6583">
              <w:rPr>
                <w:i/>
              </w:rPr>
              <w:t>neurosurgical, burn, trauma, Level I</w:t>
            </w:r>
            <w:r>
              <w:rPr>
                <w:i/>
              </w:rPr>
              <w:t xml:space="preserve">I/III NICU, and Level III NICU, </w:t>
            </w:r>
            <w:r w:rsidRPr="00CE6583">
              <w:rPr>
                <w:i/>
              </w:rPr>
              <w:t xml:space="preserve">(see below for </w:t>
            </w:r>
            <w:r>
              <w:rPr>
                <w:i/>
              </w:rPr>
              <w:t>a table</w:t>
            </w:r>
            <w:r w:rsidRPr="00CE6583">
              <w:rPr>
                <w:i/>
              </w:rPr>
              <w:t xml:space="preserve"> of ICU types)</w:t>
            </w:r>
            <w:r>
              <w:rPr>
                <w:i/>
              </w:rPr>
              <w:t>.</w:t>
            </w:r>
          </w:p>
          <w:p w14:paraId="5A355B8B" w14:textId="77777777" w:rsidR="005A41AD" w:rsidRPr="00BC2D78" w:rsidRDefault="005A41AD" w:rsidP="007849B0">
            <w:pPr>
              <w:rPr>
                <w:b/>
                <w:snapToGrid w:val="0"/>
              </w:rPr>
            </w:pPr>
          </w:p>
          <w:p w14:paraId="4C05C726" w14:textId="77777777" w:rsidR="005A41AD" w:rsidRPr="006429C6" w:rsidRDefault="005A41AD" w:rsidP="007849B0">
            <w:pPr>
              <w:rPr>
                <w:b/>
                <w:snapToGrid w:val="0"/>
              </w:rPr>
            </w:pPr>
            <w:r w:rsidRPr="006429C6">
              <w:rPr>
                <w:b/>
                <w:snapToGrid w:val="0"/>
              </w:rPr>
              <w:t xml:space="preserve">Reporting Time Period: </w:t>
            </w:r>
            <w:r w:rsidR="002224C9" w:rsidRPr="006429C6">
              <w:rPr>
                <w:b/>
                <w:snapToGrid w:val="0"/>
              </w:rPr>
              <w:t>12 months</w:t>
            </w:r>
          </w:p>
          <w:p w14:paraId="14B5ECFA" w14:textId="77777777" w:rsidR="002224C9" w:rsidRPr="006429C6" w:rsidRDefault="002224C9" w:rsidP="00ED58C1">
            <w:pPr>
              <w:pStyle w:val="ListParagraph"/>
              <w:numPr>
                <w:ilvl w:val="0"/>
                <w:numId w:val="17"/>
              </w:numPr>
              <w:rPr>
                <w:i/>
                <w:snapToGrid w:val="0"/>
              </w:rPr>
            </w:pPr>
            <w:r w:rsidRPr="006429C6">
              <w:rPr>
                <w:snapToGrid w:val="0"/>
              </w:rPr>
              <w:t>Surveys submitted prior to September 1, 2016: 01/01/2015 – 12/30/2015</w:t>
            </w:r>
          </w:p>
          <w:p w14:paraId="2250E314" w14:textId="77777777" w:rsidR="002224C9" w:rsidRPr="006429C6" w:rsidRDefault="002224C9" w:rsidP="00ED58C1">
            <w:pPr>
              <w:pStyle w:val="ListParagraph"/>
              <w:numPr>
                <w:ilvl w:val="0"/>
                <w:numId w:val="17"/>
              </w:numPr>
              <w:rPr>
                <w:i/>
                <w:snapToGrid w:val="0"/>
              </w:rPr>
            </w:pPr>
            <w:r w:rsidRPr="006429C6">
              <w:rPr>
                <w:snapToGrid w:val="0"/>
              </w:rPr>
              <w:t>Surveys (re)submitted on or after September 1, 2016: 0</w:t>
            </w:r>
            <w:r w:rsidR="003B13D4">
              <w:rPr>
                <w:snapToGrid w:val="0"/>
              </w:rPr>
              <w:t>7</w:t>
            </w:r>
            <w:r w:rsidRPr="006429C6">
              <w:rPr>
                <w:snapToGrid w:val="0"/>
              </w:rPr>
              <w:t>/01/2015 – 06/30/2016</w:t>
            </w:r>
          </w:p>
          <w:p w14:paraId="142428D8" w14:textId="77777777" w:rsidR="005A41AD" w:rsidRPr="00BC2D78" w:rsidRDefault="005A41AD" w:rsidP="002224C9">
            <w:pPr>
              <w:ind w:left="720"/>
            </w:pPr>
          </w:p>
        </w:tc>
      </w:tr>
      <w:tr w:rsidR="005A41AD" w:rsidRPr="00BC2D78" w14:paraId="58760647" w14:textId="77777777" w:rsidTr="00536A38">
        <w:trPr>
          <w:trHeight w:val="890"/>
          <w:jc w:val="center"/>
        </w:trPr>
        <w:tc>
          <w:tcPr>
            <w:tcW w:w="9221" w:type="dxa"/>
            <w:vAlign w:val="center"/>
          </w:tcPr>
          <w:p w14:paraId="087FA25F" w14:textId="77777777" w:rsidR="005A41AD" w:rsidRDefault="005A41AD" w:rsidP="007849B0">
            <w:pPr>
              <w:rPr>
                <w:b/>
              </w:rPr>
            </w:pPr>
            <w:r w:rsidRPr="00BC2D78">
              <w:rPr>
                <w:b/>
              </w:rPr>
              <w:t>Definition of ICU Types</w:t>
            </w:r>
          </w:p>
          <w:p w14:paraId="2384B9E1" w14:textId="77777777" w:rsidR="005A41AD" w:rsidRPr="00BC2D78" w:rsidRDefault="005A41AD" w:rsidP="007849B0"/>
          <w:p w14:paraId="35DBBC63" w14:textId="77777777" w:rsidR="005A41AD" w:rsidRDefault="005A41AD" w:rsidP="007849B0">
            <w:r w:rsidRPr="00BC2D78">
              <w:t>Below is a list of those ICU types for which hospitals should report</w:t>
            </w:r>
            <w:r>
              <w:t xml:space="preserve"> their central</w:t>
            </w:r>
            <w:r w:rsidR="007246AE">
              <w:t xml:space="preserve"> </w:t>
            </w:r>
            <w:r w:rsidRPr="00BC2D78">
              <w:t>line</w:t>
            </w:r>
            <w:r w:rsidR="007246AE">
              <w:t>-</w:t>
            </w:r>
            <w:r w:rsidRPr="00BC2D78">
              <w:t>associated bloodstream infection (CLABSI) data to the survey</w:t>
            </w:r>
            <w:r>
              <w:t xml:space="preserve">. </w:t>
            </w:r>
          </w:p>
          <w:p w14:paraId="49D6FF07" w14:textId="77777777" w:rsidR="005B78E1" w:rsidRDefault="005B78E1" w:rsidP="007849B0"/>
          <w:p w14:paraId="580279F2" w14:textId="77777777" w:rsidR="005B78E1" w:rsidRPr="00286F83" w:rsidRDefault="005B78E1" w:rsidP="005B78E1">
            <w:r>
              <w:t xml:space="preserve">Hospitals should only report on applicable ICU types listed above. If an ICU type is not listed (i.e. Level II NICU), do not include those line days or infections in your survey responses. The ICU types that you report on the survey should be the same as those you report to the NHSN using the NHSN descriptions and location mapping instructions: </w:t>
            </w:r>
            <w:hyperlink r:id="rId170" w:history="1">
              <w:r w:rsidRPr="004A4015">
                <w:rPr>
                  <w:rStyle w:val="Hyperlink"/>
                  <w:rFonts w:cs="Arial"/>
                </w:rPr>
                <w:t>http://www.cdc.gov/nhsn/PDFs/pscManual/15LocationsDescriptions_current.pdf</w:t>
              </w:r>
            </w:hyperlink>
            <w:r w:rsidRPr="004A4015">
              <w:rPr>
                <w:rFonts w:cs="Arial"/>
              </w:rPr>
              <w:t xml:space="preserve"> </w:t>
            </w:r>
          </w:p>
          <w:p w14:paraId="720D20E9" w14:textId="77777777" w:rsidR="005A41AD" w:rsidRPr="00BC2D78" w:rsidRDefault="005A41AD" w:rsidP="007849B0">
            <w:pPr>
              <w:rPr>
                <w:lang w:val="fr-F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670"/>
            </w:tblGrid>
            <w:tr w:rsidR="005A41AD" w:rsidRPr="00BC2D78" w14:paraId="378277A4" w14:textId="77777777" w:rsidTr="005B78E1">
              <w:trPr>
                <w:tblHeader/>
                <w:jc w:val="center"/>
              </w:trPr>
              <w:tc>
                <w:tcPr>
                  <w:tcW w:w="3325" w:type="dxa"/>
                  <w:tcMar>
                    <w:top w:w="115" w:type="dxa"/>
                    <w:left w:w="115" w:type="dxa"/>
                    <w:bottom w:w="115" w:type="dxa"/>
                    <w:right w:w="115" w:type="dxa"/>
                  </w:tcMar>
                </w:tcPr>
                <w:p w14:paraId="7CB48F57" w14:textId="77777777" w:rsidR="005A41AD" w:rsidRPr="00BC2D78" w:rsidRDefault="005A41AD" w:rsidP="007849B0">
                  <w:pPr>
                    <w:jc w:val="center"/>
                    <w:rPr>
                      <w:b/>
                    </w:rPr>
                  </w:pPr>
                  <w:r w:rsidRPr="00BC2D78">
                    <w:rPr>
                      <w:b/>
                    </w:rPr>
                    <w:t>Survey ICU Name</w:t>
                  </w:r>
                </w:p>
              </w:tc>
              <w:tc>
                <w:tcPr>
                  <w:tcW w:w="5670" w:type="dxa"/>
                  <w:tcMar>
                    <w:top w:w="115" w:type="dxa"/>
                    <w:left w:w="115" w:type="dxa"/>
                    <w:bottom w:w="115" w:type="dxa"/>
                    <w:right w:w="115" w:type="dxa"/>
                  </w:tcMar>
                </w:tcPr>
                <w:p w14:paraId="35EBF0D2" w14:textId="77777777" w:rsidR="005A41AD" w:rsidRPr="00BC2D78" w:rsidRDefault="005A41AD" w:rsidP="007849B0">
                  <w:pPr>
                    <w:jc w:val="center"/>
                    <w:rPr>
                      <w:b/>
                    </w:rPr>
                  </w:pPr>
                  <w:r w:rsidRPr="004A4015">
                    <w:rPr>
                      <w:b/>
                      <w:i/>
                    </w:rPr>
                    <w:t>CDC ICU Name</w:t>
                  </w:r>
                </w:p>
              </w:tc>
            </w:tr>
            <w:tr w:rsidR="005A41AD" w:rsidRPr="00BC2D78" w14:paraId="60DAB1DB" w14:textId="77777777" w:rsidTr="005B78E1">
              <w:trPr>
                <w:trHeight w:val="144"/>
                <w:jc w:val="center"/>
              </w:trPr>
              <w:tc>
                <w:tcPr>
                  <w:tcW w:w="3325" w:type="dxa"/>
                  <w:tcMar>
                    <w:top w:w="115" w:type="dxa"/>
                    <w:left w:w="115" w:type="dxa"/>
                    <w:bottom w:w="115" w:type="dxa"/>
                    <w:right w:w="115" w:type="dxa"/>
                  </w:tcMar>
                </w:tcPr>
                <w:p w14:paraId="23348FC5" w14:textId="77777777" w:rsidR="005A41AD" w:rsidRPr="00FD1743" w:rsidRDefault="005A41AD" w:rsidP="005B78E1">
                  <w:pPr>
                    <w:rPr>
                      <w:rFonts w:cs="Arial"/>
                    </w:rPr>
                  </w:pPr>
                  <w:r w:rsidRPr="00FD1743">
                    <w:rPr>
                      <w:rFonts w:cs="Arial"/>
                    </w:rPr>
                    <w:t>Medical</w:t>
                  </w:r>
                </w:p>
              </w:tc>
              <w:tc>
                <w:tcPr>
                  <w:tcW w:w="5670" w:type="dxa"/>
                  <w:tcMar>
                    <w:top w:w="115" w:type="dxa"/>
                    <w:left w:w="115" w:type="dxa"/>
                    <w:bottom w:w="115" w:type="dxa"/>
                    <w:right w:w="115" w:type="dxa"/>
                  </w:tcMar>
                </w:tcPr>
                <w:p w14:paraId="327C2D18" w14:textId="77777777" w:rsidR="005A41AD" w:rsidRPr="00FD1743" w:rsidRDefault="005A41AD" w:rsidP="005B78E1">
                  <w:pPr>
                    <w:rPr>
                      <w:rFonts w:cs="Arial"/>
                    </w:rPr>
                  </w:pPr>
                  <w:r w:rsidRPr="00FD1743">
                    <w:rPr>
                      <w:rFonts w:cs="Arial"/>
                      <w:i/>
                    </w:rPr>
                    <w:t>Medical Critical Car</w:t>
                  </w:r>
                  <w:r w:rsidRPr="00FD1743">
                    <w:rPr>
                      <w:rFonts w:cs="Arial"/>
                    </w:rPr>
                    <w:t>e</w:t>
                  </w:r>
                </w:p>
              </w:tc>
            </w:tr>
            <w:tr w:rsidR="005A41AD" w:rsidRPr="00BC2D78" w14:paraId="391877D8" w14:textId="77777777" w:rsidTr="005B78E1">
              <w:trPr>
                <w:trHeight w:val="144"/>
                <w:jc w:val="center"/>
              </w:trPr>
              <w:tc>
                <w:tcPr>
                  <w:tcW w:w="3325" w:type="dxa"/>
                  <w:tcMar>
                    <w:top w:w="115" w:type="dxa"/>
                    <w:left w:w="115" w:type="dxa"/>
                    <w:bottom w:w="115" w:type="dxa"/>
                    <w:right w:w="115" w:type="dxa"/>
                  </w:tcMar>
                </w:tcPr>
                <w:p w14:paraId="40E60AFB" w14:textId="77777777" w:rsidR="005A41AD" w:rsidRPr="00FD1743" w:rsidRDefault="005A41AD" w:rsidP="005B78E1">
                  <w:pPr>
                    <w:rPr>
                      <w:rFonts w:cs="Arial"/>
                    </w:rPr>
                  </w:pPr>
                  <w:r w:rsidRPr="00FD1743">
                    <w:rPr>
                      <w:rFonts w:cs="Arial"/>
                    </w:rPr>
                    <w:t>Surgical</w:t>
                  </w:r>
                </w:p>
              </w:tc>
              <w:tc>
                <w:tcPr>
                  <w:tcW w:w="5670" w:type="dxa"/>
                  <w:tcMar>
                    <w:top w:w="115" w:type="dxa"/>
                    <w:left w:w="115" w:type="dxa"/>
                    <w:bottom w:w="115" w:type="dxa"/>
                    <w:right w:w="115" w:type="dxa"/>
                  </w:tcMar>
                </w:tcPr>
                <w:p w14:paraId="544012A7" w14:textId="77777777" w:rsidR="005A41AD" w:rsidRPr="00FD1743" w:rsidRDefault="005A41AD" w:rsidP="005B78E1">
                  <w:pPr>
                    <w:rPr>
                      <w:rFonts w:cs="Arial"/>
                    </w:rPr>
                  </w:pPr>
                  <w:r w:rsidRPr="00FD1743">
                    <w:rPr>
                      <w:rFonts w:cs="Arial"/>
                      <w:i/>
                    </w:rPr>
                    <w:t>Surgical Critical Care</w:t>
                  </w:r>
                  <w:r w:rsidRPr="00FD1743" w:rsidDel="00FA6F92">
                    <w:rPr>
                      <w:rFonts w:cs="Arial"/>
                    </w:rPr>
                    <w:t xml:space="preserve"> </w:t>
                  </w:r>
                </w:p>
              </w:tc>
            </w:tr>
            <w:tr w:rsidR="005A41AD" w:rsidRPr="00BC2D78" w14:paraId="3312A44F" w14:textId="77777777" w:rsidTr="005B78E1">
              <w:trPr>
                <w:trHeight w:val="144"/>
                <w:jc w:val="center"/>
              </w:trPr>
              <w:tc>
                <w:tcPr>
                  <w:tcW w:w="3325" w:type="dxa"/>
                  <w:tcMar>
                    <w:top w:w="115" w:type="dxa"/>
                    <w:left w:w="115" w:type="dxa"/>
                    <w:bottom w:w="115" w:type="dxa"/>
                    <w:right w:w="115" w:type="dxa"/>
                  </w:tcMar>
                </w:tcPr>
                <w:p w14:paraId="7ABA77E0" w14:textId="77777777" w:rsidR="005A41AD" w:rsidRPr="00FD1743" w:rsidRDefault="005A41AD" w:rsidP="005B78E1">
                  <w:pPr>
                    <w:rPr>
                      <w:rFonts w:cs="Arial"/>
                    </w:rPr>
                  </w:pPr>
                  <w:r w:rsidRPr="00FD1743">
                    <w:rPr>
                      <w:rFonts w:cs="Arial"/>
                    </w:rPr>
                    <w:t>Medical/Surgical</w:t>
                  </w:r>
                </w:p>
              </w:tc>
              <w:tc>
                <w:tcPr>
                  <w:tcW w:w="5670" w:type="dxa"/>
                  <w:tcMar>
                    <w:top w:w="115" w:type="dxa"/>
                    <w:left w:w="115" w:type="dxa"/>
                    <w:bottom w:w="115" w:type="dxa"/>
                    <w:right w:w="115" w:type="dxa"/>
                  </w:tcMar>
                </w:tcPr>
                <w:p w14:paraId="5E95C77B" w14:textId="77777777" w:rsidR="005A41AD" w:rsidRPr="00FD1743" w:rsidRDefault="005A41AD" w:rsidP="005B78E1">
                  <w:pPr>
                    <w:rPr>
                      <w:rFonts w:cs="Arial"/>
                    </w:rPr>
                  </w:pPr>
                  <w:r w:rsidRPr="00FD1743">
                    <w:rPr>
                      <w:rFonts w:cs="Arial"/>
                      <w:i/>
                    </w:rPr>
                    <w:t>Medical/Surgical Critical Care</w:t>
                  </w:r>
                  <w:r w:rsidRPr="00FD1743" w:rsidDel="00FA6F92">
                    <w:rPr>
                      <w:rFonts w:cs="Arial"/>
                    </w:rPr>
                    <w:t xml:space="preserve"> </w:t>
                  </w:r>
                </w:p>
              </w:tc>
            </w:tr>
            <w:tr w:rsidR="005A41AD" w:rsidRPr="00BC2D78" w14:paraId="1B02FAB7" w14:textId="77777777" w:rsidTr="005B78E1">
              <w:trPr>
                <w:trHeight w:val="144"/>
                <w:jc w:val="center"/>
              </w:trPr>
              <w:tc>
                <w:tcPr>
                  <w:tcW w:w="3325" w:type="dxa"/>
                  <w:tcMar>
                    <w:top w:w="115" w:type="dxa"/>
                    <w:left w:w="115" w:type="dxa"/>
                    <w:bottom w:w="115" w:type="dxa"/>
                    <w:right w:w="115" w:type="dxa"/>
                  </w:tcMar>
                </w:tcPr>
                <w:p w14:paraId="6D363061" w14:textId="77777777" w:rsidR="005A41AD" w:rsidRPr="00FD1743" w:rsidRDefault="005A41AD" w:rsidP="005B78E1">
                  <w:pPr>
                    <w:rPr>
                      <w:rFonts w:cs="Arial"/>
                    </w:rPr>
                  </w:pPr>
                  <w:r w:rsidRPr="00FD1743">
                    <w:rPr>
                      <w:rFonts w:cs="Arial"/>
                    </w:rPr>
                    <w:t>Pediatric Medical</w:t>
                  </w:r>
                </w:p>
              </w:tc>
              <w:tc>
                <w:tcPr>
                  <w:tcW w:w="5670" w:type="dxa"/>
                  <w:tcMar>
                    <w:top w:w="115" w:type="dxa"/>
                    <w:left w:w="115" w:type="dxa"/>
                    <w:bottom w:w="115" w:type="dxa"/>
                    <w:right w:w="115" w:type="dxa"/>
                  </w:tcMar>
                </w:tcPr>
                <w:p w14:paraId="52EAF698" w14:textId="77777777" w:rsidR="005A41AD" w:rsidRPr="00FD1743" w:rsidRDefault="005A41AD" w:rsidP="005B78E1">
                  <w:pPr>
                    <w:rPr>
                      <w:rFonts w:cs="Arial"/>
                    </w:rPr>
                  </w:pPr>
                  <w:r w:rsidRPr="00FD1743">
                    <w:rPr>
                      <w:rFonts w:cs="Arial"/>
                      <w:i/>
                    </w:rPr>
                    <w:t>Pediatric Medical Critical Care</w:t>
                  </w:r>
                  <w:r w:rsidRPr="00FD1743">
                    <w:rPr>
                      <w:rFonts w:cs="Arial"/>
                    </w:rPr>
                    <w:t xml:space="preserve"> </w:t>
                  </w:r>
                </w:p>
              </w:tc>
            </w:tr>
            <w:tr w:rsidR="005A41AD" w:rsidRPr="00BC2D78" w14:paraId="6292C322" w14:textId="77777777" w:rsidTr="005B78E1">
              <w:trPr>
                <w:trHeight w:val="144"/>
                <w:jc w:val="center"/>
              </w:trPr>
              <w:tc>
                <w:tcPr>
                  <w:tcW w:w="3325" w:type="dxa"/>
                  <w:tcMar>
                    <w:top w:w="115" w:type="dxa"/>
                    <w:left w:w="115" w:type="dxa"/>
                    <w:bottom w:w="115" w:type="dxa"/>
                    <w:right w:w="115" w:type="dxa"/>
                  </w:tcMar>
                </w:tcPr>
                <w:p w14:paraId="5C58FB9F" w14:textId="77777777" w:rsidR="005A41AD" w:rsidRPr="00FD1743" w:rsidRDefault="005A41AD" w:rsidP="005B78E1">
                  <w:pPr>
                    <w:rPr>
                      <w:rFonts w:cs="Arial"/>
                    </w:rPr>
                  </w:pPr>
                  <w:r w:rsidRPr="00FD1743">
                    <w:rPr>
                      <w:rFonts w:cs="Arial"/>
                    </w:rPr>
                    <w:t>Pediatric Medical/Surgical</w:t>
                  </w:r>
                </w:p>
              </w:tc>
              <w:tc>
                <w:tcPr>
                  <w:tcW w:w="5670" w:type="dxa"/>
                  <w:tcMar>
                    <w:top w:w="115" w:type="dxa"/>
                    <w:left w:w="115" w:type="dxa"/>
                    <w:bottom w:w="115" w:type="dxa"/>
                    <w:right w:w="115" w:type="dxa"/>
                  </w:tcMar>
                </w:tcPr>
                <w:p w14:paraId="5CB9E4FE" w14:textId="77777777" w:rsidR="005A41AD" w:rsidRPr="00FD1743" w:rsidRDefault="005A41AD" w:rsidP="005B78E1">
                  <w:pPr>
                    <w:rPr>
                      <w:rFonts w:cs="Arial"/>
                    </w:rPr>
                  </w:pPr>
                  <w:r w:rsidRPr="00FD1743">
                    <w:rPr>
                      <w:rFonts w:cs="Arial"/>
                      <w:i/>
                    </w:rPr>
                    <w:t>Pediatric Medical/Surgical Critical Care</w:t>
                  </w:r>
                </w:p>
              </w:tc>
            </w:tr>
            <w:tr w:rsidR="005A41AD" w:rsidRPr="00BC2D78" w14:paraId="527197C0" w14:textId="77777777" w:rsidTr="005B78E1">
              <w:trPr>
                <w:trHeight w:val="144"/>
                <w:jc w:val="center"/>
              </w:trPr>
              <w:tc>
                <w:tcPr>
                  <w:tcW w:w="3325" w:type="dxa"/>
                  <w:tcMar>
                    <w:top w:w="115" w:type="dxa"/>
                    <w:left w:w="115" w:type="dxa"/>
                    <w:bottom w:w="115" w:type="dxa"/>
                    <w:right w:w="115" w:type="dxa"/>
                  </w:tcMar>
                </w:tcPr>
                <w:p w14:paraId="3354C78B" w14:textId="77777777" w:rsidR="005A41AD" w:rsidRPr="00FD1743" w:rsidRDefault="005A41AD" w:rsidP="005B78E1">
                  <w:pPr>
                    <w:rPr>
                      <w:rFonts w:cs="Arial"/>
                    </w:rPr>
                  </w:pPr>
                  <w:r>
                    <w:t>Pediatric Cardiothoracic</w:t>
                  </w:r>
                </w:p>
              </w:tc>
              <w:tc>
                <w:tcPr>
                  <w:tcW w:w="5670" w:type="dxa"/>
                  <w:tcMar>
                    <w:top w:w="115" w:type="dxa"/>
                    <w:left w:w="115" w:type="dxa"/>
                    <w:bottom w:w="115" w:type="dxa"/>
                    <w:right w:w="115" w:type="dxa"/>
                  </w:tcMar>
                </w:tcPr>
                <w:p w14:paraId="5677F151" w14:textId="77777777" w:rsidR="005A41AD" w:rsidRPr="00FD1743" w:rsidRDefault="005A41AD" w:rsidP="005B78E1">
                  <w:pPr>
                    <w:rPr>
                      <w:rFonts w:cs="Arial"/>
                    </w:rPr>
                  </w:pPr>
                  <w:r>
                    <w:rPr>
                      <w:rFonts w:cs="Arial"/>
                      <w:i/>
                    </w:rPr>
                    <w:t>Pediatric Cardiothoracic Critical Care</w:t>
                  </w:r>
                </w:p>
              </w:tc>
            </w:tr>
            <w:tr w:rsidR="005A41AD" w:rsidRPr="00BC2D78" w14:paraId="1E1E7381" w14:textId="77777777" w:rsidTr="005B78E1">
              <w:trPr>
                <w:trHeight w:val="144"/>
                <w:jc w:val="center"/>
              </w:trPr>
              <w:tc>
                <w:tcPr>
                  <w:tcW w:w="3325" w:type="dxa"/>
                  <w:tcMar>
                    <w:top w:w="115" w:type="dxa"/>
                    <w:left w:w="115" w:type="dxa"/>
                    <w:bottom w:w="115" w:type="dxa"/>
                    <w:right w:w="115" w:type="dxa"/>
                  </w:tcMar>
                </w:tcPr>
                <w:p w14:paraId="6AD78D18" w14:textId="77777777" w:rsidR="005A41AD" w:rsidRPr="00FD1743" w:rsidRDefault="00B01F40" w:rsidP="005B78E1">
                  <w:pPr>
                    <w:rPr>
                      <w:rFonts w:cs="Arial"/>
                    </w:rPr>
                  </w:pPr>
                  <w:r>
                    <w:rPr>
                      <w:rFonts w:cs="Arial"/>
                    </w:rPr>
                    <w:t>Medical Cardiac</w:t>
                  </w:r>
                </w:p>
              </w:tc>
              <w:tc>
                <w:tcPr>
                  <w:tcW w:w="5670" w:type="dxa"/>
                  <w:tcMar>
                    <w:top w:w="115" w:type="dxa"/>
                    <w:left w:w="115" w:type="dxa"/>
                    <w:bottom w:w="115" w:type="dxa"/>
                    <w:right w:w="115" w:type="dxa"/>
                  </w:tcMar>
                </w:tcPr>
                <w:p w14:paraId="6A4CC495" w14:textId="77777777" w:rsidR="005A41AD" w:rsidRPr="00FD1743" w:rsidRDefault="005A41AD" w:rsidP="005B78E1">
                  <w:pPr>
                    <w:rPr>
                      <w:rFonts w:cs="Arial"/>
                    </w:rPr>
                  </w:pPr>
                  <w:r>
                    <w:rPr>
                      <w:rFonts w:cs="Arial"/>
                      <w:i/>
                    </w:rPr>
                    <w:t>M</w:t>
                  </w:r>
                  <w:r w:rsidRPr="00FD1743">
                    <w:rPr>
                      <w:rFonts w:cs="Arial"/>
                      <w:i/>
                    </w:rPr>
                    <w:t>edical Cardiac Critical Care</w:t>
                  </w:r>
                </w:p>
              </w:tc>
            </w:tr>
            <w:tr w:rsidR="00B01F40" w:rsidRPr="00BC2D78" w14:paraId="0C7834E5" w14:textId="77777777" w:rsidTr="005B78E1">
              <w:trPr>
                <w:trHeight w:val="144"/>
                <w:jc w:val="center"/>
              </w:trPr>
              <w:tc>
                <w:tcPr>
                  <w:tcW w:w="3325" w:type="dxa"/>
                  <w:tcMar>
                    <w:top w:w="115" w:type="dxa"/>
                    <w:left w:w="115" w:type="dxa"/>
                    <w:bottom w:w="115" w:type="dxa"/>
                    <w:right w:w="115" w:type="dxa"/>
                  </w:tcMar>
                </w:tcPr>
                <w:p w14:paraId="1141DA82" w14:textId="77777777" w:rsidR="00B01F40" w:rsidRPr="00FD1743" w:rsidRDefault="00B01F40" w:rsidP="005B78E1">
                  <w:pPr>
                    <w:rPr>
                      <w:rFonts w:cs="Arial"/>
                    </w:rPr>
                  </w:pPr>
                  <w:r>
                    <w:rPr>
                      <w:rFonts w:cs="Arial"/>
                    </w:rPr>
                    <w:t>Respiratory</w:t>
                  </w:r>
                </w:p>
              </w:tc>
              <w:tc>
                <w:tcPr>
                  <w:tcW w:w="5670" w:type="dxa"/>
                  <w:tcMar>
                    <w:top w:w="115" w:type="dxa"/>
                    <w:left w:w="115" w:type="dxa"/>
                    <w:bottom w:w="115" w:type="dxa"/>
                    <w:right w:w="115" w:type="dxa"/>
                  </w:tcMar>
                </w:tcPr>
                <w:p w14:paraId="26685B02" w14:textId="77777777" w:rsidR="00B01F40" w:rsidRPr="00FD1743" w:rsidRDefault="008241A1" w:rsidP="005B78E1">
                  <w:pPr>
                    <w:rPr>
                      <w:rFonts w:cs="Arial"/>
                      <w:i/>
                    </w:rPr>
                  </w:pPr>
                  <w:r>
                    <w:rPr>
                      <w:rFonts w:cs="Arial"/>
                      <w:i/>
                    </w:rPr>
                    <w:t>Respiratory Critical Care</w:t>
                  </w:r>
                </w:p>
              </w:tc>
            </w:tr>
            <w:tr w:rsidR="005A41AD" w:rsidRPr="00BC2D78" w14:paraId="5333BD9B" w14:textId="77777777" w:rsidTr="005B78E1">
              <w:trPr>
                <w:trHeight w:val="144"/>
                <w:jc w:val="center"/>
              </w:trPr>
              <w:tc>
                <w:tcPr>
                  <w:tcW w:w="3325" w:type="dxa"/>
                  <w:tcMar>
                    <w:top w:w="115" w:type="dxa"/>
                    <w:left w:w="115" w:type="dxa"/>
                    <w:bottom w:w="115" w:type="dxa"/>
                    <w:right w:w="115" w:type="dxa"/>
                  </w:tcMar>
                </w:tcPr>
                <w:p w14:paraId="7A91EE82" w14:textId="77777777" w:rsidR="005A41AD" w:rsidRPr="00FD1743" w:rsidRDefault="005A41AD" w:rsidP="005B78E1">
                  <w:pPr>
                    <w:rPr>
                      <w:rFonts w:cs="Arial"/>
                    </w:rPr>
                  </w:pPr>
                  <w:r w:rsidRPr="00FD1743">
                    <w:rPr>
                      <w:rFonts w:cs="Arial"/>
                    </w:rPr>
                    <w:t>Surgical Cardiothoracic</w:t>
                  </w:r>
                </w:p>
              </w:tc>
              <w:tc>
                <w:tcPr>
                  <w:tcW w:w="5670" w:type="dxa"/>
                  <w:tcMar>
                    <w:top w:w="115" w:type="dxa"/>
                    <w:left w:w="115" w:type="dxa"/>
                    <w:bottom w:w="115" w:type="dxa"/>
                    <w:right w:w="115" w:type="dxa"/>
                  </w:tcMar>
                </w:tcPr>
                <w:p w14:paraId="4B77EFB5" w14:textId="77777777" w:rsidR="005A41AD" w:rsidRPr="00FD1743" w:rsidRDefault="005A41AD" w:rsidP="005B78E1">
                  <w:pPr>
                    <w:rPr>
                      <w:rFonts w:cs="Arial"/>
                    </w:rPr>
                  </w:pPr>
                  <w:r w:rsidRPr="00FD1743">
                    <w:rPr>
                      <w:rFonts w:cs="Arial"/>
                      <w:i/>
                    </w:rPr>
                    <w:t>Surgical Cardiothoracic Critical Care</w:t>
                  </w:r>
                </w:p>
              </w:tc>
            </w:tr>
            <w:tr w:rsidR="005A41AD" w:rsidRPr="00BC2D78" w14:paraId="1BB05205" w14:textId="77777777" w:rsidTr="005B78E1">
              <w:trPr>
                <w:trHeight w:val="144"/>
                <w:jc w:val="center"/>
              </w:trPr>
              <w:tc>
                <w:tcPr>
                  <w:tcW w:w="3325" w:type="dxa"/>
                  <w:tcMar>
                    <w:top w:w="115" w:type="dxa"/>
                    <w:left w:w="115" w:type="dxa"/>
                    <w:bottom w:w="115" w:type="dxa"/>
                    <w:right w:w="115" w:type="dxa"/>
                  </w:tcMar>
                </w:tcPr>
                <w:p w14:paraId="02FDCEC3" w14:textId="77777777" w:rsidR="005A41AD" w:rsidRPr="00FD1743" w:rsidRDefault="00BA3EBD" w:rsidP="005B78E1">
                  <w:pPr>
                    <w:rPr>
                      <w:rFonts w:cs="Arial"/>
                    </w:rPr>
                  </w:pPr>
                  <w:r>
                    <w:rPr>
                      <w:rFonts w:cs="Arial"/>
                    </w:rPr>
                    <w:t>Neurologic</w:t>
                  </w:r>
                </w:p>
              </w:tc>
              <w:tc>
                <w:tcPr>
                  <w:tcW w:w="5670" w:type="dxa"/>
                  <w:tcMar>
                    <w:top w:w="115" w:type="dxa"/>
                    <w:left w:w="115" w:type="dxa"/>
                    <w:bottom w:w="115" w:type="dxa"/>
                    <w:right w:w="115" w:type="dxa"/>
                  </w:tcMar>
                </w:tcPr>
                <w:p w14:paraId="5DF1AE15" w14:textId="77777777" w:rsidR="005A41AD" w:rsidRPr="00FD1743" w:rsidRDefault="005A41AD" w:rsidP="005B78E1">
                  <w:pPr>
                    <w:rPr>
                      <w:rFonts w:cs="Arial"/>
                    </w:rPr>
                  </w:pPr>
                  <w:r w:rsidRPr="00FD1743">
                    <w:rPr>
                      <w:rFonts w:cs="Arial"/>
                      <w:i/>
                    </w:rPr>
                    <w:t>Neurologic Critical Care</w:t>
                  </w:r>
                </w:p>
              </w:tc>
            </w:tr>
            <w:tr w:rsidR="005A41AD" w:rsidRPr="00BC2D78" w14:paraId="635060A1" w14:textId="77777777" w:rsidTr="00765461">
              <w:trPr>
                <w:trHeight w:val="72"/>
                <w:jc w:val="center"/>
              </w:trPr>
              <w:tc>
                <w:tcPr>
                  <w:tcW w:w="3325" w:type="dxa"/>
                  <w:tcMar>
                    <w:top w:w="115" w:type="dxa"/>
                    <w:left w:w="115" w:type="dxa"/>
                    <w:bottom w:w="115" w:type="dxa"/>
                    <w:right w:w="115" w:type="dxa"/>
                  </w:tcMar>
                </w:tcPr>
                <w:p w14:paraId="564753FF" w14:textId="77777777" w:rsidR="005A41AD" w:rsidRPr="00FD1743" w:rsidRDefault="005A41AD" w:rsidP="005B78E1">
                  <w:pPr>
                    <w:rPr>
                      <w:rFonts w:cs="Arial"/>
                    </w:rPr>
                  </w:pPr>
                  <w:r w:rsidRPr="00FD1743">
                    <w:rPr>
                      <w:rFonts w:cs="Arial"/>
                    </w:rPr>
                    <w:t>Neurosurgical</w:t>
                  </w:r>
                </w:p>
              </w:tc>
              <w:tc>
                <w:tcPr>
                  <w:tcW w:w="5670" w:type="dxa"/>
                  <w:tcMar>
                    <w:top w:w="115" w:type="dxa"/>
                    <w:left w:w="115" w:type="dxa"/>
                    <w:bottom w:w="115" w:type="dxa"/>
                    <w:right w:w="115" w:type="dxa"/>
                  </w:tcMar>
                </w:tcPr>
                <w:p w14:paraId="096E30BC" w14:textId="77777777" w:rsidR="005A41AD" w:rsidRPr="00FD1743" w:rsidRDefault="005A41AD" w:rsidP="005B78E1">
                  <w:pPr>
                    <w:rPr>
                      <w:rFonts w:cs="Arial"/>
                    </w:rPr>
                  </w:pPr>
                  <w:r w:rsidRPr="00FD1743">
                    <w:rPr>
                      <w:rFonts w:cs="Arial"/>
                      <w:i/>
                    </w:rPr>
                    <w:t>Neurosurgical Critical Care</w:t>
                  </w:r>
                </w:p>
              </w:tc>
            </w:tr>
            <w:tr w:rsidR="005A41AD" w:rsidRPr="00BC2D78" w14:paraId="7355F816" w14:textId="77777777" w:rsidTr="00765461">
              <w:trPr>
                <w:trHeight w:val="72"/>
                <w:jc w:val="center"/>
              </w:trPr>
              <w:tc>
                <w:tcPr>
                  <w:tcW w:w="3325" w:type="dxa"/>
                  <w:tcMar>
                    <w:top w:w="115" w:type="dxa"/>
                    <w:left w:w="115" w:type="dxa"/>
                    <w:bottom w:w="115" w:type="dxa"/>
                    <w:right w:w="115" w:type="dxa"/>
                  </w:tcMar>
                </w:tcPr>
                <w:p w14:paraId="1D97F381" w14:textId="77777777" w:rsidR="005A41AD" w:rsidRPr="00FD1743" w:rsidRDefault="005A41AD" w:rsidP="005B78E1">
                  <w:pPr>
                    <w:rPr>
                      <w:rFonts w:cs="Arial"/>
                    </w:rPr>
                  </w:pPr>
                  <w:r w:rsidRPr="00FD1743">
                    <w:rPr>
                      <w:rFonts w:cs="Arial"/>
                    </w:rPr>
                    <w:t>Burn</w:t>
                  </w:r>
                </w:p>
              </w:tc>
              <w:tc>
                <w:tcPr>
                  <w:tcW w:w="5670" w:type="dxa"/>
                  <w:tcMar>
                    <w:top w:w="115" w:type="dxa"/>
                    <w:left w:w="115" w:type="dxa"/>
                    <w:bottom w:w="115" w:type="dxa"/>
                    <w:right w:w="115" w:type="dxa"/>
                  </w:tcMar>
                </w:tcPr>
                <w:p w14:paraId="69656EBB" w14:textId="77777777" w:rsidR="005A41AD" w:rsidRPr="00FD1743" w:rsidRDefault="005A41AD" w:rsidP="005B78E1">
                  <w:pPr>
                    <w:rPr>
                      <w:rFonts w:cs="Arial"/>
                    </w:rPr>
                  </w:pPr>
                  <w:r w:rsidRPr="00FD1743">
                    <w:rPr>
                      <w:rFonts w:cs="Arial"/>
                      <w:i/>
                    </w:rPr>
                    <w:t>Burn Critical Care</w:t>
                  </w:r>
                </w:p>
              </w:tc>
            </w:tr>
            <w:tr w:rsidR="005A41AD" w:rsidRPr="00BC2D78" w14:paraId="06969557" w14:textId="77777777" w:rsidTr="00765461">
              <w:trPr>
                <w:trHeight w:val="72"/>
                <w:jc w:val="center"/>
              </w:trPr>
              <w:tc>
                <w:tcPr>
                  <w:tcW w:w="3325" w:type="dxa"/>
                  <w:tcMar>
                    <w:top w:w="115" w:type="dxa"/>
                    <w:left w:w="115" w:type="dxa"/>
                    <w:bottom w:w="115" w:type="dxa"/>
                    <w:right w:w="115" w:type="dxa"/>
                  </w:tcMar>
                </w:tcPr>
                <w:p w14:paraId="441B635F" w14:textId="77777777" w:rsidR="005A41AD" w:rsidRPr="00FD1743" w:rsidRDefault="005A41AD" w:rsidP="005B78E1">
                  <w:pPr>
                    <w:rPr>
                      <w:rFonts w:cs="Arial"/>
                    </w:rPr>
                  </w:pPr>
                  <w:r w:rsidRPr="00FD1743">
                    <w:rPr>
                      <w:rFonts w:cs="Arial"/>
                    </w:rPr>
                    <w:t>Trauma</w:t>
                  </w:r>
                </w:p>
              </w:tc>
              <w:tc>
                <w:tcPr>
                  <w:tcW w:w="5670" w:type="dxa"/>
                  <w:tcMar>
                    <w:top w:w="115" w:type="dxa"/>
                    <w:left w:w="115" w:type="dxa"/>
                    <w:bottom w:w="115" w:type="dxa"/>
                    <w:right w:w="115" w:type="dxa"/>
                  </w:tcMar>
                </w:tcPr>
                <w:p w14:paraId="69C00542" w14:textId="77777777" w:rsidR="005A41AD" w:rsidRPr="00FD1743" w:rsidRDefault="005A41AD" w:rsidP="005B78E1">
                  <w:pPr>
                    <w:rPr>
                      <w:rFonts w:cs="Arial"/>
                    </w:rPr>
                  </w:pPr>
                  <w:r w:rsidRPr="00FD1743">
                    <w:rPr>
                      <w:rFonts w:cs="Arial"/>
                      <w:i/>
                    </w:rPr>
                    <w:t>Trauma Critical Care</w:t>
                  </w:r>
                </w:p>
              </w:tc>
            </w:tr>
            <w:tr w:rsidR="005A41AD" w:rsidRPr="00BC2D78" w14:paraId="37E38F53" w14:textId="77777777" w:rsidTr="00765461">
              <w:trPr>
                <w:trHeight w:val="72"/>
                <w:jc w:val="center"/>
              </w:trPr>
              <w:tc>
                <w:tcPr>
                  <w:tcW w:w="3325" w:type="dxa"/>
                  <w:tcMar>
                    <w:top w:w="115" w:type="dxa"/>
                    <w:left w:w="115" w:type="dxa"/>
                    <w:bottom w:w="115" w:type="dxa"/>
                    <w:right w:w="115" w:type="dxa"/>
                  </w:tcMar>
                </w:tcPr>
                <w:p w14:paraId="59EBCE58" w14:textId="77777777" w:rsidR="005A41AD" w:rsidRPr="00FD1743" w:rsidRDefault="005A41AD" w:rsidP="005B78E1">
                  <w:pPr>
                    <w:rPr>
                      <w:rFonts w:cs="Arial"/>
                    </w:rPr>
                  </w:pPr>
                  <w:r w:rsidRPr="00FD1743">
                    <w:rPr>
                      <w:rFonts w:cs="Arial"/>
                    </w:rPr>
                    <w:t>NICU</w:t>
                  </w:r>
                  <w:r w:rsidR="00FB2DB9">
                    <w:rPr>
                      <w:rFonts w:cs="Arial"/>
                    </w:rPr>
                    <w:t xml:space="preserve"> II/III</w:t>
                  </w:r>
                </w:p>
              </w:tc>
              <w:tc>
                <w:tcPr>
                  <w:tcW w:w="5670" w:type="dxa"/>
                  <w:tcMar>
                    <w:top w:w="115" w:type="dxa"/>
                    <w:left w:w="115" w:type="dxa"/>
                    <w:bottom w:w="115" w:type="dxa"/>
                    <w:right w:w="115" w:type="dxa"/>
                  </w:tcMar>
                </w:tcPr>
                <w:p w14:paraId="4657F876" w14:textId="77777777" w:rsidR="005A41AD" w:rsidRPr="00E33FFE" w:rsidRDefault="005A41AD" w:rsidP="005B78E1">
                  <w:r w:rsidRPr="00C92DDE">
                    <w:rPr>
                      <w:rFonts w:cs="Arial"/>
                      <w:i/>
                    </w:rPr>
                    <w:t>Neonatal Critical Care</w:t>
                  </w:r>
                  <w:r>
                    <w:rPr>
                      <w:rFonts w:cs="Arial"/>
                      <w:i/>
                    </w:rPr>
                    <w:t xml:space="preserve"> (Level II/III)</w:t>
                  </w:r>
                </w:p>
              </w:tc>
            </w:tr>
            <w:tr w:rsidR="005A41AD" w:rsidRPr="00BC2D78" w14:paraId="37331818" w14:textId="77777777" w:rsidTr="00765461">
              <w:trPr>
                <w:trHeight w:val="72"/>
                <w:jc w:val="center"/>
              </w:trPr>
              <w:tc>
                <w:tcPr>
                  <w:tcW w:w="3325" w:type="dxa"/>
                  <w:tcMar>
                    <w:top w:w="115" w:type="dxa"/>
                    <w:left w:w="115" w:type="dxa"/>
                    <w:bottom w:w="115" w:type="dxa"/>
                    <w:right w:w="115" w:type="dxa"/>
                  </w:tcMar>
                </w:tcPr>
                <w:p w14:paraId="2FFE2F6E" w14:textId="77777777" w:rsidR="005A41AD" w:rsidRPr="00FD1743" w:rsidRDefault="00FB2DB9" w:rsidP="005B78E1">
                  <w:pPr>
                    <w:rPr>
                      <w:rFonts w:cs="Arial"/>
                    </w:rPr>
                  </w:pPr>
                  <w:r>
                    <w:rPr>
                      <w:rFonts w:cs="Arial"/>
                    </w:rPr>
                    <w:lastRenderedPageBreak/>
                    <w:t>NICU III</w:t>
                  </w:r>
                </w:p>
              </w:tc>
              <w:tc>
                <w:tcPr>
                  <w:tcW w:w="5670" w:type="dxa"/>
                  <w:tcMar>
                    <w:top w:w="115" w:type="dxa"/>
                    <w:left w:w="115" w:type="dxa"/>
                    <w:bottom w:w="115" w:type="dxa"/>
                    <w:right w:w="115" w:type="dxa"/>
                  </w:tcMar>
                </w:tcPr>
                <w:p w14:paraId="456E655A" w14:textId="77777777" w:rsidR="005A41AD" w:rsidRPr="00FD1743" w:rsidRDefault="005A41AD" w:rsidP="005B78E1">
                  <w:pPr>
                    <w:rPr>
                      <w:rFonts w:cs="Arial"/>
                    </w:rPr>
                  </w:pPr>
                  <w:r w:rsidRPr="00FD1743">
                    <w:rPr>
                      <w:rFonts w:cs="Arial"/>
                      <w:i/>
                    </w:rPr>
                    <w:t>Neonatal Critical Care</w:t>
                  </w:r>
                  <w:r w:rsidRPr="00FD1743" w:rsidDel="002F73B5">
                    <w:rPr>
                      <w:rFonts w:cs="Arial"/>
                    </w:rPr>
                    <w:t xml:space="preserve"> </w:t>
                  </w:r>
                  <w:r>
                    <w:rPr>
                      <w:rFonts w:cs="Arial"/>
                      <w:i/>
                    </w:rPr>
                    <w:t>(Level III)</w:t>
                  </w:r>
                </w:p>
              </w:tc>
            </w:tr>
          </w:tbl>
          <w:p w14:paraId="3E3027DC" w14:textId="77777777" w:rsidR="005A41AD" w:rsidRPr="00BC2D78" w:rsidRDefault="005A41AD" w:rsidP="005B78E1">
            <w:pPr>
              <w:rPr>
                <w:b/>
                <w:bCs/>
              </w:rPr>
            </w:pPr>
          </w:p>
        </w:tc>
      </w:tr>
      <w:tr w:rsidR="005A41AD" w:rsidRPr="00BC2D78" w14:paraId="59E03B2C" w14:textId="77777777" w:rsidTr="005B78E1">
        <w:trPr>
          <w:jc w:val="center"/>
        </w:trPr>
        <w:tc>
          <w:tcPr>
            <w:tcW w:w="9221" w:type="dxa"/>
          </w:tcPr>
          <w:p w14:paraId="42DBA616" w14:textId="77777777" w:rsidR="005A41AD" w:rsidRPr="00BC2D78" w:rsidRDefault="005A41AD" w:rsidP="007849B0">
            <w:pPr>
              <w:rPr>
                <w:b/>
              </w:rPr>
            </w:pPr>
            <w:r w:rsidRPr="00BC2D78">
              <w:rPr>
                <w:b/>
              </w:rPr>
              <w:lastRenderedPageBreak/>
              <w:t>Directions for using central</w:t>
            </w:r>
            <w:r w:rsidR="003A7DE0">
              <w:rPr>
                <w:b/>
              </w:rPr>
              <w:t xml:space="preserve"> </w:t>
            </w:r>
            <w:r w:rsidRPr="00BC2D78">
              <w:rPr>
                <w:b/>
              </w:rPr>
              <w:t>line</w:t>
            </w:r>
            <w:r w:rsidR="003A7DE0">
              <w:rPr>
                <w:b/>
              </w:rPr>
              <w:t>-</w:t>
            </w:r>
            <w:r w:rsidRPr="00BC2D78">
              <w:rPr>
                <w:b/>
              </w:rPr>
              <w:t>associated bloodstream infection (CLABSI) data reported to the Centers for Disease Control and Prevention/National Healthcare Safety Network (CDC/</w:t>
            </w:r>
            <w:r w:rsidR="007E3B9F">
              <w:rPr>
                <w:b/>
              </w:rPr>
              <w:t>NHSN) for completing question #9</w:t>
            </w:r>
            <w:r w:rsidRPr="008C3896">
              <w:rPr>
                <w:b/>
              </w:rPr>
              <w:t>:</w:t>
            </w:r>
          </w:p>
          <w:p w14:paraId="7F7F8117" w14:textId="77777777" w:rsidR="005A41AD" w:rsidRPr="00BC2D78" w:rsidRDefault="005A41AD" w:rsidP="007849B0"/>
          <w:p w14:paraId="59884D29" w14:textId="77777777" w:rsidR="005A41AD" w:rsidRPr="00BC2D78" w:rsidRDefault="005A41AD" w:rsidP="007849B0">
            <w:pPr>
              <w:autoSpaceDE w:val="0"/>
              <w:autoSpaceDN w:val="0"/>
              <w:adjustRightInd w:val="0"/>
            </w:pPr>
            <w:r>
              <w:t>Hospitals should</w:t>
            </w:r>
            <w:r w:rsidRPr="00BC2D78">
              <w:t xml:space="preserve"> use the central line</w:t>
            </w:r>
            <w:r w:rsidR="003A7DE0">
              <w:t>-</w:t>
            </w:r>
            <w:r w:rsidRPr="00BC2D78">
              <w:t xml:space="preserve">associated bloodstream infection (CLABSI) data they report to the Centers for Disease Control and Prevention/National Healthcare Safety Network (CDC/NHSN) in completing </w:t>
            </w:r>
            <w:r w:rsidRPr="008C3896">
              <w:t>co</w:t>
            </w:r>
            <w:r w:rsidR="0051634B">
              <w:t>lumns (a) and (b</w:t>
            </w:r>
            <w:r w:rsidR="007E3B9F">
              <w:t>) for question #9</w:t>
            </w:r>
            <w:r w:rsidRPr="008C3896">
              <w:t>.</w:t>
            </w:r>
            <w:r w:rsidRPr="00BC2D78">
              <w:t xml:space="preserve">   </w:t>
            </w:r>
          </w:p>
          <w:p w14:paraId="5D04F6D5" w14:textId="77777777" w:rsidR="005A41AD" w:rsidRPr="00BC2D78" w:rsidRDefault="005A41AD" w:rsidP="007849B0">
            <w:pPr>
              <w:rPr>
                <w:i/>
              </w:rPr>
            </w:pPr>
          </w:p>
          <w:p w14:paraId="227E3A86" w14:textId="77777777" w:rsidR="005A41AD" w:rsidRDefault="005A41AD" w:rsidP="007849B0">
            <w:r w:rsidRPr="00BC2D78">
              <w:t>Hospitals using CDC/NHSN data should report</w:t>
            </w:r>
            <w:r w:rsidR="0051634B">
              <w:t xml:space="preserve"> their denominators in column (a) and numerators in column (b</w:t>
            </w:r>
            <w:r w:rsidRPr="00BC2D78">
              <w:t xml:space="preserve">).  Actual rates </w:t>
            </w:r>
            <w:r w:rsidR="00A8091B">
              <w:t xml:space="preserve">and standardized infection ratios (SIRs) </w:t>
            </w:r>
            <w:r w:rsidRPr="00BC2D78">
              <w:t>will be calculated by Leapfrog.</w:t>
            </w:r>
          </w:p>
          <w:p w14:paraId="5F97E4CB" w14:textId="77777777" w:rsidR="005A41AD" w:rsidRDefault="005A41AD" w:rsidP="007849B0"/>
          <w:p w14:paraId="61312FD6" w14:textId="77777777" w:rsidR="005A41AD" w:rsidRPr="00BC2D78" w:rsidRDefault="005A41AD" w:rsidP="007849B0">
            <w:r w:rsidRPr="0072379E">
              <w:rPr>
                <w:b/>
              </w:rPr>
              <w:t>Hospitals that do not report CLABSI data to CDC/NHSN</w:t>
            </w:r>
            <w:r>
              <w:rPr>
                <w:b/>
              </w:rPr>
              <w:t xml:space="preserve"> should </w:t>
            </w:r>
            <w:r w:rsidR="005C2B38" w:rsidRPr="005C2B38">
              <w:rPr>
                <w:b/>
                <w:snapToGrid w:val="0"/>
              </w:rPr>
              <w:t xml:space="preserve">follow the protocols and specifications outlined by the CDC/NHSN here: </w:t>
            </w:r>
            <w:hyperlink r:id="rId171" w:history="1">
              <w:r w:rsidR="005C2B38" w:rsidRPr="005C2B38">
                <w:rPr>
                  <w:rStyle w:val="Hyperlink"/>
                  <w:b/>
                  <w:snapToGrid w:val="0"/>
                </w:rPr>
                <w:t>http://www.cdc.gov/nhsn/acute-care-hospital/clabsi/index.html</w:t>
              </w:r>
            </w:hyperlink>
            <w:r w:rsidR="005C2B38" w:rsidRPr="005C2B38">
              <w:rPr>
                <w:b/>
                <w:snapToGrid w:val="0"/>
              </w:rPr>
              <w:t>.  Hospitals that do not use the CDC/NHSN measure specifications should report “no” to question #3</w:t>
            </w:r>
            <w:r w:rsidR="005C2B38">
              <w:rPr>
                <w:b/>
                <w:snapToGrid w:val="0"/>
              </w:rPr>
              <w:t xml:space="preserve">, and </w:t>
            </w:r>
            <w:r w:rsidR="00D75C80">
              <w:rPr>
                <w:b/>
                <w:snapToGrid w:val="0"/>
              </w:rPr>
              <w:t>move on to question #4.</w:t>
            </w:r>
          </w:p>
          <w:p w14:paraId="37051AC1" w14:textId="77777777" w:rsidR="005A41AD" w:rsidRPr="00BC2D78" w:rsidRDefault="005A41AD" w:rsidP="007849B0"/>
        </w:tc>
      </w:tr>
    </w:tbl>
    <w:p w14:paraId="0A4AF7C1" w14:textId="77777777" w:rsidR="005A41AD" w:rsidRDefault="005A41AD" w:rsidP="005A41AD"/>
    <w:p w14:paraId="790F68BF" w14:textId="77777777" w:rsidR="005A41AD" w:rsidRPr="00BC2D78" w:rsidRDefault="005A41AD" w:rsidP="005A41AD">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4"/>
      </w:tblGrid>
      <w:tr w:rsidR="005A41AD" w:rsidRPr="00BC2D78" w14:paraId="2C6955D8" w14:textId="77777777" w:rsidTr="005B78E1">
        <w:trPr>
          <w:jc w:val="center"/>
        </w:trPr>
        <w:tc>
          <w:tcPr>
            <w:tcW w:w="9221" w:type="dxa"/>
            <w:shd w:val="clear" w:color="auto" w:fill="CCCCCC"/>
          </w:tcPr>
          <w:p w14:paraId="5F326C15" w14:textId="77777777" w:rsidR="005A41AD" w:rsidRPr="00BC2D78" w:rsidRDefault="005A41AD" w:rsidP="00BD6AEC">
            <w:pPr>
              <w:pStyle w:val="Heading44"/>
            </w:pPr>
            <w:r>
              <w:t xml:space="preserve">Incidence Rate of Catheter-associated Urinary Tract Infections </w:t>
            </w:r>
          </w:p>
        </w:tc>
      </w:tr>
      <w:tr w:rsidR="005A41AD" w:rsidRPr="00BC2D78" w14:paraId="0730C59E" w14:textId="77777777" w:rsidTr="005B78E1">
        <w:trPr>
          <w:jc w:val="center"/>
        </w:trPr>
        <w:tc>
          <w:tcPr>
            <w:tcW w:w="9221" w:type="dxa"/>
          </w:tcPr>
          <w:p w14:paraId="600F0EBE" w14:textId="77777777" w:rsidR="005A41AD" w:rsidRPr="009C6B41" w:rsidRDefault="005A41AD" w:rsidP="007849B0">
            <w:pPr>
              <w:autoSpaceDE w:val="0"/>
              <w:autoSpaceDN w:val="0"/>
              <w:adjustRightInd w:val="0"/>
            </w:pPr>
            <w:r w:rsidRPr="00BC2D78">
              <w:rPr>
                <w:b/>
              </w:rPr>
              <w:t xml:space="preserve">Source: </w:t>
            </w:r>
            <w:r w:rsidRPr="009C6B41">
              <w:t>National Quality Forum (NQF) #0138</w:t>
            </w:r>
          </w:p>
          <w:p w14:paraId="3CB56F9B" w14:textId="77777777" w:rsidR="005A41AD" w:rsidRDefault="005A41AD" w:rsidP="007849B0">
            <w:pPr>
              <w:rPr>
                <w:b/>
                <w:snapToGrid w:val="0"/>
              </w:rPr>
            </w:pPr>
          </w:p>
          <w:p w14:paraId="17876C52" w14:textId="77777777" w:rsidR="00335791" w:rsidRPr="00BC2D78" w:rsidRDefault="00335791" w:rsidP="00335791">
            <w:pPr>
              <w:autoSpaceDE w:val="0"/>
              <w:autoSpaceDN w:val="0"/>
              <w:adjustRightInd w:val="0"/>
              <w:rPr>
                <w:i/>
              </w:rPr>
            </w:pPr>
            <w:r w:rsidRPr="00CE6583">
              <w:rPr>
                <w:i/>
              </w:rPr>
              <w:t xml:space="preserve">Rates will be stratified by ICU type – medical, surgical, medical/surgical, pediatric medical, pediatric medical/surgical, </w:t>
            </w:r>
            <w:r>
              <w:rPr>
                <w:i/>
              </w:rPr>
              <w:t>pediatric cardiothoracic, medical cardiac</w:t>
            </w:r>
            <w:r w:rsidRPr="00CE6583">
              <w:rPr>
                <w:i/>
              </w:rPr>
              <w:t xml:space="preserve">, </w:t>
            </w:r>
            <w:r>
              <w:rPr>
                <w:i/>
              </w:rPr>
              <w:t xml:space="preserve">respiratory, </w:t>
            </w:r>
            <w:r w:rsidRPr="00CE6583">
              <w:rPr>
                <w:i/>
              </w:rPr>
              <w:t>surgical cardiothoracic, neurolog</w:t>
            </w:r>
            <w:r>
              <w:rPr>
                <w:i/>
              </w:rPr>
              <w:t>ic</w:t>
            </w:r>
            <w:r w:rsidRPr="00CE6583">
              <w:rPr>
                <w:i/>
              </w:rPr>
              <w:t>,</w:t>
            </w:r>
            <w:r>
              <w:rPr>
                <w:i/>
              </w:rPr>
              <w:t xml:space="preserve"> </w:t>
            </w:r>
            <w:r w:rsidRPr="00CE6583">
              <w:rPr>
                <w:i/>
              </w:rPr>
              <w:t xml:space="preserve">neurosurgical, burn, </w:t>
            </w:r>
            <w:r w:rsidR="00BD6AEC">
              <w:rPr>
                <w:i/>
              </w:rPr>
              <w:t xml:space="preserve">and </w:t>
            </w:r>
            <w:r w:rsidRPr="00831C70">
              <w:rPr>
                <w:i/>
              </w:rPr>
              <w:t>trauma</w:t>
            </w:r>
            <w:r w:rsidR="00831C70" w:rsidRPr="00831C70">
              <w:rPr>
                <w:i/>
              </w:rPr>
              <w:t xml:space="preserve"> (</w:t>
            </w:r>
            <w:r w:rsidRPr="00831C70">
              <w:rPr>
                <w:i/>
              </w:rPr>
              <w:t>see below for a table of ICU types).</w:t>
            </w:r>
          </w:p>
          <w:p w14:paraId="4153458E" w14:textId="77777777" w:rsidR="00335791" w:rsidRPr="00BC2D78" w:rsidRDefault="00335791" w:rsidP="007849B0">
            <w:pPr>
              <w:rPr>
                <w:b/>
                <w:snapToGrid w:val="0"/>
              </w:rPr>
            </w:pPr>
          </w:p>
          <w:p w14:paraId="32A0222B" w14:textId="77777777" w:rsidR="00870322" w:rsidRPr="002224C9" w:rsidRDefault="00870322" w:rsidP="00870322">
            <w:pPr>
              <w:rPr>
                <w:b/>
                <w:snapToGrid w:val="0"/>
              </w:rPr>
            </w:pPr>
            <w:r w:rsidRPr="00BC2D78">
              <w:rPr>
                <w:b/>
                <w:snapToGrid w:val="0"/>
              </w:rPr>
              <w:t>Reporting Time Period</w:t>
            </w:r>
            <w:r w:rsidRPr="002224C9">
              <w:rPr>
                <w:b/>
                <w:snapToGrid w:val="0"/>
              </w:rPr>
              <w:t>: 12 months</w:t>
            </w:r>
          </w:p>
          <w:p w14:paraId="444B8D55" w14:textId="77777777" w:rsidR="00870322" w:rsidRPr="006429C6" w:rsidRDefault="00870322" w:rsidP="00ED58C1">
            <w:pPr>
              <w:pStyle w:val="ListParagraph"/>
              <w:numPr>
                <w:ilvl w:val="0"/>
                <w:numId w:val="17"/>
              </w:numPr>
              <w:rPr>
                <w:i/>
                <w:snapToGrid w:val="0"/>
              </w:rPr>
            </w:pPr>
            <w:r w:rsidRPr="006429C6">
              <w:rPr>
                <w:snapToGrid w:val="0"/>
              </w:rPr>
              <w:t>Surveys submitted prior to September 1, 2016: 01/01/2015 – 12/30/2015</w:t>
            </w:r>
          </w:p>
          <w:p w14:paraId="2179DB2F" w14:textId="77777777" w:rsidR="00870322" w:rsidRPr="006429C6" w:rsidRDefault="00870322" w:rsidP="00ED58C1">
            <w:pPr>
              <w:pStyle w:val="ListParagraph"/>
              <w:numPr>
                <w:ilvl w:val="0"/>
                <w:numId w:val="17"/>
              </w:numPr>
              <w:rPr>
                <w:i/>
                <w:snapToGrid w:val="0"/>
              </w:rPr>
            </w:pPr>
            <w:r w:rsidRPr="006429C6">
              <w:rPr>
                <w:snapToGrid w:val="0"/>
              </w:rPr>
              <w:t>Surveys (re)submitted on or after September 1, 2016: 0</w:t>
            </w:r>
            <w:r w:rsidR="003B13D4">
              <w:rPr>
                <w:snapToGrid w:val="0"/>
              </w:rPr>
              <w:t>7</w:t>
            </w:r>
            <w:r w:rsidRPr="006429C6">
              <w:rPr>
                <w:snapToGrid w:val="0"/>
              </w:rPr>
              <w:t>/01/2015 – 06/30/2016</w:t>
            </w:r>
          </w:p>
          <w:p w14:paraId="5ADA63BA" w14:textId="77777777" w:rsidR="005A41AD" w:rsidRPr="00BC2D78" w:rsidRDefault="005A41AD" w:rsidP="00870322">
            <w:pPr>
              <w:ind w:left="720"/>
            </w:pPr>
          </w:p>
        </w:tc>
      </w:tr>
      <w:tr w:rsidR="005A41AD" w:rsidRPr="00BC2D78" w14:paraId="4388C1CF" w14:textId="77777777" w:rsidTr="005B78E1">
        <w:trPr>
          <w:jc w:val="center"/>
        </w:trPr>
        <w:tc>
          <w:tcPr>
            <w:tcW w:w="9994" w:type="dxa"/>
          </w:tcPr>
          <w:p w14:paraId="7519F937" w14:textId="77777777" w:rsidR="005A41AD" w:rsidRPr="00BC2D78" w:rsidRDefault="005A41AD" w:rsidP="007849B0">
            <w:pPr>
              <w:rPr>
                <w:b/>
              </w:rPr>
            </w:pPr>
            <w:r w:rsidRPr="00BC2D78">
              <w:rPr>
                <w:b/>
              </w:rPr>
              <w:t>Definition of ICU Types</w:t>
            </w:r>
          </w:p>
          <w:p w14:paraId="007AA361" w14:textId="77777777" w:rsidR="005A41AD" w:rsidRPr="00BC2D78" w:rsidRDefault="005A41AD" w:rsidP="007849B0"/>
          <w:p w14:paraId="7BDA5F08" w14:textId="77777777" w:rsidR="005A41AD" w:rsidRDefault="005A41AD" w:rsidP="007849B0">
            <w:r w:rsidRPr="00BC2D78">
              <w:t xml:space="preserve">Below is a list of those ICU types for which hospitals </w:t>
            </w:r>
            <w:r>
              <w:t>should report their catheter-associated urinary tract infection</w:t>
            </w:r>
            <w:r w:rsidR="00DC0AE9">
              <w:t xml:space="preserve"> (CAUTI)</w:t>
            </w:r>
            <w:r w:rsidRPr="00BC2D78">
              <w:t xml:space="preserve"> data to the survey</w:t>
            </w:r>
            <w:r>
              <w:t>.</w:t>
            </w:r>
          </w:p>
          <w:p w14:paraId="037CA8DA" w14:textId="77777777" w:rsidR="005B78E1" w:rsidRPr="00BC2D78" w:rsidRDefault="005B78E1" w:rsidP="005B78E1"/>
          <w:p w14:paraId="60666446" w14:textId="77777777" w:rsidR="005B78E1" w:rsidRPr="00286F83" w:rsidRDefault="005B78E1" w:rsidP="005B78E1">
            <w:r>
              <w:t xml:space="preserve">Hospitals should only report on applicable ICU types listed above. If an ICU type is not listed (i.e. Level II NICU), do not include those line days or infections in your survey responses. The ICU types that you report on the survey should be the same as those you report to the NHSN using the NHSN descriptions and location mapping instructions: </w:t>
            </w:r>
            <w:hyperlink r:id="rId172" w:history="1">
              <w:r w:rsidRPr="004A4015">
                <w:rPr>
                  <w:rStyle w:val="Hyperlink"/>
                  <w:rFonts w:cs="Arial"/>
                </w:rPr>
                <w:t>http://www.cdc.gov/nhsn/PDFs/pscManual/15LocationsDescriptions_current.pdf</w:t>
              </w:r>
            </w:hyperlink>
            <w:r w:rsidRPr="004A4015">
              <w:rPr>
                <w:rFonts w:cs="Arial"/>
              </w:rPr>
              <w:t xml:space="preserve"> </w:t>
            </w:r>
          </w:p>
          <w:p w14:paraId="5321AA4B" w14:textId="77777777" w:rsidR="005A41AD" w:rsidRPr="00BC2D78" w:rsidRDefault="005A41AD" w:rsidP="007849B0">
            <w:pPr>
              <w:rPr>
                <w:lang w:val="fr-FR"/>
              </w:rPr>
            </w:pPr>
            <w:r>
              <w:t xml:space="preserve"> </w:t>
            </w:r>
          </w:p>
          <w:p w14:paraId="4D8EE96B" w14:textId="77777777" w:rsidR="005A41AD" w:rsidRPr="00BC2D78" w:rsidRDefault="005A41AD" w:rsidP="007849B0">
            <w:pPr>
              <w:rPr>
                <w:lang w:val="fr-F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4447"/>
            </w:tblGrid>
            <w:tr w:rsidR="005A41AD" w:rsidRPr="00BC2D78" w14:paraId="37AEF54F" w14:textId="77777777" w:rsidTr="005B78E1">
              <w:trPr>
                <w:tblHeader/>
                <w:jc w:val="center"/>
              </w:trPr>
              <w:tc>
                <w:tcPr>
                  <w:tcW w:w="4548" w:type="dxa"/>
                  <w:tcMar>
                    <w:top w:w="58" w:type="dxa"/>
                    <w:left w:w="115" w:type="dxa"/>
                    <w:bottom w:w="58" w:type="dxa"/>
                    <w:right w:w="115" w:type="dxa"/>
                  </w:tcMar>
                </w:tcPr>
                <w:p w14:paraId="7E9D9678" w14:textId="77777777" w:rsidR="005A41AD" w:rsidRPr="00BC2D78" w:rsidRDefault="005A41AD" w:rsidP="007849B0">
                  <w:pPr>
                    <w:jc w:val="center"/>
                    <w:rPr>
                      <w:b/>
                    </w:rPr>
                  </w:pPr>
                  <w:r w:rsidRPr="00BC2D78">
                    <w:rPr>
                      <w:b/>
                    </w:rPr>
                    <w:t>Survey ICU Name</w:t>
                  </w:r>
                </w:p>
              </w:tc>
              <w:tc>
                <w:tcPr>
                  <w:tcW w:w="4447" w:type="dxa"/>
                  <w:tcMar>
                    <w:top w:w="58" w:type="dxa"/>
                    <w:left w:w="115" w:type="dxa"/>
                    <w:bottom w:w="58" w:type="dxa"/>
                    <w:right w:w="115" w:type="dxa"/>
                  </w:tcMar>
                </w:tcPr>
                <w:p w14:paraId="7EA2694F" w14:textId="77777777" w:rsidR="005A41AD" w:rsidRPr="00BC2D78" w:rsidRDefault="005A41AD" w:rsidP="007849B0">
                  <w:pPr>
                    <w:jc w:val="center"/>
                    <w:rPr>
                      <w:b/>
                    </w:rPr>
                  </w:pPr>
                  <w:r w:rsidRPr="00BC2D78">
                    <w:rPr>
                      <w:b/>
                      <w:i/>
                    </w:rPr>
                    <w:t>CDC ICU Na</w:t>
                  </w:r>
                  <w:r w:rsidRPr="00BC2D78">
                    <w:rPr>
                      <w:b/>
                    </w:rPr>
                    <w:t>me</w:t>
                  </w:r>
                </w:p>
              </w:tc>
            </w:tr>
            <w:tr w:rsidR="005A41AD" w:rsidRPr="00BC2D78" w14:paraId="60D47728" w14:textId="77777777" w:rsidTr="005B78E1">
              <w:trPr>
                <w:jc w:val="center"/>
              </w:trPr>
              <w:tc>
                <w:tcPr>
                  <w:tcW w:w="4548" w:type="dxa"/>
                  <w:tcMar>
                    <w:top w:w="58" w:type="dxa"/>
                    <w:left w:w="115" w:type="dxa"/>
                    <w:bottom w:w="58" w:type="dxa"/>
                    <w:right w:w="115" w:type="dxa"/>
                  </w:tcMar>
                  <w:vAlign w:val="center"/>
                </w:tcPr>
                <w:p w14:paraId="4E05AA0B" w14:textId="77777777" w:rsidR="005A41AD" w:rsidRPr="00BC2D78" w:rsidRDefault="005A41AD" w:rsidP="007849B0">
                  <w:r w:rsidRPr="00BC2D78">
                    <w:t>Medical</w:t>
                  </w:r>
                </w:p>
              </w:tc>
              <w:tc>
                <w:tcPr>
                  <w:tcW w:w="4447" w:type="dxa"/>
                  <w:tcMar>
                    <w:top w:w="58" w:type="dxa"/>
                    <w:left w:w="115" w:type="dxa"/>
                    <w:bottom w:w="58" w:type="dxa"/>
                    <w:right w:w="115" w:type="dxa"/>
                  </w:tcMar>
                  <w:vAlign w:val="center"/>
                </w:tcPr>
                <w:p w14:paraId="4A5959BD" w14:textId="77777777" w:rsidR="005A41AD" w:rsidRPr="00BC2D78" w:rsidRDefault="005A41AD" w:rsidP="007849B0">
                  <w:r w:rsidRPr="009B7BEF">
                    <w:rPr>
                      <w:i/>
                    </w:rPr>
                    <w:t>Medical Critical Car</w:t>
                  </w:r>
                  <w:r w:rsidRPr="00BC2D78">
                    <w:t>e</w:t>
                  </w:r>
                </w:p>
              </w:tc>
            </w:tr>
            <w:tr w:rsidR="005A41AD" w:rsidRPr="00BC2D78" w14:paraId="34DC871F" w14:textId="77777777" w:rsidTr="005B78E1">
              <w:trPr>
                <w:jc w:val="center"/>
              </w:trPr>
              <w:tc>
                <w:tcPr>
                  <w:tcW w:w="4548" w:type="dxa"/>
                  <w:tcMar>
                    <w:top w:w="58" w:type="dxa"/>
                    <w:left w:w="115" w:type="dxa"/>
                    <w:bottom w:w="58" w:type="dxa"/>
                    <w:right w:w="115" w:type="dxa"/>
                  </w:tcMar>
                  <w:vAlign w:val="center"/>
                </w:tcPr>
                <w:p w14:paraId="51EC2F05" w14:textId="77777777" w:rsidR="005A41AD" w:rsidRPr="00BC2D78" w:rsidRDefault="005A41AD" w:rsidP="007849B0">
                  <w:r w:rsidRPr="00BC2D78">
                    <w:t>Surgical</w:t>
                  </w:r>
                </w:p>
              </w:tc>
              <w:tc>
                <w:tcPr>
                  <w:tcW w:w="4447" w:type="dxa"/>
                  <w:tcMar>
                    <w:top w:w="58" w:type="dxa"/>
                    <w:left w:w="115" w:type="dxa"/>
                    <w:bottom w:w="58" w:type="dxa"/>
                    <w:right w:w="115" w:type="dxa"/>
                  </w:tcMar>
                  <w:vAlign w:val="center"/>
                </w:tcPr>
                <w:p w14:paraId="6CD4A576" w14:textId="77777777" w:rsidR="005A41AD" w:rsidRPr="00BC2D78" w:rsidRDefault="005A41AD" w:rsidP="007849B0">
                  <w:r w:rsidRPr="009B7BEF">
                    <w:rPr>
                      <w:i/>
                    </w:rPr>
                    <w:t>Surgical Critical Care</w:t>
                  </w:r>
                </w:p>
              </w:tc>
            </w:tr>
            <w:tr w:rsidR="005A41AD" w:rsidRPr="00BC2D78" w14:paraId="14A8EC37" w14:textId="77777777" w:rsidTr="005B78E1">
              <w:trPr>
                <w:trHeight w:val="88"/>
                <w:jc w:val="center"/>
              </w:trPr>
              <w:tc>
                <w:tcPr>
                  <w:tcW w:w="4548" w:type="dxa"/>
                  <w:tcMar>
                    <w:top w:w="58" w:type="dxa"/>
                    <w:left w:w="115" w:type="dxa"/>
                    <w:bottom w:w="58" w:type="dxa"/>
                    <w:right w:w="115" w:type="dxa"/>
                  </w:tcMar>
                  <w:vAlign w:val="center"/>
                </w:tcPr>
                <w:p w14:paraId="0B386F6E" w14:textId="77777777" w:rsidR="005A41AD" w:rsidRPr="00BC2D78" w:rsidRDefault="005A41AD" w:rsidP="007849B0">
                  <w:r w:rsidRPr="00BC2D78">
                    <w:t>Medical/Surgical</w:t>
                  </w:r>
                </w:p>
              </w:tc>
              <w:tc>
                <w:tcPr>
                  <w:tcW w:w="4447" w:type="dxa"/>
                  <w:tcMar>
                    <w:top w:w="58" w:type="dxa"/>
                    <w:left w:w="115" w:type="dxa"/>
                    <w:bottom w:w="58" w:type="dxa"/>
                    <w:right w:w="115" w:type="dxa"/>
                  </w:tcMar>
                  <w:vAlign w:val="center"/>
                </w:tcPr>
                <w:p w14:paraId="0F178729" w14:textId="77777777" w:rsidR="005A41AD" w:rsidRPr="00BC2D78" w:rsidRDefault="005A41AD" w:rsidP="007849B0">
                  <w:pPr>
                    <w:ind w:right="-288"/>
                  </w:pPr>
                  <w:r w:rsidRPr="009B7BEF">
                    <w:rPr>
                      <w:i/>
                    </w:rPr>
                    <w:t>Medical/Surgical Critical Care</w:t>
                  </w:r>
                </w:p>
              </w:tc>
            </w:tr>
            <w:tr w:rsidR="005A41AD" w:rsidRPr="00BC2D78" w14:paraId="0F95DC63" w14:textId="77777777" w:rsidTr="005B78E1">
              <w:trPr>
                <w:jc w:val="center"/>
              </w:trPr>
              <w:tc>
                <w:tcPr>
                  <w:tcW w:w="4548" w:type="dxa"/>
                  <w:tcMar>
                    <w:top w:w="58" w:type="dxa"/>
                    <w:left w:w="115" w:type="dxa"/>
                    <w:bottom w:w="58" w:type="dxa"/>
                    <w:right w:w="115" w:type="dxa"/>
                  </w:tcMar>
                  <w:vAlign w:val="center"/>
                </w:tcPr>
                <w:p w14:paraId="2F7AB5ED" w14:textId="77777777" w:rsidR="005A41AD" w:rsidRPr="00BC2D78" w:rsidRDefault="005A41AD" w:rsidP="007849B0">
                  <w:r w:rsidRPr="00BC2D78">
                    <w:t xml:space="preserve">Pediatric Medical </w:t>
                  </w:r>
                </w:p>
              </w:tc>
              <w:tc>
                <w:tcPr>
                  <w:tcW w:w="4447" w:type="dxa"/>
                  <w:tcMar>
                    <w:top w:w="58" w:type="dxa"/>
                    <w:left w:w="115" w:type="dxa"/>
                    <w:bottom w:w="58" w:type="dxa"/>
                    <w:right w:w="115" w:type="dxa"/>
                  </w:tcMar>
                  <w:vAlign w:val="center"/>
                </w:tcPr>
                <w:p w14:paraId="11A20491" w14:textId="77777777" w:rsidR="005A41AD" w:rsidRPr="00BC2D78" w:rsidRDefault="005A41AD" w:rsidP="007849B0">
                  <w:r w:rsidRPr="009B7BEF">
                    <w:rPr>
                      <w:i/>
                    </w:rPr>
                    <w:t>Pediatric Medical Critical Care</w:t>
                  </w:r>
                </w:p>
              </w:tc>
            </w:tr>
            <w:tr w:rsidR="005A41AD" w:rsidRPr="00BC2D78" w14:paraId="78F9FEBF" w14:textId="77777777" w:rsidTr="005B78E1">
              <w:trPr>
                <w:jc w:val="center"/>
              </w:trPr>
              <w:tc>
                <w:tcPr>
                  <w:tcW w:w="4548" w:type="dxa"/>
                  <w:tcMar>
                    <w:top w:w="58" w:type="dxa"/>
                    <w:left w:w="115" w:type="dxa"/>
                    <w:bottom w:w="58" w:type="dxa"/>
                    <w:right w:w="115" w:type="dxa"/>
                  </w:tcMar>
                  <w:vAlign w:val="center"/>
                </w:tcPr>
                <w:p w14:paraId="03346DCD" w14:textId="77777777" w:rsidR="005A41AD" w:rsidRPr="00BC2D78" w:rsidRDefault="005A41AD" w:rsidP="007849B0">
                  <w:r w:rsidRPr="00BC2D78">
                    <w:t>Pediatric Medical/Surgical</w:t>
                  </w:r>
                </w:p>
              </w:tc>
              <w:tc>
                <w:tcPr>
                  <w:tcW w:w="4447" w:type="dxa"/>
                  <w:tcMar>
                    <w:top w:w="58" w:type="dxa"/>
                    <w:left w:w="115" w:type="dxa"/>
                    <w:bottom w:w="58" w:type="dxa"/>
                    <w:right w:w="115" w:type="dxa"/>
                  </w:tcMar>
                  <w:vAlign w:val="center"/>
                </w:tcPr>
                <w:p w14:paraId="0D650EEB" w14:textId="77777777" w:rsidR="005A41AD" w:rsidRPr="00BC2D78" w:rsidRDefault="005A41AD" w:rsidP="007849B0">
                  <w:r w:rsidRPr="009B7BEF">
                    <w:rPr>
                      <w:i/>
                    </w:rPr>
                    <w:t>Pediatric Medical/Surgical Critical Care</w:t>
                  </w:r>
                </w:p>
              </w:tc>
            </w:tr>
            <w:tr w:rsidR="005A41AD" w:rsidRPr="00BC2D78" w14:paraId="44AEDE77" w14:textId="77777777" w:rsidTr="005B78E1">
              <w:trPr>
                <w:jc w:val="center"/>
              </w:trPr>
              <w:tc>
                <w:tcPr>
                  <w:tcW w:w="4548" w:type="dxa"/>
                  <w:tcMar>
                    <w:top w:w="58" w:type="dxa"/>
                    <w:left w:w="115" w:type="dxa"/>
                    <w:bottom w:w="58" w:type="dxa"/>
                    <w:right w:w="115" w:type="dxa"/>
                  </w:tcMar>
                  <w:vAlign w:val="center"/>
                </w:tcPr>
                <w:p w14:paraId="29AEF121" w14:textId="77777777" w:rsidR="005A41AD" w:rsidRPr="009B7BEF" w:rsidRDefault="005A41AD" w:rsidP="007849B0">
                  <w:pPr>
                    <w:rPr>
                      <w:i/>
                    </w:rPr>
                  </w:pPr>
                  <w:r>
                    <w:t xml:space="preserve">Pediatric Cardiothoracic </w:t>
                  </w:r>
                </w:p>
              </w:tc>
              <w:tc>
                <w:tcPr>
                  <w:tcW w:w="4447" w:type="dxa"/>
                  <w:tcMar>
                    <w:top w:w="58" w:type="dxa"/>
                    <w:left w:w="115" w:type="dxa"/>
                    <w:bottom w:w="58" w:type="dxa"/>
                    <w:right w:w="115" w:type="dxa"/>
                  </w:tcMar>
                  <w:vAlign w:val="center"/>
                </w:tcPr>
                <w:p w14:paraId="37654FB0" w14:textId="77777777" w:rsidR="005A41AD" w:rsidRPr="005A4D09" w:rsidRDefault="005A41AD" w:rsidP="007849B0">
                  <w:pPr>
                    <w:pStyle w:val="Default"/>
                    <w:rPr>
                      <w:rFonts w:cs="Arial"/>
                    </w:rPr>
                  </w:pPr>
                  <w:r w:rsidRPr="00167E19">
                    <w:rPr>
                      <w:rFonts w:ascii="Arial" w:hAnsi="Arial" w:cs="Arial"/>
                      <w:i/>
                      <w:sz w:val="20"/>
                      <w:szCs w:val="20"/>
                    </w:rPr>
                    <w:t>Pediatric Cardiothoracic Critical Care</w:t>
                  </w:r>
                </w:p>
              </w:tc>
            </w:tr>
            <w:tr w:rsidR="005A41AD" w:rsidRPr="00BC2D78" w14:paraId="5CA87CC2" w14:textId="77777777" w:rsidTr="005B78E1">
              <w:trPr>
                <w:trHeight w:val="106"/>
                <w:jc w:val="center"/>
              </w:trPr>
              <w:tc>
                <w:tcPr>
                  <w:tcW w:w="4548" w:type="dxa"/>
                  <w:tcMar>
                    <w:top w:w="58" w:type="dxa"/>
                    <w:left w:w="115" w:type="dxa"/>
                    <w:bottom w:w="58" w:type="dxa"/>
                    <w:right w:w="115" w:type="dxa"/>
                  </w:tcMar>
                  <w:vAlign w:val="center"/>
                </w:tcPr>
                <w:p w14:paraId="039958AC" w14:textId="77777777" w:rsidR="005A41AD" w:rsidRPr="00BC2D78" w:rsidRDefault="008241A1" w:rsidP="007849B0">
                  <w:r>
                    <w:t>Medical Cardiac</w:t>
                  </w:r>
                </w:p>
              </w:tc>
              <w:tc>
                <w:tcPr>
                  <w:tcW w:w="4447" w:type="dxa"/>
                  <w:tcMar>
                    <w:top w:w="58" w:type="dxa"/>
                    <w:left w:w="115" w:type="dxa"/>
                    <w:bottom w:w="58" w:type="dxa"/>
                    <w:right w:w="115" w:type="dxa"/>
                  </w:tcMar>
                  <w:vAlign w:val="center"/>
                </w:tcPr>
                <w:p w14:paraId="2CEB5F01" w14:textId="77777777" w:rsidR="005A41AD" w:rsidRPr="00BC2D78" w:rsidRDefault="005A41AD" w:rsidP="007849B0">
                  <w:r w:rsidRPr="009B7BEF">
                    <w:rPr>
                      <w:i/>
                    </w:rPr>
                    <w:t>Medical Cardiac Critical Care</w:t>
                  </w:r>
                </w:p>
              </w:tc>
            </w:tr>
            <w:tr w:rsidR="008241A1" w:rsidRPr="00BC2D78" w14:paraId="44317A2E" w14:textId="77777777" w:rsidTr="005B78E1">
              <w:trPr>
                <w:jc w:val="center"/>
              </w:trPr>
              <w:tc>
                <w:tcPr>
                  <w:tcW w:w="4548" w:type="dxa"/>
                  <w:tcMar>
                    <w:top w:w="58" w:type="dxa"/>
                    <w:left w:w="115" w:type="dxa"/>
                    <w:bottom w:w="58" w:type="dxa"/>
                    <w:right w:w="115" w:type="dxa"/>
                  </w:tcMar>
                  <w:vAlign w:val="center"/>
                </w:tcPr>
                <w:p w14:paraId="46C6FEAF" w14:textId="77777777" w:rsidR="008241A1" w:rsidRPr="00BC2D78" w:rsidRDefault="008241A1" w:rsidP="007849B0">
                  <w:r>
                    <w:lastRenderedPageBreak/>
                    <w:t>Respiratory</w:t>
                  </w:r>
                </w:p>
              </w:tc>
              <w:tc>
                <w:tcPr>
                  <w:tcW w:w="4447" w:type="dxa"/>
                  <w:tcMar>
                    <w:top w:w="58" w:type="dxa"/>
                    <w:left w:w="115" w:type="dxa"/>
                    <w:bottom w:w="58" w:type="dxa"/>
                    <w:right w:w="115" w:type="dxa"/>
                  </w:tcMar>
                  <w:vAlign w:val="center"/>
                </w:tcPr>
                <w:p w14:paraId="5B25621B" w14:textId="77777777" w:rsidR="008241A1" w:rsidRPr="009B7BEF" w:rsidRDefault="008241A1" w:rsidP="007849B0">
                  <w:pPr>
                    <w:rPr>
                      <w:i/>
                    </w:rPr>
                  </w:pPr>
                  <w:r>
                    <w:rPr>
                      <w:i/>
                    </w:rPr>
                    <w:t>Respiratory Critical Care</w:t>
                  </w:r>
                </w:p>
              </w:tc>
            </w:tr>
            <w:tr w:rsidR="005A41AD" w:rsidRPr="00BC2D78" w14:paraId="63ED8B0A" w14:textId="77777777" w:rsidTr="005B78E1">
              <w:trPr>
                <w:jc w:val="center"/>
              </w:trPr>
              <w:tc>
                <w:tcPr>
                  <w:tcW w:w="4548" w:type="dxa"/>
                  <w:tcMar>
                    <w:top w:w="58" w:type="dxa"/>
                    <w:left w:w="115" w:type="dxa"/>
                    <w:bottom w:w="58" w:type="dxa"/>
                    <w:right w:w="115" w:type="dxa"/>
                  </w:tcMar>
                  <w:vAlign w:val="center"/>
                </w:tcPr>
                <w:p w14:paraId="3928FE6B" w14:textId="77777777" w:rsidR="005A41AD" w:rsidRPr="00BC2D78" w:rsidRDefault="005A41AD" w:rsidP="007849B0">
                  <w:r w:rsidRPr="00BC2D78">
                    <w:t>Surgical Cardiothoracic</w:t>
                  </w:r>
                </w:p>
              </w:tc>
              <w:tc>
                <w:tcPr>
                  <w:tcW w:w="4447" w:type="dxa"/>
                  <w:tcMar>
                    <w:top w:w="58" w:type="dxa"/>
                    <w:left w:w="115" w:type="dxa"/>
                    <w:bottom w:w="58" w:type="dxa"/>
                    <w:right w:w="115" w:type="dxa"/>
                  </w:tcMar>
                  <w:vAlign w:val="center"/>
                </w:tcPr>
                <w:p w14:paraId="74B52230" w14:textId="77777777" w:rsidR="005A41AD" w:rsidRPr="00BC2D78" w:rsidRDefault="005A41AD" w:rsidP="007849B0">
                  <w:r w:rsidRPr="009B7BEF">
                    <w:rPr>
                      <w:i/>
                    </w:rPr>
                    <w:t>Surgical Cardiothoracic Critical Care</w:t>
                  </w:r>
                </w:p>
              </w:tc>
            </w:tr>
            <w:tr w:rsidR="005A41AD" w:rsidRPr="00BC2D78" w14:paraId="7AF8FE12" w14:textId="77777777" w:rsidTr="005B78E1">
              <w:trPr>
                <w:jc w:val="center"/>
              </w:trPr>
              <w:tc>
                <w:tcPr>
                  <w:tcW w:w="4548" w:type="dxa"/>
                  <w:tcMar>
                    <w:top w:w="58" w:type="dxa"/>
                    <w:left w:w="115" w:type="dxa"/>
                    <w:bottom w:w="58" w:type="dxa"/>
                    <w:right w:w="115" w:type="dxa"/>
                  </w:tcMar>
                  <w:vAlign w:val="center"/>
                </w:tcPr>
                <w:p w14:paraId="2AFBE55C" w14:textId="77777777" w:rsidR="005A41AD" w:rsidRPr="00BC2D78" w:rsidRDefault="005A41AD" w:rsidP="007849B0">
                  <w:r w:rsidRPr="00BC2D78">
                    <w:t>Neurolog</w:t>
                  </w:r>
                  <w:r w:rsidR="00335791">
                    <w:t>ic</w:t>
                  </w:r>
                </w:p>
              </w:tc>
              <w:tc>
                <w:tcPr>
                  <w:tcW w:w="4447" w:type="dxa"/>
                  <w:tcMar>
                    <w:top w:w="58" w:type="dxa"/>
                    <w:left w:w="115" w:type="dxa"/>
                    <w:bottom w:w="58" w:type="dxa"/>
                    <w:right w:w="115" w:type="dxa"/>
                  </w:tcMar>
                  <w:vAlign w:val="center"/>
                </w:tcPr>
                <w:p w14:paraId="1C9AD563" w14:textId="77777777" w:rsidR="005A41AD" w:rsidRPr="00BC2D78" w:rsidRDefault="005A41AD" w:rsidP="007849B0">
                  <w:r w:rsidRPr="009B7BEF">
                    <w:rPr>
                      <w:i/>
                    </w:rPr>
                    <w:t>Neurologic Critical Care</w:t>
                  </w:r>
                </w:p>
              </w:tc>
            </w:tr>
            <w:tr w:rsidR="005A41AD" w:rsidRPr="00BC2D78" w14:paraId="1B6F2CEF" w14:textId="77777777" w:rsidTr="005B78E1">
              <w:trPr>
                <w:trHeight w:val="25"/>
                <w:jc w:val="center"/>
              </w:trPr>
              <w:tc>
                <w:tcPr>
                  <w:tcW w:w="4548" w:type="dxa"/>
                  <w:tcMar>
                    <w:top w:w="58" w:type="dxa"/>
                    <w:left w:w="115" w:type="dxa"/>
                    <w:bottom w:w="58" w:type="dxa"/>
                    <w:right w:w="115" w:type="dxa"/>
                  </w:tcMar>
                  <w:vAlign w:val="center"/>
                </w:tcPr>
                <w:p w14:paraId="3D37E0D7" w14:textId="77777777" w:rsidR="005A41AD" w:rsidRPr="00BC2D78" w:rsidRDefault="005A41AD" w:rsidP="007849B0">
                  <w:r w:rsidRPr="00BC2D78">
                    <w:t>Neurosurgical</w:t>
                  </w:r>
                </w:p>
              </w:tc>
              <w:tc>
                <w:tcPr>
                  <w:tcW w:w="4447" w:type="dxa"/>
                  <w:tcMar>
                    <w:top w:w="58" w:type="dxa"/>
                    <w:left w:w="115" w:type="dxa"/>
                    <w:bottom w:w="58" w:type="dxa"/>
                    <w:right w:w="115" w:type="dxa"/>
                  </w:tcMar>
                  <w:vAlign w:val="center"/>
                </w:tcPr>
                <w:p w14:paraId="23B96BF4" w14:textId="77777777" w:rsidR="005A41AD" w:rsidRPr="00BC2D78" w:rsidRDefault="005A41AD" w:rsidP="007849B0">
                  <w:r w:rsidRPr="00BC2D78">
                    <w:rPr>
                      <w:i/>
                    </w:rPr>
                    <w:t>Neurosurgical Critical Care</w:t>
                  </w:r>
                </w:p>
              </w:tc>
            </w:tr>
            <w:tr w:rsidR="005A41AD" w:rsidRPr="00BC2D78" w14:paraId="3C8F65C0" w14:textId="77777777" w:rsidTr="005B78E1">
              <w:trPr>
                <w:jc w:val="center"/>
              </w:trPr>
              <w:tc>
                <w:tcPr>
                  <w:tcW w:w="4548" w:type="dxa"/>
                  <w:tcMar>
                    <w:top w:w="58" w:type="dxa"/>
                    <w:left w:w="115" w:type="dxa"/>
                    <w:bottom w:w="58" w:type="dxa"/>
                    <w:right w:w="115" w:type="dxa"/>
                  </w:tcMar>
                  <w:vAlign w:val="center"/>
                </w:tcPr>
                <w:p w14:paraId="131B96A2" w14:textId="77777777" w:rsidR="005A41AD" w:rsidRPr="00BC2D78" w:rsidRDefault="005A41AD" w:rsidP="007849B0">
                  <w:r>
                    <w:t>Burn</w:t>
                  </w:r>
                </w:p>
              </w:tc>
              <w:tc>
                <w:tcPr>
                  <w:tcW w:w="4447" w:type="dxa"/>
                  <w:tcMar>
                    <w:top w:w="58" w:type="dxa"/>
                    <w:left w:w="115" w:type="dxa"/>
                    <w:bottom w:w="58" w:type="dxa"/>
                    <w:right w:w="115" w:type="dxa"/>
                  </w:tcMar>
                  <w:vAlign w:val="center"/>
                </w:tcPr>
                <w:p w14:paraId="246E751B" w14:textId="77777777" w:rsidR="005A41AD" w:rsidRPr="006B4B53" w:rsidRDefault="005A41AD" w:rsidP="007849B0">
                  <w:r w:rsidRPr="006B4B53">
                    <w:rPr>
                      <w:i/>
                    </w:rPr>
                    <w:t>Burn Critical Care</w:t>
                  </w:r>
                  <w:r w:rsidRPr="006B4B53" w:rsidDel="00167E19">
                    <w:t xml:space="preserve"> </w:t>
                  </w:r>
                </w:p>
              </w:tc>
            </w:tr>
            <w:tr w:rsidR="005A41AD" w:rsidRPr="00BC2D78" w14:paraId="486A2A69" w14:textId="77777777" w:rsidTr="005B78E1">
              <w:trPr>
                <w:jc w:val="center"/>
              </w:trPr>
              <w:tc>
                <w:tcPr>
                  <w:tcW w:w="4548" w:type="dxa"/>
                  <w:tcMar>
                    <w:top w:w="58" w:type="dxa"/>
                    <w:left w:w="115" w:type="dxa"/>
                    <w:bottom w:w="58" w:type="dxa"/>
                    <w:right w:w="115" w:type="dxa"/>
                  </w:tcMar>
                  <w:vAlign w:val="center"/>
                </w:tcPr>
                <w:p w14:paraId="643F4187" w14:textId="77777777" w:rsidR="005A41AD" w:rsidRPr="00BC2D78" w:rsidRDefault="005A41AD" w:rsidP="007849B0">
                  <w:r>
                    <w:t>Trauma</w:t>
                  </w:r>
                </w:p>
              </w:tc>
              <w:tc>
                <w:tcPr>
                  <w:tcW w:w="4447" w:type="dxa"/>
                  <w:tcMar>
                    <w:top w:w="58" w:type="dxa"/>
                    <w:left w:w="115" w:type="dxa"/>
                    <w:bottom w:w="58" w:type="dxa"/>
                    <w:right w:w="115" w:type="dxa"/>
                  </w:tcMar>
                  <w:vAlign w:val="center"/>
                </w:tcPr>
                <w:p w14:paraId="69C1BC85" w14:textId="77777777" w:rsidR="005A41AD" w:rsidRPr="006B4B53" w:rsidRDefault="005A41AD" w:rsidP="007849B0">
                  <w:r w:rsidRPr="006B4B53">
                    <w:rPr>
                      <w:i/>
                    </w:rPr>
                    <w:t>Trauma Critical Care</w:t>
                  </w:r>
                  <w:r w:rsidRPr="006B4B53" w:rsidDel="00167E19">
                    <w:t xml:space="preserve"> </w:t>
                  </w:r>
                </w:p>
              </w:tc>
            </w:tr>
          </w:tbl>
          <w:p w14:paraId="2BE9CDCB" w14:textId="77777777" w:rsidR="005A41AD" w:rsidRPr="00BC2D78" w:rsidRDefault="005A41AD" w:rsidP="005B78E1">
            <w:pPr>
              <w:rPr>
                <w:b/>
                <w:bCs/>
              </w:rPr>
            </w:pPr>
          </w:p>
        </w:tc>
      </w:tr>
      <w:tr w:rsidR="005A41AD" w:rsidRPr="00BC2D78" w14:paraId="05B8356E" w14:textId="77777777" w:rsidTr="005B78E1">
        <w:trPr>
          <w:jc w:val="center"/>
        </w:trPr>
        <w:tc>
          <w:tcPr>
            <w:tcW w:w="9221" w:type="dxa"/>
          </w:tcPr>
          <w:p w14:paraId="707FEC9A" w14:textId="77777777" w:rsidR="005A41AD" w:rsidRPr="00BC2D78" w:rsidRDefault="005A41AD" w:rsidP="007849B0">
            <w:pPr>
              <w:rPr>
                <w:b/>
              </w:rPr>
            </w:pPr>
            <w:r w:rsidRPr="00BC2D78">
              <w:rPr>
                <w:b/>
              </w:rPr>
              <w:lastRenderedPageBreak/>
              <w:t xml:space="preserve">Directions for using </w:t>
            </w:r>
            <w:r>
              <w:rPr>
                <w:b/>
              </w:rPr>
              <w:t xml:space="preserve">catheter-associated urinary tract infection (CAUTI) </w:t>
            </w:r>
            <w:r w:rsidRPr="00BC2D78">
              <w:rPr>
                <w:b/>
              </w:rPr>
              <w:t>data reported to the Centers for Disease Control and Prevention/National Healthcare Safety Network (CD</w:t>
            </w:r>
            <w:r w:rsidR="007B51DD">
              <w:rPr>
                <w:b/>
              </w:rPr>
              <w:t>C/NHSN) for completing question</w:t>
            </w:r>
            <w:r w:rsidRPr="00BC2D78">
              <w:rPr>
                <w:b/>
              </w:rPr>
              <w:t xml:space="preserve"> </w:t>
            </w:r>
            <w:r w:rsidRPr="00671D7B">
              <w:rPr>
                <w:b/>
              </w:rPr>
              <w:t>#</w:t>
            </w:r>
            <w:r w:rsidR="007B51DD">
              <w:rPr>
                <w:b/>
              </w:rPr>
              <w:t>10</w:t>
            </w:r>
            <w:r w:rsidRPr="00671D7B">
              <w:rPr>
                <w:b/>
              </w:rPr>
              <w:t>.</w:t>
            </w:r>
          </w:p>
          <w:p w14:paraId="76A4B7F1" w14:textId="77777777" w:rsidR="005A41AD" w:rsidRPr="00BC2D78" w:rsidRDefault="005A41AD" w:rsidP="007849B0"/>
          <w:p w14:paraId="28319D40" w14:textId="77777777" w:rsidR="005A41AD" w:rsidRPr="00BC2D78" w:rsidRDefault="005A41AD" w:rsidP="007849B0">
            <w:pPr>
              <w:autoSpaceDE w:val="0"/>
              <w:autoSpaceDN w:val="0"/>
              <w:adjustRightInd w:val="0"/>
            </w:pPr>
            <w:r w:rsidRPr="00BC2D78">
              <w:t xml:space="preserve">Hospitals are able to use the </w:t>
            </w:r>
            <w:r>
              <w:t xml:space="preserve">CAUTI </w:t>
            </w:r>
            <w:r w:rsidRPr="00BC2D78">
              <w:t>data they report to the Centers for Disease Control and Prevention/National Healthcare Safety Network (CDC/NHSN) in completing co</w:t>
            </w:r>
            <w:r w:rsidR="00A11782">
              <w:t>lumns (a) and (b</w:t>
            </w:r>
            <w:r w:rsidR="007B51DD">
              <w:t>) for question #10</w:t>
            </w:r>
            <w:r w:rsidRPr="00671D7B">
              <w:t>.</w:t>
            </w:r>
            <w:r w:rsidRPr="00BC2D78">
              <w:t xml:space="preserve">   </w:t>
            </w:r>
          </w:p>
          <w:p w14:paraId="126A6E1B" w14:textId="77777777" w:rsidR="005A41AD" w:rsidRPr="00BC2D78" w:rsidRDefault="005A41AD" w:rsidP="007849B0">
            <w:pPr>
              <w:rPr>
                <w:i/>
              </w:rPr>
            </w:pPr>
          </w:p>
          <w:p w14:paraId="180EAAB9" w14:textId="77777777" w:rsidR="005A41AD" w:rsidRPr="00BC2D78" w:rsidRDefault="005A41AD" w:rsidP="008A4406">
            <w:r w:rsidRPr="00BC2D78">
              <w:t>Hospitals using CDC/NHSN data should report</w:t>
            </w:r>
            <w:r w:rsidR="00A11782">
              <w:t xml:space="preserve"> their denominators in column (a</w:t>
            </w:r>
            <w:r w:rsidRPr="00BC2D78">
              <w:t>) and num</w:t>
            </w:r>
            <w:r w:rsidR="00A11782">
              <w:t>erators in column (b</w:t>
            </w:r>
            <w:r w:rsidR="007B51DD">
              <w:t>).</w:t>
            </w:r>
            <w:r w:rsidRPr="00BC2D78">
              <w:t xml:space="preserve"> Actual rates will be calculated by Leapfrog.</w:t>
            </w:r>
            <w:r>
              <w:br/>
            </w:r>
            <w:r>
              <w:br/>
            </w:r>
            <w:r w:rsidRPr="00671D7B">
              <w:rPr>
                <w:b/>
              </w:rPr>
              <w:t xml:space="preserve">Hospitals that do not report </w:t>
            </w:r>
            <w:r w:rsidR="008A4406">
              <w:rPr>
                <w:b/>
              </w:rPr>
              <w:t>CAUTI</w:t>
            </w:r>
            <w:r w:rsidR="00F90398">
              <w:rPr>
                <w:b/>
              </w:rPr>
              <w:t xml:space="preserve"> </w:t>
            </w:r>
            <w:r w:rsidRPr="00671D7B">
              <w:rPr>
                <w:b/>
              </w:rPr>
              <w:t xml:space="preserve">data to CDC/NHSN should </w:t>
            </w:r>
            <w:r w:rsidR="00825A2A" w:rsidRPr="005C2B38">
              <w:rPr>
                <w:b/>
                <w:snapToGrid w:val="0"/>
              </w:rPr>
              <w:t xml:space="preserve">follow the protocols and specifications outlined by the CDC/NHSN here: </w:t>
            </w:r>
            <w:hyperlink r:id="rId173" w:history="1">
              <w:r w:rsidR="00825A2A" w:rsidRPr="006A040F">
                <w:rPr>
                  <w:rStyle w:val="Hyperlink"/>
                  <w:b/>
                  <w:snapToGrid w:val="0"/>
                </w:rPr>
                <w:t>http://www.cdc.gov/nhsn/acute-care-hospital/CAUTI/index.html</w:t>
              </w:r>
            </w:hyperlink>
            <w:r w:rsidR="00825A2A">
              <w:rPr>
                <w:b/>
                <w:snapToGrid w:val="0"/>
              </w:rPr>
              <w:t xml:space="preserve">. </w:t>
            </w:r>
            <w:r w:rsidR="00825A2A" w:rsidRPr="005C2B38">
              <w:rPr>
                <w:b/>
                <w:snapToGrid w:val="0"/>
              </w:rPr>
              <w:t>Hospitals that do not use the CDC/NHSN measure specifications should report “no” to question #</w:t>
            </w:r>
            <w:r w:rsidR="008A4406">
              <w:rPr>
                <w:b/>
                <w:snapToGrid w:val="0"/>
              </w:rPr>
              <w:t>4</w:t>
            </w:r>
            <w:r w:rsidR="00825A2A">
              <w:rPr>
                <w:b/>
                <w:snapToGrid w:val="0"/>
              </w:rPr>
              <w:t xml:space="preserve">, and </w:t>
            </w:r>
            <w:r w:rsidR="00F90398">
              <w:rPr>
                <w:b/>
                <w:snapToGrid w:val="0"/>
              </w:rPr>
              <w:t>move on</w:t>
            </w:r>
            <w:r w:rsidR="008A4406">
              <w:rPr>
                <w:b/>
                <w:snapToGrid w:val="0"/>
              </w:rPr>
              <w:t>.</w:t>
            </w:r>
          </w:p>
        </w:tc>
      </w:tr>
    </w:tbl>
    <w:p w14:paraId="06E6759C" w14:textId="77777777" w:rsidR="005B78E1" w:rsidRDefault="005B78E1" w:rsidP="005B78E1">
      <w:bookmarkStart w:id="309" w:name="_Toc383775081"/>
    </w:p>
    <w:p w14:paraId="523AA16F" w14:textId="77777777" w:rsidR="005B78E1" w:rsidRDefault="005B78E1" w:rsidP="005B78E1"/>
    <w:p w14:paraId="2E500F45" w14:textId="77777777" w:rsidR="00F44B4D" w:rsidRDefault="00F44B4D" w:rsidP="00954B73">
      <w:pPr>
        <w:pStyle w:val="Heading2"/>
      </w:pPr>
      <w:bookmarkStart w:id="310" w:name="_Toc447195075"/>
      <w:bookmarkStart w:id="311" w:name="OtherHAISpecs"/>
      <w:r>
        <w:t>Other Healthcare-Associated Infections</w:t>
      </w:r>
      <w:r w:rsidR="00846177">
        <w:t xml:space="preserve"> Specifications</w:t>
      </w:r>
      <w:bookmarkEnd w:id="310"/>
    </w:p>
    <w:bookmarkEnd w:id="311"/>
    <w:p w14:paraId="50668BC7" w14:textId="77777777" w:rsidR="00935DF3" w:rsidRDefault="00935DF3" w:rsidP="00935DF3">
      <w:pPr>
        <w:rPr>
          <w:lang w:eastAsia="ja-JP"/>
        </w:rPr>
      </w:pPr>
    </w:p>
    <w:p w14:paraId="090D369A" w14:textId="77777777" w:rsidR="00F44B4D" w:rsidRDefault="00935DF3" w:rsidP="00F44B4D">
      <w:r w:rsidRPr="002B3F29">
        <w:rPr>
          <w:b/>
          <w:color w:val="FF0000"/>
          <w:lang w:eastAsia="ja-JP"/>
        </w:rPr>
        <w:t>Important Note:</w:t>
      </w:r>
      <w:r w:rsidRPr="002B3F29">
        <w:rPr>
          <w:color w:val="FF0000"/>
          <w:lang w:eastAsia="ja-JP"/>
        </w:rPr>
        <w:t xml:space="preserve"> </w:t>
      </w:r>
      <w:r w:rsidRPr="00F126A0">
        <w:rPr>
          <w:snapToGrid w:val="0"/>
        </w:rPr>
        <w:t xml:space="preserve">Hospitals that share a Medicare Provider Number are required to report by facility. Please carefully review </w:t>
      </w:r>
      <w:hyperlink r:id="rId174" w:history="1">
        <w:r w:rsidRPr="00F126A0">
          <w:rPr>
            <w:rStyle w:val="Hyperlink"/>
            <w:snapToGrid w:val="0"/>
          </w:rPr>
          <w:t>Leapfrog’s Multi-Campus Reporting Policy</w:t>
        </w:r>
      </w:hyperlink>
      <w:r w:rsidRPr="00F126A0">
        <w:rPr>
          <w:snapToGrid w:val="0"/>
        </w:rPr>
        <w:t>.</w:t>
      </w:r>
    </w:p>
    <w:p w14:paraId="5AF4553C" w14:textId="77777777" w:rsidR="006429C6" w:rsidRPr="00F44B4D" w:rsidRDefault="006429C6" w:rsidP="00F44B4D">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429C6" w:rsidRPr="00BC2D78" w14:paraId="6AC39249" w14:textId="77777777" w:rsidTr="00A41B94">
        <w:trPr>
          <w:jc w:val="center"/>
        </w:trPr>
        <w:tc>
          <w:tcPr>
            <w:tcW w:w="9221" w:type="dxa"/>
            <w:shd w:val="clear" w:color="auto" w:fill="CCCCCC"/>
          </w:tcPr>
          <w:p w14:paraId="6A76CDD7" w14:textId="77777777" w:rsidR="006429C6" w:rsidRPr="005B78E1" w:rsidRDefault="00615551" w:rsidP="005B78E1">
            <w:pPr>
              <w:pStyle w:val="Heading44"/>
            </w:pPr>
            <w:r w:rsidRPr="005B78E1">
              <w:t>Facility-wide Inpatient Hospital-onset Methicillin-resistant Staphylococcus aureus (MRSA) Bacteremia</w:t>
            </w:r>
          </w:p>
        </w:tc>
      </w:tr>
      <w:tr w:rsidR="006429C6" w:rsidRPr="00BC2D78" w14:paraId="717C4B16" w14:textId="77777777" w:rsidTr="00A41B94">
        <w:trPr>
          <w:jc w:val="center"/>
        </w:trPr>
        <w:tc>
          <w:tcPr>
            <w:tcW w:w="9221" w:type="dxa"/>
          </w:tcPr>
          <w:p w14:paraId="6BCFEAE9" w14:textId="77777777" w:rsidR="006429C6" w:rsidRPr="009C6B41" w:rsidRDefault="006429C6" w:rsidP="000469EC">
            <w:pPr>
              <w:autoSpaceDE w:val="0"/>
              <w:autoSpaceDN w:val="0"/>
              <w:adjustRightInd w:val="0"/>
            </w:pPr>
            <w:r w:rsidRPr="00BC2D78">
              <w:rPr>
                <w:b/>
              </w:rPr>
              <w:t xml:space="preserve">Source: </w:t>
            </w:r>
            <w:r w:rsidRPr="009C6B41">
              <w:t>Na</w:t>
            </w:r>
            <w:r w:rsidR="005642E4">
              <w:t>tional Quality Forum (NQF) #</w:t>
            </w:r>
            <w:r w:rsidR="00615551">
              <w:t>1716</w:t>
            </w:r>
          </w:p>
          <w:p w14:paraId="2273D82B" w14:textId="77777777" w:rsidR="006429C6" w:rsidRPr="00BC2D78" w:rsidRDefault="006429C6" w:rsidP="000469EC">
            <w:pPr>
              <w:rPr>
                <w:b/>
                <w:snapToGrid w:val="0"/>
              </w:rPr>
            </w:pPr>
          </w:p>
          <w:p w14:paraId="5138B646" w14:textId="77777777" w:rsidR="006429C6" w:rsidRPr="002224C9" w:rsidRDefault="006429C6" w:rsidP="000469EC">
            <w:pPr>
              <w:rPr>
                <w:b/>
                <w:snapToGrid w:val="0"/>
              </w:rPr>
            </w:pPr>
            <w:r w:rsidRPr="00BC2D78">
              <w:rPr>
                <w:b/>
                <w:snapToGrid w:val="0"/>
              </w:rPr>
              <w:t>Reporting Time Period</w:t>
            </w:r>
            <w:r w:rsidRPr="002224C9">
              <w:rPr>
                <w:b/>
                <w:snapToGrid w:val="0"/>
              </w:rPr>
              <w:t>: 12 months</w:t>
            </w:r>
          </w:p>
          <w:p w14:paraId="07B56E4E" w14:textId="77777777" w:rsidR="006429C6" w:rsidRPr="006429C6" w:rsidRDefault="006429C6" w:rsidP="00ED58C1">
            <w:pPr>
              <w:pStyle w:val="ListParagraph"/>
              <w:numPr>
                <w:ilvl w:val="0"/>
                <w:numId w:val="17"/>
              </w:numPr>
              <w:rPr>
                <w:i/>
                <w:snapToGrid w:val="0"/>
              </w:rPr>
            </w:pPr>
            <w:r w:rsidRPr="006429C6">
              <w:rPr>
                <w:snapToGrid w:val="0"/>
              </w:rPr>
              <w:t>Surveys submitted prior to September 1, 2016: 01/01/2015 – 12/30/2015</w:t>
            </w:r>
          </w:p>
          <w:p w14:paraId="565555C4" w14:textId="77777777" w:rsidR="006429C6" w:rsidRPr="006429C6" w:rsidRDefault="006429C6" w:rsidP="00ED58C1">
            <w:pPr>
              <w:pStyle w:val="ListParagraph"/>
              <w:numPr>
                <w:ilvl w:val="0"/>
                <w:numId w:val="17"/>
              </w:numPr>
              <w:rPr>
                <w:i/>
                <w:snapToGrid w:val="0"/>
              </w:rPr>
            </w:pPr>
            <w:r w:rsidRPr="006429C6">
              <w:rPr>
                <w:snapToGrid w:val="0"/>
              </w:rPr>
              <w:t>Surveys (re)submitted o</w:t>
            </w:r>
            <w:r w:rsidR="00B405FC">
              <w:rPr>
                <w:snapToGrid w:val="0"/>
              </w:rPr>
              <w:t>n or after September 1, 2016: 07</w:t>
            </w:r>
            <w:r w:rsidRPr="006429C6">
              <w:rPr>
                <w:snapToGrid w:val="0"/>
              </w:rPr>
              <w:t>/01/2015 – 06/30/2016</w:t>
            </w:r>
          </w:p>
          <w:p w14:paraId="22C81938" w14:textId="77777777" w:rsidR="006429C6" w:rsidRPr="00BC2D78" w:rsidRDefault="006429C6" w:rsidP="000469EC">
            <w:pPr>
              <w:ind w:left="720"/>
            </w:pPr>
          </w:p>
        </w:tc>
      </w:tr>
      <w:tr w:rsidR="00615551" w:rsidRPr="00BC2D78" w14:paraId="51BCCC2C" w14:textId="77777777" w:rsidTr="00A41B94">
        <w:trPr>
          <w:jc w:val="center"/>
        </w:trPr>
        <w:tc>
          <w:tcPr>
            <w:tcW w:w="9221" w:type="dxa"/>
          </w:tcPr>
          <w:p w14:paraId="485991B7" w14:textId="77777777" w:rsidR="00F3665F" w:rsidRPr="007C7DBD" w:rsidRDefault="00F3665F" w:rsidP="00F3665F">
            <w:pPr>
              <w:rPr>
                <w:b/>
              </w:rPr>
            </w:pPr>
            <w:r w:rsidRPr="007C7DBD">
              <w:rPr>
                <w:b/>
              </w:rPr>
              <w:t>Directions for using the NHSN Analysis Output Option, “SIR – MRSA Blood</w:t>
            </w:r>
            <w:r w:rsidR="00837144">
              <w:rPr>
                <w:b/>
              </w:rPr>
              <w:t xml:space="preserve"> Facwideln</w:t>
            </w:r>
            <w:r w:rsidRPr="007C7DBD">
              <w:rPr>
                <w:b/>
              </w:rPr>
              <w:t xml:space="preserve"> LabID Data for CMS IPPS</w:t>
            </w:r>
            <w:r w:rsidR="007B76E7">
              <w:rPr>
                <w:b/>
              </w:rPr>
              <w:t>”</w:t>
            </w:r>
            <w:r w:rsidRPr="007C7DBD">
              <w:rPr>
                <w:b/>
              </w:rPr>
              <w:t xml:space="preserve"> for completing question #3</w:t>
            </w:r>
            <w:r w:rsidR="007C7DBD" w:rsidRPr="007C7DBD">
              <w:rPr>
                <w:b/>
              </w:rPr>
              <w:t>:</w:t>
            </w:r>
          </w:p>
          <w:p w14:paraId="2F37E3BC" w14:textId="77777777" w:rsidR="00F3665F" w:rsidRDefault="00F3665F" w:rsidP="00615551"/>
          <w:p w14:paraId="0E287D5D" w14:textId="77777777" w:rsidR="00615551" w:rsidRPr="00837144" w:rsidRDefault="00F3665F" w:rsidP="00837144">
            <w:pPr>
              <w:pStyle w:val="Default"/>
              <w:rPr>
                <w:rFonts w:ascii="Arial" w:eastAsia="Times New Roman" w:hAnsi="Arial" w:cs="Arial"/>
                <w:sz w:val="20"/>
                <w:szCs w:val="20"/>
                <w:lang w:eastAsia="en-US"/>
              </w:rPr>
            </w:pPr>
            <w:r w:rsidRPr="00837144">
              <w:rPr>
                <w:rFonts w:ascii="Arial" w:hAnsi="Arial" w:cs="Arial"/>
                <w:sz w:val="20"/>
                <w:szCs w:val="20"/>
              </w:rPr>
              <w:t>T</w:t>
            </w:r>
            <w:r w:rsidR="00615551" w:rsidRPr="00837144">
              <w:rPr>
                <w:rFonts w:ascii="Arial" w:hAnsi="Arial" w:cs="Arial"/>
                <w:sz w:val="20"/>
                <w:szCs w:val="20"/>
              </w:rPr>
              <w:t>he NHSN An</w:t>
            </w:r>
            <w:r w:rsidR="00837144" w:rsidRPr="00837144">
              <w:rPr>
                <w:rFonts w:ascii="Arial" w:hAnsi="Arial" w:cs="Arial"/>
                <w:sz w:val="20"/>
                <w:szCs w:val="20"/>
              </w:rPr>
              <w:t>alysis Output Option, “</w:t>
            </w:r>
            <w:hyperlink r:id="rId175" w:history="1">
              <w:r w:rsidR="00837144" w:rsidRPr="00B44E0D">
                <w:rPr>
                  <w:rStyle w:val="Hyperlink"/>
                  <w:rFonts w:ascii="Arial" w:hAnsi="Arial" w:cs="Arial"/>
                  <w:bCs/>
                  <w:sz w:val="20"/>
                  <w:szCs w:val="20"/>
                </w:rPr>
                <w:t>SIR - MRSA Blood FacwideIn LabID Data for CMS IPPS</w:t>
              </w:r>
            </w:hyperlink>
            <w:r w:rsidR="00837144" w:rsidRPr="00837144">
              <w:rPr>
                <w:rFonts w:ascii="Arial" w:hAnsi="Arial" w:cs="Arial"/>
                <w:b/>
                <w:bCs/>
                <w:sz w:val="20"/>
                <w:szCs w:val="20"/>
              </w:rPr>
              <w:t xml:space="preserve">” </w:t>
            </w:r>
            <w:r w:rsidR="00615551" w:rsidRPr="00837144">
              <w:rPr>
                <w:rFonts w:ascii="Arial" w:hAnsi="Arial" w:cs="Arial"/>
                <w:sz w:val="20"/>
                <w:szCs w:val="20"/>
              </w:rPr>
              <w:t>was created in order to allow facilities to review those MRSA Blood LabID data that would be submitted to CMS on their behalf.</w:t>
            </w:r>
            <w:r w:rsidR="00B405FC" w:rsidRPr="00837144">
              <w:rPr>
                <w:rFonts w:ascii="Arial" w:hAnsi="Arial" w:cs="Arial"/>
                <w:sz w:val="20"/>
                <w:szCs w:val="20"/>
              </w:rPr>
              <w:t xml:space="preserve"> </w:t>
            </w:r>
            <w:r w:rsidR="00B405FC" w:rsidRPr="00F90398">
              <w:rPr>
                <w:rFonts w:ascii="Arial" w:hAnsi="Arial" w:cs="Arial"/>
                <w:sz w:val="20"/>
                <w:szCs w:val="20"/>
                <w:u w:val="single"/>
              </w:rPr>
              <w:t>However, this same output option can be used to report to the survey using</w:t>
            </w:r>
            <w:r w:rsidR="00B405FC" w:rsidRPr="00837144">
              <w:rPr>
                <w:rFonts w:ascii="Arial" w:hAnsi="Arial" w:cs="Arial"/>
                <w:sz w:val="20"/>
                <w:szCs w:val="20"/>
                <w:u w:val="single"/>
              </w:rPr>
              <w:t xml:space="preserve"> the reporting periods listed above</w:t>
            </w:r>
            <w:r w:rsidR="00B405FC" w:rsidRPr="00837144">
              <w:rPr>
                <w:rFonts w:ascii="Arial" w:hAnsi="Arial" w:cs="Arial"/>
                <w:sz w:val="20"/>
                <w:szCs w:val="20"/>
              </w:rPr>
              <w:t xml:space="preserve">. </w:t>
            </w:r>
            <w:r w:rsidR="00615551" w:rsidRPr="00837144">
              <w:rPr>
                <w:rFonts w:ascii="Arial" w:hAnsi="Arial" w:cs="Arial"/>
                <w:sz w:val="20"/>
                <w:szCs w:val="20"/>
              </w:rPr>
              <w:t xml:space="preserve"> </w:t>
            </w:r>
          </w:p>
          <w:p w14:paraId="425E1900" w14:textId="77777777" w:rsidR="00B405FC" w:rsidRPr="00837144" w:rsidRDefault="00B405FC" w:rsidP="00615551">
            <w:pPr>
              <w:rPr>
                <w:rFonts w:cs="Arial"/>
              </w:rPr>
            </w:pPr>
          </w:p>
          <w:p w14:paraId="2EF1E207" w14:textId="77777777" w:rsidR="00B405FC" w:rsidRPr="00837144" w:rsidRDefault="00B405FC" w:rsidP="00615551">
            <w:pPr>
              <w:rPr>
                <w:rFonts w:cs="Arial"/>
                <w:bCs/>
              </w:rPr>
            </w:pPr>
            <w:r w:rsidRPr="00837144">
              <w:rPr>
                <w:rFonts w:cs="Arial"/>
              </w:rPr>
              <w:t xml:space="preserve">This report will </w:t>
            </w:r>
            <w:r w:rsidR="00615551" w:rsidRPr="00837144">
              <w:rPr>
                <w:rFonts w:cs="Arial"/>
              </w:rPr>
              <w:t xml:space="preserve">include </w:t>
            </w:r>
            <w:r w:rsidR="00615551" w:rsidRPr="00837144">
              <w:rPr>
                <w:rFonts w:cs="Arial"/>
                <w:bCs/>
              </w:rPr>
              <w:t>in-plan FacWideIn MRSA blood LabID data</w:t>
            </w:r>
            <w:r w:rsidRPr="00837144">
              <w:rPr>
                <w:rFonts w:cs="Arial"/>
                <w:bCs/>
              </w:rPr>
              <w:t xml:space="preserve"> by quarter as well as the SIR for the hospital. Be sure you are using the correct date range when generating your report:</w:t>
            </w:r>
          </w:p>
          <w:p w14:paraId="1078F5E5" w14:textId="77777777" w:rsidR="00B405FC" w:rsidRPr="00837144" w:rsidRDefault="00B405FC" w:rsidP="00ED58C1">
            <w:pPr>
              <w:pStyle w:val="ListParagraph"/>
              <w:numPr>
                <w:ilvl w:val="0"/>
                <w:numId w:val="120"/>
              </w:numPr>
              <w:rPr>
                <w:rFonts w:cs="Arial"/>
              </w:rPr>
            </w:pPr>
            <w:r w:rsidRPr="00837144">
              <w:rPr>
                <w:rFonts w:cs="Arial"/>
                <w:bCs/>
              </w:rPr>
              <w:t>For hospitals submitting the survey prior to September 1, 2016, use</w:t>
            </w:r>
            <w:r w:rsidRPr="00837144">
              <w:rPr>
                <w:rFonts w:cs="Arial"/>
                <w:b/>
                <w:bCs/>
              </w:rPr>
              <w:t xml:space="preserve"> summaryYQ 2015Q1 to 2015Q4.  </w:t>
            </w:r>
          </w:p>
          <w:p w14:paraId="0B7E1362" w14:textId="77777777" w:rsidR="00B405FC" w:rsidRPr="00837144" w:rsidRDefault="00B405FC" w:rsidP="00ED58C1">
            <w:pPr>
              <w:pStyle w:val="ListParagraph"/>
              <w:numPr>
                <w:ilvl w:val="0"/>
                <w:numId w:val="120"/>
              </w:numPr>
              <w:rPr>
                <w:rFonts w:cs="Arial"/>
              </w:rPr>
            </w:pPr>
            <w:r w:rsidRPr="00837144">
              <w:rPr>
                <w:rFonts w:cs="Arial"/>
                <w:bCs/>
              </w:rPr>
              <w:t xml:space="preserve">For hospitals submitting the survey on or after September 1, 2016, use </w:t>
            </w:r>
            <w:r w:rsidRPr="00837144">
              <w:rPr>
                <w:rFonts w:cs="Arial"/>
                <w:b/>
                <w:bCs/>
              </w:rPr>
              <w:t xml:space="preserve">summaryYQ 2015Q2 to 2016Q2. </w:t>
            </w:r>
          </w:p>
          <w:p w14:paraId="7EBA4B1F" w14:textId="77777777" w:rsidR="007C7DBD" w:rsidRPr="00837144" w:rsidRDefault="007C7DBD" w:rsidP="007C7DBD">
            <w:pPr>
              <w:rPr>
                <w:rFonts w:cs="Arial"/>
              </w:rPr>
            </w:pPr>
          </w:p>
          <w:p w14:paraId="4BE0F120" w14:textId="77777777" w:rsidR="007C7DBD" w:rsidRDefault="007C7DBD" w:rsidP="007C7DBD">
            <w:r>
              <w:t>Once you have generated the report, enter the SIR</w:t>
            </w:r>
            <w:r w:rsidR="00AD0FE2">
              <w:t xml:space="preserve"> exactly as it appears</w:t>
            </w:r>
            <w:r>
              <w:t xml:space="preserve"> (see screenshot below) in question #3. </w:t>
            </w:r>
          </w:p>
          <w:p w14:paraId="0F8F450D" w14:textId="77777777" w:rsidR="009D3EE4" w:rsidRDefault="009D3EE4" w:rsidP="009D3EE4">
            <w:pPr>
              <w:jc w:val="center"/>
            </w:pPr>
            <w:r>
              <w:rPr>
                <w:noProof/>
              </w:rPr>
              <w:lastRenderedPageBreak/>
              <w:drawing>
                <wp:inline distT="0" distB="0" distL="0" distR="0" wp14:anchorId="45BF851B" wp14:editId="5F623406">
                  <wp:extent cx="5943600" cy="708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A_NHSNOutput_ScreenShot.JPG"/>
                          <pic:cNvPicPr/>
                        </pic:nvPicPr>
                        <pic:blipFill>
                          <a:blip r:embed="rId176">
                            <a:extLst>
                              <a:ext uri="{28A0092B-C50C-407E-A947-70E740481C1C}">
                                <a14:useLocalDpi xmlns:a14="http://schemas.microsoft.com/office/drawing/2010/main" val="0"/>
                              </a:ext>
                            </a:extLst>
                          </a:blip>
                          <a:stretch>
                            <a:fillRect/>
                          </a:stretch>
                        </pic:blipFill>
                        <pic:spPr>
                          <a:xfrm>
                            <a:off x="0" y="0"/>
                            <a:ext cx="5943600" cy="708025"/>
                          </a:xfrm>
                          <a:prstGeom prst="rect">
                            <a:avLst/>
                          </a:prstGeom>
                        </pic:spPr>
                      </pic:pic>
                    </a:graphicData>
                  </a:graphic>
                </wp:inline>
              </w:drawing>
            </w:r>
          </w:p>
          <w:p w14:paraId="0658B0D5" w14:textId="77777777" w:rsidR="00B405FC" w:rsidRDefault="00B405FC" w:rsidP="00615551"/>
          <w:p w14:paraId="13849C32" w14:textId="77777777" w:rsidR="00615551" w:rsidRPr="00B405FC" w:rsidRDefault="00615551" w:rsidP="00615551">
            <w:pPr>
              <w:rPr>
                <w:b/>
                <w:bCs/>
              </w:rPr>
            </w:pPr>
            <w:r w:rsidRPr="00615551">
              <w:t>If you have specific questions about the data appearing on your dashboard</w:t>
            </w:r>
            <w:r w:rsidR="00B405FC">
              <w:t xml:space="preserve">, please contact the CDC. </w:t>
            </w:r>
          </w:p>
          <w:p w14:paraId="6168E235" w14:textId="77777777" w:rsidR="00B405FC" w:rsidRDefault="00B405FC" w:rsidP="00615551"/>
          <w:p w14:paraId="0FBB065D" w14:textId="77777777" w:rsidR="00615551" w:rsidRDefault="00615551" w:rsidP="007C7DBD">
            <w:r w:rsidRPr="00615551">
              <w:t xml:space="preserve">To learn more about the standardized infection ratio (SIR) as it pertains to MRSA data, please see: </w:t>
            </w:r>
            <w:hyperlink r:id="rId177" w:history="1">
              <w:r w:rsidR="00B405FC" w:rsidRPr="00F74357">
                <w:rPr>
                  <w:rStyle w:val="Hyperlink"/>
                </w:rPr>
                <w:t>http://www.cdc.gov/nhsn/PDFs/mrsa-cdi/RiskAdjustment-MRSA-CDI.pdf</w:t>
              </w:r>
            </w:hyperlink>
            <w:r w:rsidR="00B405FC">
              <w:t xml:space="preserve">. </w:t>
            </w:r>
          </w:p>
          <w:p w14:paraId="14EFE1F9" w14:textId="77777777" w:rsidR="00AD0FE2" w:rsidRPr="007C7DBD" w:rsidRDefault="00AD0FE2" w:rsidP="007C7DBD"/>
        </w:tc>
      </w:tr>
    </w:tbl>
    <w:p w14:paraId="52F18F19" w14:textId="77777777" w:rsidR="00316122" w:rsidRDefault="00316122" w:rsidP="00615551">
      <w:pPr>
        <w:autoSpaceDE w:val="0"/>
        <w:autoSpaceDN w:val="0"/>
        <w:adjustRightInd w:val="0"/>
        <w:rPr>
          <w:rFonts w:ascii="Calibri" w:hAnsi="Calibri" w:cs="Calibri"/>
          <w:b/>
          <w:bCs/>
          <w:color w:val="000000"/>
          <w:sz w:val="28"/>
          <w:szCs w:val="28"/>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5642E4" w:rsidRPr="00BC2D78" w14:paraId="0D4BB6B0" w14:textId="77777777" w:rsidTr="00935DF3">
        <w:trPr>
          <w:jc w:val="center"/>
        </w:trPr>
        <w:tc>
          <w:tcPr>
            <w:tcW w:w="9994" w:type="dxa"/>
            <w:shd w:val="clear" w:color="auto" w:fill="CCCCCC"/>
          </w:tcPr>
          <w:p w14:paraId="180B8721" w14:textId="265383B3" w:rsidR="00AB32DA" w:rsidRPr="00BC2D78" w:rsidRDefault="005642E4" w:rsidP="000469EC">
            <w:pPr>
              <w:pStyle w:val="Heading44"/>
            </w:pPr>
            <w:r w:rsidRPr="005B78E1">
              <w:t xml:space="preserve">Facility-wide Inpatient Hospital-onset Clostridium difficile Infection </w:t>
            </w:r>
          </w:p>
        </w:tc>
      </w:tr>
      <w:tr w:rsidR="005642E4" w:rsidRPr="00BC2D78" w14:paraId="6D2F70C8" w14:textId="77777777" w:rsidTr="00935DF3">
        <w:trPr>
          <w:jc w:val="center"/>
        </w:trPr>
        <w:tc>
          <w:tcPr>
            <w:tcW w:w="9994" w:type="dxa"/>
          </w:tcPr>
          <w:p w14:paraId="2CAC2C2B" w14:textId="77777777" w:rsidR="005642E4" w:rsidRPr="009C6B41" w:rsidRDefault="005642E4" w:rsidP="000469EC">
            <w:pPr>
              <w:autoSpaceDE w:val="0"/>
              <w:autoSpaceDN w:val="0"/>
              <w:adjustRightInd w:val="0"/>
            </w:pPr>
            <w:r w:rsidRPr="00BC2D78">
              <w:rPr>
                <w:b/>
              </w:rPr>
              <w:t xml:space="preserve">Source: </w:t>
            </w:r>
            <w:r w:rsidRPr="009C6B41">
              <w:t>Na</w:t>
            </w:r>
            <w:r>
              <w:t>tional Quality Forum (NQF) #1717</w:t>
            </w:r>
          </w:p>
          <w:p w14:paraId="64274A3B" w14:textId="77777777" w:rsidR="005642E4" w:rsidRPr="00BC2D78" w:rsidRDefault="005642E4" w:rsidP="000469EC">
            <w:pPr>
              <w:rPr>
                <w:b/>
                <w:snapToGrid w:val="0"/>
              </w:rPr>
            </w:pPr>
          </w:p>
          <w:p w14:paraId="5257A6C1" w14:textId="77777777" w:rsidR="005642E4" w:rsidRPr="002224C9" w:rsidRDefault="005642E4" w:rsidP="000469EC">
            <w:pPr>
              <w:rPr>
                <w:b/>
                <w:snapToGrid w:val="0"/>
              </w:rPr>
            </w:pPr>
            <w:r w:rsidRPr="00BC2D78">
              <w:rPr>
                <w:b/>
                <w:snapToGrid w:val="0"/>
              </w:rPr>
              <w:t>Reporting Time Period</w:t>
            </w:r>
            <w:r w:rsidRPr="002224C9">
              <w:rPr>
                <w:b/>
                <w:snapToGrid w:val="0"/>
              </w:rPr>
              <w:t>: 12 months</w:t>
            </w:r>
          </w:p>
          <w:p w14:paraId="07A5147B" w14:textId="77777777" w:rsidR="005642E4" w:rsidRPr="006429C6" w:rsidRDefault="005642E4" w:rsidP="00ED58C1">
            <w:pPr>
              <w:pStyle w:val="ListParagraph"/>
              <w:numPr>
                <w:ilvl w:val="0"/>
                <w:numId w:val="17"/>
              </w:numPr>
              <w:rPr>
                <w:i/>
                <w:snapToGrid w:val="0"/>
              </w:rPr>
            </w:pPr>
            <w:r w:rsidRPr="006429C6">
              <w:rPr>
                <w:snapToGrid w:val="0"/>
              </w:rPr>
              <w:t>Surveys submitted prior to September 1, 2016: 01/01/2015 – 12/30/2015</w:t>
            </w:r>
          </w:p>
          <w:p w14:paraId="630F6868" w14:textId="77777777" w:rsidR="005642E4" w:rsidRPr="006429C6" w:rsidRDefault="005642E4" w:rsidP="00ED58C1">
            <w:pPr>
              <w:pStyle w:val="ListParagraph"/>
              <w:numPr>
                <w:ilvl w:val="0"/>
                <w:numId w:val="17"/>
              </w:numPr>
              <w:rPr>
                <w:i/>
                <w:snapToGrid w:val="0"/>
              </w:rPr>
            </w:pPr>
            <w:r w:rsidRPr="006429C6">
              <w:rPr>
                <w:snapToGrid w:val="0"/>
              </w:rPr>
              <w:t>Surveys (re)submitted o</w:t>
            </w:r>
            <w:r>
              <w:rPr>
                <w:snapToGrid w:val="0"/>
              </w:rPr>
              <w:t>n or after September 1, 2016: 07</w:t>
            </w:r>
            <w:r w:rsidRPr="006429C6">
              <w:rPr>
                <w:snapToGrid w:val="0"/>
              </w:rPr>
              <w:t>/01/2015 – 06/30/2016</w:t>
            </w:r>
          </w:p>
          <w:p w14:paraId="612540AF" w14:textId="77777777" w:rsidR="005642E4" w:rsidRPr="00BC2D78" w:rsidRDefault="005642E4" w:rsidP="000469EC">
            <w:pPr>
              <w:ind w:left="720"/>
            </w:pPr>
          </w:p>
        </w:tc>
      </w:tr>
      <w:tr w:rsidR="005642E4" w:rsidRPr="007C7DBD" w14:paraId="74E318B2" w14:textId="77777777" w:rsidTr="00935DF3">
        <w:trPr>
          <w:jc w:val="center"/>
        </w:trPr>
        <w:tc>
          <w:tcPr>
            <w:tcW w:w="9994" w:type="dxa"/>
          </w:tcPr>
          <w:p w14:paraId="5006A87C" w14:textId="77777777" w:rsidR="005642E4" w:rsidRPr="007C7DBD" w:rsidRDefault="005642E4" w:rsidP="000469EC">
            <w:pPr>
              <w:rPr>
                <w:b/>
              </w:rPr>
            </w:pPr>
            <w:r w:rsidRPr="007C7DBD">
              <w:rPr>
                <w:b/>
              </w:rPr>
              <w:t>Directions for using the NHSN Analysis Output Option, “</w:t>
            </w:r>
            <w:r>
              <w:rPr>
                <w:b/>
              </w:rPr>
              <w:t xml:space="preserve">SIR – </w:t>
            </w:r>
            <w:r w:rsidR="00E04DC1">
              <w:rPr>
                <w:b/>
              </w:rPr>
              <w:t xml:space="preserve">FacWideln </w:t>
            </w:r>
            <w:r>
              <w:rPr>
                <w:b/>
              </w:rPr>
              <w:t>CDI</w:t>
            </w:r>
            <w:r w:rsidRPr="007C7DBD">
              <w:rPr>
                <w:b/>
              </w:rPr>
              <w:t xml:space="preserve"> LabID Data for CMS IPPS</w:t>
            </w:r>
            <w:r w:rsidR="007B76E7">
              <w:rPr>
                <w:b/>
              </w:rPr>
              <w:t>”</w:t>
            </w:r>
            <w:r w:rsidRPr="007C7DBD">
              <w:rPr>
                <w:b/>
              </w:rPr>
              <w:t xml:space="preserve"> for </w:t>
            </w:r>
            <w:r>
              <w:rPr>
                <w:b/>
              </w:rPr>
              <w:t>completing question #5</w:t>
            </w:r>
            <w:r w:rsidRPr="007C7DBD">
              <w:rPr>
                <w:b/>
              </w:rPr>
              <w:t>:</w:t>
            </w:r>
          </w:p>
          <w:p w14:paraId="2A7A7264" w14:textId="77777777" w:rsidR="005642E4" w:rsidRDefault="005642E4" w:rsidP="000469EC"/>
          <w:p w14:paraId="36833BE6" w14:textId="77777777" w:rsidR="005642E4" w:rsidRDefault="005642E4" w:rsidP="000469EC">
            <w:r>
              <w:t>T</w:t>
            </w:r>
            <w:r w:rsidRPr="00615551">
              <w:t xml:space="preserve">he NHSN Analysis </w:t>
            </w:r>
            <w:r w:rsidR="00837144">
              <w:t>Output Op</w:t>
            </w:r>
            <w:r w:rsidR="00E04DC1">
              <w:t>tion,</w:t>
            </w:r>
            <w:r w:rsidR="00837144">
              <w:t xml:space="preserve"> “</w:t>
            </w:r>
            <w:hyperlink r:id="rId178" w:history="1">
              <w:r w:rsidR="00837144" w:rsidRPr="006D5C5E">
                <w:rPr>
                  <w:rStyle w:val="Hyperlink"/>
                </w:rPr>
                <w:t xml:space="preserve">SIR – </w:t>
              </w:r>
              <w:r w:rsidR="00E04DC1" w:rsidRPr="006D5C5E">
                <w:rPr>
                  <w:rStyle w:val="Hyperlink"/>
                </w:rPr>
                <w:t xml:space="preserve">FacWidIn </w:t>
              </w:r>
              <w:r w:rsidR="00837144" w:rsidRPr="006D5C5E">
                <w:rPr>
                  <w:rStyle w:val="Hyperlink"/>
                </w:rPr>
                <w:t>CDI</w:t>
              </w:r>
              <w:r w:rsidRPr="006D5C5E">
                <w:rPr>
                  <w:rStyle w:val="Hyperlink"/>
                </w:rPr>
                <w:t xml:space="preserve"> LabID Data for CMS IPPS</w:t>
              </w:r>
            </w:hyperlink>
            <w:r w:rsidRPr="00615551">
              <w:t>” was created in order to allow facilities to review th</w:t>
            </w:r>
            <w:r w:rsidR="00E04DC1">
              <w:t xml:space="preserve">ose CDI </w:t>
            </w:r>
            <w:r w:rsidRPr="00615551">
              <w:t>LabID data that would be submitted to CMS on their behalf.</w:t>
            </w:r>
            <w:r>
              <w:t xml:space="preserve"> </w:t>
            </w:r>
            <w:r w:rsidRPr="006D5C5E">
              <w:rPr>
                <w:u w:val="single"/>
              </w:rPr>
              <w:t xml:space="preserve">However, this same output option can be used to report to the survey </w:t>
            </w:r>
            <w:r w:rsidRPr="00B405FC">
              <w:rPr>
                <w:u w:val="single"/>
              </w:rPr>
              <w:t>using the reporting periods listed above</w:t>
            </w:r>
            <w:r>
              <w:t xml:space="preserve">. </w:t>
            </w:r>
            <w:r w:rsidRPr="00615551">
              <w:t xml:space="preserve"> </w:t>
            </w:r>
          </w:p>
          <w:p w14:paraId="639DAAAA" w14:textId="77777777" w:rsidR="005642E4" w:rsidRDefault="005642E4" w:rsidP="000469EC"/>
          <w:p w14:paraId="32A919DE" w14:textId="77777777" w:rsidR="005642E4" w:rsidRDefault="005642E4" w:rsidP="000469EC">
            <w:pPr>
              <w:rPr>
                <w:bCs/>
              </w:rPr>
            </w:pPr>
            <w:r w:rsidRPr="00B405FC">
              <w:t xml:space="preserve">This report will include </w:t>
            </w:r>
            <w:r w:rsidR="00E04DC1">
              <w:rPr>
                <w:bCs/>
              </w:rPr>
              <w:t>in-plan FacWideIn CDI</w:t>
            </w:r>
            <w:r w:rsidRPr="00B405FC">
              <w:rPr>
                <w:bCs/>
              </w:rPr>
              <w:t xml:space="preserve"> LabID data by quarter as well as the SIR for the hospital. Be sure you are using the correct date range when generating your </w:t>
            </w:r>
            <w:r>
              <w:rPr>
                <w:bCs/>
              </w:rPr>
              <w:t>report:</w:t>
            </w:r>
          </w:p>
          <w:p w14:paraId="1C5238E3" w14:textId="77777777" w:rsidR="005642E4" w:rsidRPr="00B405FC" w:rsidRDefault="005642E4" w:rsidP="00ED58C1">
            <w:pPr>
              <w:pStyle w:val="ListParagraph"/>
              <w:numPr>
                <w:ilvl w:val="0"/>
                <w:numId w:val="120"/>
              </w:numPr>
            </w:pPr>
            <w:r w:rsidRPr="00B405FC">
              <w:rPr>
                <w:bCs/>
              </w:rPr>
              <w:t>For hospitals submitting the survey prior to September 1, 2016, use</w:t>
            </w:r>
            <w:r w:rsidRPr="00B405FC">
              <w:rPr>
                <w:b/>
                <w:bCs/>
              </w:rPr>
              <w:t xml:space="preserve"> summaryYQ 2015Q1 to 2015Q4.  </w:t>
            </w:r>
          </w:p>
          <w:p w14:paraId="195D0AC6" w14:textId="77777777" w:rsidR="005642E4" w:rsidRPr="007C7DBD" w:rsidRDefault="005642E4" w:rsidP="00ED58C1">
            <w:pPr>
              <w:pStyle w:val="ListParagraph"/>
              <w:numPr>
                <w:ilvl w:val="0"/>
                <w:numId w:val="120"/>
              </w:numPr>
            </w:pPr>
            <w:r>
              <w:rPr>
                <w:bCs/>
              </w:rPr>
              <w:t xml:space="preserve">For hospitals submitting the survey on or after September 1, 2016, use </w:t>
            </w:r>
            <w:r>
              <w:rPr>
                <w:b/>
                <w:bCs/>
              </w:rPr>
              <w:t xml:space="preserve">summaryYQ 2015Q2 to 2016Q2. </w:t>
            </w:r>
          </w:p>
          <w:p w14:paraId="21730B26" w14:textId="77777777" w:rsidR="005642E4" w:rsidRDefault="005642E4" w:rsidP="000469EC"/>
          <w:p w14:paraId="557F73A4" w14:textId="77777777" w:rsidR="005642E4" w:rsidRDefault="005642E4" w:rsidP="000469EC">
            <w:r>
              <w:t xml:space="preserve">Once you have generated the report, enter the SIR exactly as it appears (see </w:t>
            </w:r>
            <w:r w:rsidR="00E04DC1">
              <w:t>screenshot below) in question #5</w:t>
            </w:r>
            <w:r>
              <w:t xml:space="preserve">. </w:t>
            </w:r>
          </w:p>
          <w:p w14:paraId="15843552" w14:textId="77777777" w:rsidR="005642E4" w:rsidRDefault="005642E4" w:rsidP="000469EC">
            <w:pPr>
              <w:jc w:val="center"/>
            </w:pPr>
            <w:r>
              <w:rPr>
                <w:noProof/>
              </w:rPr>
              <mc:AlternateContent>
                <mc:Choice Requires="wps">
                  <w:drawing>
                    <wp:anchor distT="0" distB="0" distL="114300" distR="114300" simplePos="0" relativeHeight="251671552" behindDoc="0" locked="0" layoutInCell="1" allowOverlap="1" wp14:anchorId="5572B480" wp14:editId="2C83890A">
                      <wp:simplePos x="0" y="0"/>
                      <wp:positionH relativeFrom="column">
                        <wp:posOffset>3857625</wp:posOffset>
                      </wp:positionH>
                      <wp:positionV relativeFrom="paragraph">
                        <wp:posOffset>37465</wp:posOffset>
                      </wp:positionV>
                      <wp:extent cx="361950" cy="805815"/>
                      <wp:effectExtent l="0" t="0" r="19050" b="13335"/>
                      <wp:wrapNone/>
                      <wp:docPr id="14" name="Rectangle 14"/>
                      <wp:cNvGraphicFramePr/>
                      <a:graphic xmlns:a="http://schemas.openxmlformats.org/drawingml/2006/main">
                        <a:graphicData uri="http://schemas.microsoft.com/office/word/2010/wordprocessingShape">
                          <wps:wsp>
                            <wps:cNvSpPr/>
                            <wps:spPr>
                              <a:xfrm>
                                <a:off x="0" y="0"/>
                                <a:ext cx="361950" cy="805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F8B1A2D" id="Rectangle 14" o:spid="_x0000_s1026" style="position:absolute;margin-left:303.75pt;margin-top:2.95pt;width:28.5pt;height:6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" filled="f" strokecolor="red" strokeweight="2pt"/>
                  </w:pict>
                </mc:Fallback>
              </mc:AlternateContent>
            </w:r>
            <w:r w:rsidRPr="007C7DBD">
              <w:rPr>
                <w:noProof/>
              </w:rPr>
              <w:drawing>
                <wp:inline distT="0" distB="0" distL="0" distR="0" wp14:anchorId="4D2D05BF" wp14:editId="5342444E">
                  <wp:extent cx="4931064" cy="786765"/>
                  <wp:effectExtent l="57150" t="57150" r="117475" b="1085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9">
                            <a:extLst>
                              <a:ext uri="{28A0092B-C50C-407E-A947-70E740481C1C}">
                                <a14:useLocalDpi xmlns:a14="http://schemas.microsoft.com/office/drawing/2010/main" val="0"/>
                              </a:ext>
                            </a:extLst>
                          </a:blip>
                          <a:srcRect l="10541"/>
                          <a:stretch/>
                        </pic:blipFill>
                        <pic:spPr bwMode="auto">
                          <a:xfrm>
                            <a:off x="0" y="0"/>
                            <a:ext cx="4958691" cy="79117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BFE3CFF" w14:textId="77777777" w:rsidR="005642E4" w:rsidRDefault="005642E4" w:rsidP="000469EC"/>
          <w:p w14:paraId="3376AA93" w14:textId="77777777" w:rsidR="005642E4" w:rsidRPr="00B405FC" w:rsidRDefault="005642E4" w:rsidP="000469EC">
            <w:pPr>
              <w:rPr>
                <w:b/>
                <w:bCs/>
              </w:rPr>
            </w:pPr>
            <w:r w:rsidRPr="00615551">
              <w:t>If you have specific questions about the data appearing on your dashboard</w:t>
            </w:r>
            <w:r>
              <w:t xml:space="preserve">, please contact the CDC. </w:t>
            </w:r>
          </w:p>
          <w:p w14:paraId="6A7A9C1F" w14:textId="77777777" w:rsidR="005642E4" w:rsidRDefault="005642E4" w:rsidP="000469EC"/>
          <w:p w14:paraId="7CC43F7A" w14:textId="77777777" w:rsidR="005642E4" w:rsidRPr="00A15EC6" w:rsidRDefault="00E04DC1" w:rsidP="00E04DC1">
            <w:pPr>
              <w:rPr>
                <w:rFonts w:cs="Arial"/>
                <w:color w:val="000000"/>
              </w:rPr>
            </w:pPr>
            <w:r w:rsidRPr="00A15EC6">
              <w:rPr>
                <w:rFonts w:cs="Arial"/>
                <w:color w:val="000000"/>
              </w:rPr>
              <w:t xml:space="preserve">To learn more about the standardized infection ratio (SIR) as it pertains to CDI data, please see: </w:t>
            </w:r>
            <w:hyperlink r:id="rId180" w:history="1">
              <w:r w:rsidRPr="00A15EC6">
                <w:rPr>
                  <w:rStyle w:val="Hyperlink"/>
                  <w:rFonts w:cs="Arial"/>
                </w:rPr>
                <w:t>http://www.cdc.gov/nhsn/PDFs/mrsa-cdi/RiskAdjustment-MRSA-CDI.pdf</w:t>
              </w:r>
            </w:hyperlink>
            <w:r w:rsidRPr="00A15EC6">
              <w:rPr>
                <w:rFonts w:cs="Arial"/>
                <w:color w:val="000000"/>
              </w:rPr>
              <w:t xml:space="preserve">. </w:t>
            </w:r>
          </w:p>
          <w:p w14:paraId="0FC432F2" w14:textId="77777777" w:rsidR="00A41B94" w:rsidRPr="007C7DBD" w:rsidRDefault="00A41B94" w:rsidP="00E04DC1"/>
        </w:tc>
      </w:tr>
    </w:tbl>
    <w:p w14:paraId="47375A00" w14:textId="77777777" w:rsidR="00316122" w:rsidRDefault="00316122" w:rsidP="00615551">
      <w:pPr>
        <w:autoSpaceDE w:val="0"/>
        <w:autoSpaceDN w:val="0"/>
        <w:adjustRightInd w:val="0"/>
        <w:rPr>
          <w:rFonts w:ascii="Calibri" w:hAnsi="Calibri" w:cs="Calibri"/>
          <w:b/>
          <w:bCs/>
          <w:color w:val="000000"/>
          <w:sz w:val="28"/>
          <w:szCs w:val="28"/>
        </w:rPr>
      </w:pPr>
    </w:p>
    <w:p w14:paraId="31849D39" w14:textId="77777777" w:rsidR="00316122" w:rsidRDefault="00316122">
      <w:pPr>
        <w:rPr>
          <w:rFonts w:ascii="Calibri" w:hAnsi="Calibri" w:cs="Calibri"/>
          <w:b/>
          <w:bCs/>
          <w:color w:val="000000"/>
          <w:sz w:val="28"/>
          <w:szCs w:val="28"/>
        </w:rPr>
      </w:pPr>
      <w:r>
        <w:rPr>
          <w:rFonts w:ascii="Calibri" w:hAnsi="Calibri" w:cs="Calibri"/>
          <w:b/>
          <w:bCs/>
          <w:color w:val="000000"/>
          <w:sz w:val="28"/>
          <w:szCs w:val="28"/>
        </w:rPr>
        <w:br w:type="page"/>
      </w:r>
    </w:p>
    <w:p w14:paraId="47906AC6" w14:textId="77777777" w:rsidR="007C7DBD" w:rsidRDefault="007C7DBD" w:rsidP="00615551">
      <w:pPr>
        <w:autoSpaceDE w:val="0"/>
        <w:autoSpaceDN w:val="0"/>
        <w:adjustRightInd w:val="0"/>
        <w:rPr>
          <w:rFonts w:ascii="Calibri" w:hAnsi="Calibri" w:cs="Calibri"/>
          <w:b/>
          <w:bCs/>
          <w:color w:val="000000"/>
          <w:sz w:val="28"/>
          <w:szCs w:val="28"/>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4C69DF" w:rsidRPr="00BC2D78" w14:paraId="2E619DD8" w14:textId="77777777" w:rsidTr="00A41B94">
        <w:trPr>
          <w:jc w:val="center"/>
        </w:trPr>
        <w:tc>
          <w:tcPr>
            <w:tcW w:w="9738" w:type="dxa"/>
            <w:shd w:val="clear" w:color="auto" w:fill="CCCCCC"/>
          </w:tcPr>
          <w:p w14:paraId="0A5D0A52" w14:textId="77777777" w:rsidR="004C69DF" w:rsidRPr="00BC2D78" w:rsidRDefault="004C69DF" w:rsidP="004C69DF">
            <w:pPr>
              <w:pStyle w:val="Heading44"/>
            </w:pPr>
            <w:r w:rsidRPr="005B78E1">
              <w:t>Surgical Site Infection: Major Colon Surgery</w:t>
            </w:r>
          </w:p>
        </w:tc>
      </w:tr>
      <w:tr w:rsidR="004C69DF" w:rsidRPr="00BC2D78" w14:paraId="4930132F" w14:textId="77777777" w:rsidTr="00A41B94">
        <w:trPr>
          <w:jc w:val="center"/>
        </w:trPr>
        <w:tc>
          <w:tcPr>
            <w:tcW w:w="9738" w:type="dxa"/>
          </w:tcPr>
          <w:p w14:paraId="71F127D4" w14:textId="77777777" w:rsidR="004C69DF" w:rsidRPr="009C6B41" w:rsidRDefault="004C69DF" w:rsidP="000469EC">
            <w:pPr>
              <w:autoSpaceDE w:val="0"/>
              <w:autoSpaceDN w:val="0"/>
              <w:adjustRightInd w:val="0"/>
            </w:pPr>
            <w:r w:rsidRPr="00BC2D78">
              <w:rPr>
                <w:b/>
              </w:rPr>
              <w:t xml:space="preserve">Source: </w:t>
            </w:r>
            <w:r w:rsidRPr="009C6B41">
              <w:t>Na</w:t>
            </w:r>
            <w:r>
              <w:t>tional Quality Forum (NQF) #0753</w:t>
            </w:r>
          </w:p>
          <w:p w14:paraId="4B91F157" w14:textId="77777777" w:rsidR="004C69DF" w:rsidRPr="00BC2D78" w:rsidRDefault="004C69DF" w:rsidP="000469EC">
            <w:pPr>
              <w:rPr>
                <w:b/>
                <w:snapToGrid w:val="0"/>
              </w:rPr>
            </w:pPr>
          </w:p>
          <w:p w14:paraId="38E4843A" w14:textId="77777777" w:rsidR="004C69DF" w:rsidRPr="002224C9" w:rsidRDefault="004C69DF" w:rsidP="000469EC">
            <w:pPr>
              <w:rPr>
                <w:b/>
                <w:snapToGrid w:val="0"/>
              </w:rPr>
            </w:pPr>
            <w:r w:rsidRPr="00BC2D78">
              <w:rPr>
                <w:b/>
                <w:snapToGrid w:val="0"/>
              </w:rPr>
              <w:t>Reporting Time Period</w:t>
            </w:r>
            <w:r w:rsidRPr="002224C9">
              <w:rPr>
                <w:b/>
                <w:snapToGrid w:val="0"/>
              </w:rPr>
              <w:t>: 12 months</w:t>
            </w:r>
          </w:p>
          <w:p w14:paraId="31B174F2" w14:textId="77777777" w:rsidR="004C69DF" w:rsidRPr="006429C6" w:rsidRDefault="004C69DF" w:rsidP="00ED58C1">
            <w:pPr>
              <w:pStyle w:val="ListParagraph"/>
              <w:numPr>
                <w:ilvl w:val="0"/>
                <w:numId w:val="17"/>
              </w:numPr>
              <w:rPr>
                <w:i/>
                <w:snapToGrid w:val="0"/>
              </w:rPr>
            </w:pPr>
            <w:r w:rsidRPr="006429C6">
              <w:rPr>
                <w:snapToGrid w:val="0"/>
              </w:rPr>
              <w:t>Surveys submitted prior to September 1, 2016: 01/01/2015 – 12/30/2015</w:t>
            </w:r>
          </w:p>
          <w:p w14:paraId="7FE03383" w14:textId="77777777" w:rsidR="004C69DF" w:rsidRPr="006429C6" w:rsidRDefault="004C69DF" w:rsidP="00ED58C1">
            <w:pPr>
              <w:pStyle w:val="ListParagraph"/>
              <w:numPr>
                <w:ilvl w:val="0"/>
                <w:numId w:val="17"/>
              </w:numPr>
              <w:rPr>
                <w:i/>
                <w:snapToGrid w:val="0"/>
              </w:rPr>
            </w:pPr>
            <w:r w:rsidRPr="006429C6">
              <w:rPr>
                <w:snapToGrid w:val="0"/>
              </w:rPr>
              <w:t>Surveys (re)submitted o</w:t>
            </w:r>
            <w:r>
              <w:rPr>
                <w:snapToGrid w:val="0"/>
              </w:rPr>
              <w:t>n or after September 1, 2016: 07</w:t>
            </w:r>
            <w:r w:rsidRPr="006429C6">
              <w:rPr>
                <w:snapToGrid w:val="0"/>
              </w:rPr>
              <w:t>/01/2015 – 06/30/2016</w:t>
            </w:r>
          </w:p>
          <w:p w14:paraId="5725335B" w14:textId="77777777" w:rsidR="004C69DF" w:rsidRPr="00BC2D78" w:rsidRDefault="004C69DF" w:rsidP="000469EC">
            <w:pPr>
              <w:ind w:left="720"/>
            </w:pPr>
          </w:p>
        </w:tc>
      </w:tr>
      <w:tr w:rsidR="004C69DF" w:rsidRPr="007C7DBD" w14:paraId="2508E923" w14:textId="77777777" w:rsidTr="00A41B94">
        <w:trPr>
          <w:jc w:val="center"/>
        </w:trPr>
        <w:tc>
          <w:tcPr>
            <w:tcW w:w="9738" w:type="dxa"/>
          </w:tcPr>
          <w:p w14:paraId="545CC5D8" w14:textId="77777777" w:rsidR="004C69DF" w:rsidRPr="007B76E7" w:rsidRDefault="004C69DF" w:rsidP="007B76E7">
            <w:pPr>
              <w:rPr>
                <w:rFonts w:cs="Arial"/>
                <w:b/>
              </w:rPr>
            </w:pPr>
            <w:r w:rsidRPr="007B76E7">
              <w:rPr>
                <w:rFonts w:cs="Arial"/>
                <w:b/>
              </w:rPr>
              <w:t>Directions for using the NHSN Analysis Output Option, “</w:t>
            </w:r>
            <w:r w:rsidR="007B76E7" w:rsidRPr="007B76E7">
              <w:rPr>
                <w:rFonts w:cs="Arial"/>
                <w:b/>
                <w:bCs/>
                <w:color w:val="000000"/>
              </w:rPr>
              <w:t>SIR – Complex 30-Day SSI Data for CMS IPPS”</w:t>
            </w:r>
            <w:r w:rsidRPr="007B76E7">
              <w:rPr>
                <w:rFonts w:cs="Arial"/>
                <w:b/>
              </w:rPr>
              <w:t xml:space="preserve"> for </w:t>
            </w:r>
            <w:r w:rsidR="007B76E7" w:rsidRPr="007B76E7">
              <w:rPr>
                <w:rFonts w:cs="Arial"/>
                <w:b/>
              </w:rPr>
              <w:t>completing question #7</w:t>
            </w:r>
            <w:r w:rsidRPr="007B76E7">
              <w:rPr>
                <w:rFonts w:cs="Arial"/>
                <w:b/>
              </w:rPr>
              <w:t>:</w:t>
            </w:r>
          </w:p>
          <w:p w14:paraId="061ECC29" w14:textId="77777777" w:rsidR="004C69DF" w:rsidRDefault="004C69DF" w:rsidP="000469EC"/>
          <w:p w14:paraId="668AE874" w14:textId="77777777" w:rsidR="004C69DF" w:rsidRPr="00B75A52" w:rsidRDefault="004C69DF" w:rsidP="000469EC">
            <w:pPr>
              <w:rPr>
                <w:rFonts w:cs="Arial"/>
              </w:rPr>
            </w:pPr>
            <w:r w:rsidRPr="00B75A52">
              <w:rPr>
                <w:rFonts w:cs="Arial"/>
              </w:rPr>
              <w:t>The NHSN Analysis Output Option,</w:t>
            </w:r>
            <w:r w:rsidR="007B76E7" w:rsidRPr="00B75A52">
              <w:rPr>
                <w:rFonts w:cs="Arial"/>
              </w:rPr>
              <w:t xml:space="preserve"> “</w:t>
            </w:r>
            <w:r w:rsidR="007B76E7" w:rsidRPr="00A15EC6">
              <w:rPr>
                <w:rFonts w:cs="Arial"/>
                <w:color w:val="000000"/>
              </w:rPr>
              <w:t>SIR – Complex 30-Day SSI Data for CMS IPPS”</w:t>
            </w:r>
            <w:r w:rsidRPr="00B75A52">
              <w:rPr>
                <w:rFonts w:cs="Arial"/>
              </w:rPr>
              <w:t xml:space="preserve"> was created in order to allow facilities to review th</w:t>
            </w:r>
            <w:r w:rsidR="007B76E7" w:rsidRPr="00B75A52">
              <w:rPr>
                <w:rFonts w:cs="Arial"/>
              </w:rPr>
              <w:t xml:space="preserve">ose </w:t>
            </w:r>
            <w:r w:rsidR="007B76E7" w:rsidRPr="00316122">
              <w:rPr>
                <w:rFonts w:cs="Arial"/>
                <w:b/>
              </w:rPr>
              <w:t>SSI COLO</w:t>
            </w:r>
            <w:r w:rsidRPr="00B75A52">
              <w:rPr>
                <w:rFonts w:cs="Arial"/>
              </w:rPr>
              <w:t xml:space="preserve"> data that would be submitted to CMS on their behalf. However, this same output option can be used to report to the survey </w:t>
            </w:r>
            <w:r w:rsidRPr="00B75A52">
              <w:rPr>
                <w:rFonts w:cs="Arial"/>
                <w:u w:val="single"/>
              </w:rPr>
              <w:t>using the reporting periods listed above</w:t>
            </w:r>
            <w:r w:rsidRPr="00B75A52">
              <w:rPr>
                <w:rFonts w:cs="Arial"/>
              </w:rPr>
              <w:t xml:space="preserve">.  </w:t>
            </w:r>
          </w:p>
          <w:p w14:paraId="7A04A6BE" w14:textId="77777777" w:rsidR="004C69DF" w:rsidRPr="00B75A52" w:rsidRDefault="004C69DF" w:rsidP="000469EC">
            <w:pPr>
              <w:rPr>
                <w:rFonts w:cs="Arial"/>
              </w:rPr>
            </w:pPr>
          </w:p>
          <w:p w14:paraId="1F7DC9DA" w14:textId="77777777" w:rsidR="004C69DF" w:rsidRPr="00B75A52" w:rsidRDefault="004C69DF" w:rsidP="000469EC">
            <w:pPr>
              <w:rPr>
                <w:rFonts w:cs="Arial"/>
                <w:bCs/>
              </w:rPr>
            </w:pPr>
            <w:r w:rsidRPr="00B75A52">
              <w:rPr>
                <w:rFonts w:cs="Arial"/>
              </w:rPr>
              <w:t xml:space="preserve">This report will </w:t>
            </w:r>
            <w:r w:rsidR="007B76E7" w:rsidRPr="00B75A52">
              <w:rPr>
                <w:rFonts w:cs="Arial"/>
              </w:rPr>
              <w:t>include</w:t>
            </w:r>
            <w:r w:rsidR="007B76E7" w:rsidRPr="00B75A52">
              <w:rPr>
                <w:rFonts w:cs="Arial"/>
                <w:bCs/>
              </w:rPr>
              <w:t xml:space="preserve"> </w:t>
            </w:r>
            <w:r w:rsidR="007B76E7" w:rsidRPr="00A15EC6">
              <w:rPr>
                <w:rFonts w:cs="Arial"/>
                <w:color w:val="000000"/>
              </w:rPr>
              <w:t xml:space="preserve">in-plan, inpatient </w:t>
            </w:r>
            <w:r w:rsidR="007B76E7" w:rsidRPr="00316122">
              <w:rPr>
                <w:rFonts w:cs="Arial"/>
                <w:b/>
                <w:color w:val="000000"/>
              </w:rPr>
              <w:t>COLO</w:t>
            </w:r>
            <w:r w:rsidR="007B76E7" w:rsidRPr="00A15EC6">
              <w:rPr>
                <w:rFonts w:cs="Arial"/>
                <w:color w:val="000000"/>
              </w:rPr>
              <w:t xml:space="preserve"> procedures in adult patients (i.e., ≥ 18 years of age at the time of the procedure</w:t>
            </w:r>
            <w:r w:rsidRPr="00B75A52">
              <w:rPr>
                <w:rFonts w:cs="Arial"/>
                <w:bCs/>
              </w:rPr>
              <w:t xml:space="preserve"> data by quarter as well as the SIR for the hospital. Be sure you are using the correct date range when generating your report:</w:t>
            </w:r>
          </w:p>
          <w:p w14:paraId="37B5695E" w14:textId="77777777" w:rsidR="004C69DF" w:rsidRPr="00B75A52" w:rsidRDefault="004C69DF" w:rsidP="00ED58C1">
            <w:pPr>
              <w:pStyle w:val="ListParagraph"/>
              <w:numPr>
                <w:ilvl w:val="0"/>
                <w:numId w:val="120"/>
              </w:numPr>
              <w:rPr>
                <w:rFonts w:cs="Arial"/>
              </w:rPr>
            </w:pPr>
            <w:r w:rsidRPr="00B75A52">
              <w:rPr>
                <w:rFonts w:cs="Arial"/>
                <w:bCs/>
              </w:rPr>
              <w:t>For hospitals submitting the survey prior to September 1, 2016, use</w:t>
            </w:r>
            <w:r w:rsidRPr="00B75A52">
              <w:rPr>
                <w:rFonts w:cs="Arial"/>
                <w:b/>
                <w:bCs/>
              </w:rPr>
              <w:t xml:space="preserve"> summaryYQ 2015Q1 to 2015Q4.  </w:t>
            </w:r>
          </w:p>
          <w:p w14:paraId="45980554" w14:textId="77777777" w:rsidR="004C69DF" w:rsidRPr="00B75A52" w:rsidRDefault="004C69DF" w:rsidP="00ED58C1">
            <w:pPr>
              <w:pStyle w:val="ListParagraph"/>
              <w:numPr>
                <w:ilvl w:val="0"/>
                <w:numId w:val="120"/>
              </w:numPr>
              <w:rPr>
                <w:rFonts w:cs="Arial"/>
              </w:rPr>
            </w:pPr>
            <w:r w:rsidRPr="00B75A52">
              <w:rPr>
                <w:rFonts w:cs="Arial"/>
                <w:bCs/>
              </w:rPr>
              <w:t xml:space="preserve">For hospitals submitting the survey on or after September 1, 2016, use </w:t>
            </w:r>
            <w:r w:rsidRPr="00B75A52">
              <w:rPr>
                <w:rFonts w:cs="Arial"/>
                <w:b/>
                <w:bCs/>
              </w:rPr>
              <w:t xml:space="preserve">summaryYQ 2015Q2 to 2016Q2. </w:t>
            </w:r>
          </w:p>
          <w:p w14:paraId="74113A9C" w14:textId="77777777" w:rsidR="004C69DF" w:rsidRPr="00B75A52" w:rsidRDefault="004C69DF" w:rsidP="000469EC">
            <w:pPr>
              <w:rPr>
                <w:rFonts w:cs="Arial"/>
              </w:rPr>
            </w:pPr>
          </w:p>
          <w:p w14:paraId="54025D5E" w14:textId="77777777" w:rsidR="004C69DF" w:rsidRDefault="004C69DF" w:rsidP="000469EC">
            <w:pPr>
              <w:rPr>
                <w:rFonts w:cs="Arial"/>
              </w:rPr>
            </w:pPr>
            <w:r w:rsidRPr="00B75A52">
              <w:rPr>
                <w:rFonts w:cs="Arial"/>
              </w:rPr>
              <w:t xml:space="preserve">Once you have generated the report, enter the SIR exactly as it appears (see screenshot below) in question #5. </w:t>
            </w:r>
          </w:p>
          <w:p w14:paraId="79C4D229" w14:textId="77777777" w:rsidR="009D3EE4" w:rsidRPr="00B75A52" w:rsidRDefault="009D3EE4" w:rsidP="000469EC">
            <w:pPr>
              <w:rPr>
                <w:rFonts w:cs="Arial"/>
              </w:rPr>
            </w:pPr>
          </w:p>
          <w:p w14:paraId="0EBF6822" w14:textId="77777777" w:rsidR="004C69DF" w:rsidRDefault="00B44E0D" w:rsidP="009D3EE4">
            <w:pPr>
              <w:jc w:val="center"/>
            </w:pPr>
            <w:r>
              <w:rPr>
                <w:noProof/>
              </w:rPr>
              <mc:AlternateContent>
                <mc:Choice Requires="wps">
                  <w:drawing>
                    <wp:anchor distT="0" distB="0" distL="114300" distR="114300" simplePos="0" relativeHeight="251676672" behindDoc="0" locked="0" layoutInCell="1" allowOverlap="1" wp14:anchorId="30434EF6" wp14:editId="2138F90D">
                      <wp:simplePos x="0" y="0"/>
                      <wp:positionH relativeFrom="column">
                        <wp:posOffset>56515</wp:posOffset>
                      </wp:positionH>
                      <wp:positionV relativeFrom="paragraph">
                        <wp:posOffset>257175</wp:posOffset>
                      </wp:positionV>
                      <wp:extent cx="590550" cy="2190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90550"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878D264" id="Rectangle 12" o:spid="_x0000_s1026" style="position:absolute;margin-left:4.45pt;margin-top:20.25pt;width:46.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" filled="f" strokecolor="red" strokeweight="2pt"/>
                  </w:pict>
                </mc:Fallback>
              </mc:AlternateContent>
            </w:r>
            <w:r w:rsidR="009D3EE4">
              <w:rPr>
                <w:noProof/>
              </w:rPr>
              <w:drawing>
                <wp:inline distT="0" distB="0" distL="0" distR="0" wp14:anchorId="21B73EB7" wp14:editId="0DEDC7E7">
                  <wp:extent cx="5943600" cy="6591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Colon_MHSNOutput_ScreenShot.JPG"/>
                          <pic:cNvPicPr/>
                        </pic:nvPicPr>
                        <pic:blipFill>
                          <a:blip r:embed="rId181">
                            <a:extLst>
                              <a:ext uri="{28A0092B-C50C-407E-A947-70E740481C1C}">
                                <a14:useLocalDpi xmlns:a14="http://schemas.microsoft.com/office/drawing/2010/main" val="0"/>
                              </a:ext>
                            </a:extLst>
                          </a:blip>
                          <a:stretch>
                            <a:fillRect/>
                          </a:stretch>
                        </pic:blipFill>
                        <pic:spPr>
                          <a:xfrm>
                            <a:off x="0" y="0"/>
                            <a:ext cx="5943600" cy="659130"/>
                          </a:xfrm>
                          <a:prstGeom prst="rect">
                            <a:avLst/>
                          </a:prstGeom>
                        </pic:spPr>
                      </pic:pic>
                    </a:graphicData>
                  </a:graphic>
                </wp:inline>
              </w:drawing>
            </w:r>
          </w:p>
          <w:p w14:paraId="600A8FEE" w14:textId="77777777" w:rsidR="009D3EE4" w:rsidRDefault="009D3EE4" w:rsidP="000469EC"/>
          <w:p w14:paraId="1040846A" w14:textId="77777777" w:rsidR="004C69DF" w:rsidRPr="00B405FC" w:rsidRDefault="004C69DF" w:rsidP="000469EC">
            <w:pPr>
              <w:rPr>
                <w:b/>
                <w:bCs/>
              </w:rPr>
            </w:pPr>
            <w:r w:rsidRPr="00615551">
              <w:t>If you have specific questions about the data appearing on your dashboard</w:t>
            </w:r>
            <w:r>
              <w:t xml:space="preserve">, please contact the CDC. </w:t>
            </w:r>
          </w:p>
          <w:p w14:paraId="1624A004" w14:textId="77777777" w:rsidR="004C69DF" w:rsidRDefault="004C69DF" w:rsidP="000469EC"/>
          <w:p w14:paraId="161B7433" w14:textId="77777777" w:rsidR="004C69DF" w:rsidRPr="00A15EC6" w:rsidRDefault="007B76E7" w:rsidP="000469EC">
            <w:pPr>
              <w:rPr>
                <w:rFonts w:cs="Arial"/>
                <w:color w:val="000000"/>
              </w:rPr>
            </w:pPr>
            <w:r w:rsidRPr="00A15EC6">
              <w:rPr>
                <w:rFonts w:cs="Arial"/>
                <w:color w:val="000000"/>
              </w:rPr>
              <w:t xml:space="preserve">To learn more about the standardized infection ratio (SIR), including how it is calculated for SSI data, please see the SIR Newsletter at: </w:t>
            </w:r>
            <w:hyperlink r:id="rId182" w:history="1">
              <w:r w:rsidRPr="00A15EC6">
                <w:rPr>
                  <w:rStyle w:val="Hyperlink"/>
                  <w:rFonts w:cs="Arial"/>
                </w:rPr>
                <w:t>http://www.cdc.gov/nhsn/PDFs/Newsletters/NHSN_NL_OCT_2010SE_final.pdf</w:t>
              </w:r>
            </w:hyperlink>
          </w:p>
          <w:p w14:paraId="36458B97" w14:textId="77777777" w:rsidR="007B76E7" w:rsidRPr="007C7DBD" w:rsidRDefault="007B76E7" w:rsidP="000469EC"/>
        </w:tc>
      </w:tr>
    </w:tbl>
    <w:p w14:paraId="61E4AFEA" w14:textId="77777777" w:rsidR="00615551" w:rsidRDefault="00615551">
      <w:pPr>
        <w:rPr>
          <w:rFonts w:ascii="Calibri" w:hAnsi="Calibri" w:cs="Calibri"/>
          <w:b/>
          <w:bCs/>
          <w:color w:val="000000"/>
          <w:sz w:val="28"/>
          <w:szCs w:val="28"/>
        </w:rPr>
      </w:pPr>
    </w:p>
    <w:p w14:paraId="1D3D99CC" w14:textId="77777777" w:rsidR="007B76E7" w:rsidRDefault="007B76E7">
      <w:pPr>
        <w:rPr>
          <w:b/>
          <w:sz w:val="28"/>
          <w:u w:val="single"/>
          <w:lang w:eastAsia="ja-JP"/>
        </w:rPr>
      </w:pPr>
    </w:p>
    <w:p w14:paraId="5F41EF44" w14:textId="77777777" w:rsidR="00316122" w:rsidRDefault="00316122">
      <w:pPr>
        <w:rPr>
          <w:b/>
          <w:sz w:val="28"/>
          <w:u w:val="single"/>
          <w:lang w:eastAsia="ja-JP"/>
        </w:rPr>
      </w:pPr>
      <w:r>
        <w:br w:type="page"/>
      </w:r>
    </w:p>
    <w:p w14:paraId="7F84DA77" w14:textId="77777777" w:rsidR="00733926" w:rsidRPr="0095617B" w:rsidRDefault="00733926" w:rsidP="00954B73">
      <w:pPr>
        <w:pStyle w:val="Heading2"/>
        <w:rPr>
          <w:bCs/>
        </w:rPr>
      </w:pPr>
      <w:bookmarkStart w:id="312" w:name="_Toc447195076"/>
      <w:bookmarkStart w:id="313" w:name="PUInjSpecs"/>
      <w:r>
        <w:lastRenderedPageBreak/>
        <w:t>Hospital-Acquired Pressure Ulcers and Injuries</w:t>
      </w:r>
      <w:bookmarkEnd w:id="309"/>
      <w:r w:rsidR="0013260C">
        <w:t xml:space="preserve"> References</w:t>
      </w:r>
      <w:bookmarkEnd w:id="312"/>
      <w:r w:rsidR="0013260C">
        <w:t xml:space="preserve"> </w:t>
      </w:r>
    </w:p>
    <w:bookmarkEnd w:id="313"/>
    <w:p w14:paraId="26BE1479" w14:textId="77777777" w:rsidR="00733926" w:rsidRDefault="00733926" w:rsidP="00733926">
      <w:pPr>
        <w:pStyle w:val="BodyText3"/>
        <w:rPr>
          <w:b/>
          <w:color w:val="FF0000"/>
          <w:lang w:eastAsia="ja-JP"/>
        </w:rPr>
      </w:pPr>
    </w:p>
    <w:p w14:paraId="65242891" w14:textId="77777777" w:rsidR="00453724" w:rsidRDefault="002F1946" w:rsidP="00733926">
      <w:pPr>
        <w:pStyle w:val="BodyText3"/>
        <w:rPr>
          <w:b/>
          <w:color w:val="FF0000"/>
          <w:lang w:eastAsia="ja-JP"/>
        </w:rPr>
      </w:pPr>
      <w:r>
        <w:rPr>
          <w:b/>
          <w:color w:val="FF0000"/>
          <w:lang w:eastAsia="ja-JP"/>
        </w:rPr>
        <w:t xml:space="preserve">Important </w:t>
      </w:r>
      <w:r w:rsidR="00733926" w:rsidRPr="006B064A">
        <w:rPr>
          <w:b/>
          <w:color w:val="FF0000"/>
          <w:lang w:eastAsia="ja-JP"/>
        </w:rPr>
        <w:t>Note</w:t>
      </w:r>
      <w:r w:rsidR="00453724">
        <w:rPr>
          <w:b/>
          <w:color w:val="FF0000"/>
          <w:lang w:eastAsia="ja-JP"/>
        </w:rPr>
        <w:t>s</w:t>
      </w:r>
    </w:p>
    <w:p w14:paraId="37352EE0" w14:textId="77777777" w:rsidR="00453724" w:rsidRDefault="00453724" w:rsidP="00733926">
      <w:pPr>
        <w:pStyle w:val="BodyText3"/>
        <w:rPr>
          <w:b/>
          <w:color w:val="FF0000"/>
          <w:lang w:eastAsia="ja-JP"/>
        </w:rPr>
      </w:pPr>
    </w:p>
    <w:p w14:paraId="0E5405F2" w14:textId="77777777" w:rsidR="00F930FE" w:rsidRPr="002F1946" w:rsidRDefault="00453724" w:rsidP="00733926">
      <w:pPr>
        <w:pStyle w:val="BodyText3"/>
        <w:rPr>
          <w:color w:val="auto"/>
          <w:lang w:eastAsia="ja-JP"/>
        </w:rPr>
      </w:pPr>
      <w:r w:rsidRPr="00A15EC6">
        <w:rPr>
          <w:color w:val="auto"/>
          <w:lang w:eastAsia="ja-JP"/>
        </w:rPr>
        <w:t>Note 1:</w:t>
      </w:r>
      <w:r>
        <w:rPr>
          <w:color w:val="auto"/>
          <w:lang w:eastAsia="ja-JP"/>
        </w:rPr>
        <w:t xml:space="preserve"> </w:t>
      </w:r>
      <w:r w:rsidR="00733926" w:rsidRPr="002F1946">
        <w:rPr>
          <w:color w:val="auto"/>
          <w:lang w:eastAsia="ja-JP"/>
        </w:rPr>
        <w:t>This section does not apply to pediatric hospitals.</w:t>
      </w:r>
    </w:p>
    <w:p w14:paraId="4874BBBA" w14:textId="77777777" w:rsidR="002F1946" w:rsidRPr="002F1946" w:rsidRDefault="002F1946" w:rsidP="00733926">
      <w:pPr>
        <w:pStyle w:val="BodyText3"/>
        <w:rPr>
          <w:color w:val="auto"/>
          <w:lang w:eastAsia="ja-JP"/>
        </w:rPr>
      </w:pPr>
    </w:p>
    <w:p w14:paraId="4152ABDB" w14:textId="77777777" w:rsidR="002F1946" w:rsidRDefault="00453724" w:rsidP="002F1946">
      <w:r w:rsidRPr="00A15EC6">
        <w:t>Note 2</w:t>
      </w:r>
      <w:r w:rsidR="002F1946" w:rsidRPr="00A15EC6">
        <w:t xml:space="preserve">: </w:t>
      </w:r>
      <w:r w:rsidR="002F1946">
        <w:t>This section does not apply to c</w:t>
      </w:r>
      <w:r w:rsidR="002F1946" w:rsidRPr="002F1946">
        <w:t>ritical access hospitals (CAH) that do not collect Present-on-Admission (POA) indicators</w:t>
      </w:r>
      <w:r w:rsidR="002F1946">
        <w:t xml:space="preserve">. </w:t>
      </w:r>
    </w:p>
    <w:p w14:paraId="1B97CFDF" w14:textId="77777777" w:rsidR="00935DF3" w:rsidRDefault="00935DF3" w:rsidP="002F1946"/>
    <w:p w14:paraId="2A0E534A" w14:textId="77777777" w:rsidR="00935DF3" w:rsidRPr="0064237E" w:rsidRDefault="00935DF3" w:rsidP="00935DF3">
      <w:r>
        <w:t xml:space="preserve">Note 3: </w:t>
      </w:r>
      <w:r w:rsidRPr="00F126A0">
        <w:rPr>
          <w:snapToGrid w:val="0"/>
        </w:rPr>
        <w:t xml:space="preserve">Hospitals that share a Medicare Provider Number are required to report by facility. Please carefully review </w:t>
      </w:r>
      <w:hyperlink r:id="rId183" w:history="1">
        <w:r w:rsidRPr="00F126A0">
          <w:rPr>
            <w:rStyle w:val="Hyperlink"/>
            <w:snapToGrid w:val="0"/>
          </w:rPr>
          <w:t>Leapfrog’s Multi-Campus Reporting Policy</w:t>
        </w:r>
      </w:hyperlink>
      <w:r w:rsidRPr="00F126A0">
        <w:rPr>
          <w:snapToGrid w:val="0"/>
        </w:rPr>
        <w:t>.</w:t>
      </w:r>
    </w:p>
    <w:p w14:paraId="029DF6FB" w14:textId="77777777" w:rsidR="00935DF3" w:rsidRPr="001313DC" w:rsidRDefault="00935DF3" w:rsidP="002F1946">
      <w:pPr>
        <w:rPr>
          <w:b/>
          <w:color w:val="FF0000"/>
        </w:rPr>
      </w:pPr>
    </w:p>
    <w:p w14:paraId="0118BE66" w14:textId="77777777" w:rsidR="00733926" w:rsidRPr="0076462C" w:rsidRDefault="00733926" w:rsidP="0073392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4D71C7" w:rsidRPr="0076462C" w14:paraId="1B2460E4" w14:textId="77777777" w:rsidTr="00A15EC6">
        <w:trPr>
          <w:jc w:val="center"/>
        </w:trPr>
        <w:tc>
          <w:tcPr>
            <w:tcW w:w="4997" w:type="dxa"/>
            <w:shd w:val="clear" w:color="auto" w:fill="auto"/>
          </w:tcPr>
          <w:p w14:paraId="2D4CFFE9" w14:textId="77777777" w:rsidR="004D71C7" w:rsidRPr="0076462C" w:rsidRDefault="004D71C7" w:rsidP="004D71C7">
            <w:pPr>
              <w:autoSpaceDE w:val="0"/>
              <w:autoSpaceDN w:val="0"/>
              <w:adjustRightInd w:val="0"/>
              <w:jc w:val="cente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7E026899" w14:textId="77777777" w:rsidR="004D71C7" w:rsidRDefault="004D71C7" w:rsidP="004D71C7">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 xml:space="preserve">s 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3D73B646" w14:textId="77777777" w:rsidR="004D71C7" w:rsidRPr="0076462C" w:rsidRDefault="004D71C7" w:rsidP="004D71C7">
            <w:pPr>
              <w:autoSpaceDE w:val="0"/>
              <w:autoSpaceDN w:val="0"/>
              <w:adjustRightInd w:val="0"/>
              <w:jc w:val="center"/>
            </w:pPr>
          </w:p>
        </w:tc>
      </w:tr>
      <w:tr w:rsidR="004D71C7" w:rsidRPr="0076462C" w14:paraId="3CB30ECA" w14:textId="77777777" w:rsidTr="000469EC">
        <w:trPr>
          <w:jc w:val="center"/>
        </w:trPr>
        <w:tc>
          <w:tcPr>
            <w:tcW w:w="9994" w:type="dxa"/>
            <w:gridSpan w:val="2"/>
            <w:shd w:val="clear" w:color="auto" w:fill="CCCCCC"/>
          </w:tcPr>
          <w:p w14:paraId="5DA5CCEA" w14:textId="77777777" w:rsidR="004D71C7" w:rsidRPr="004D71C7" w:rsidRDefault="004D71C7" w:rsidP="006934E2">
            <w:pPr>
              <w:pStyle w:val="Heading44"/>
            </w:pPr>
            <w:r w:rsidRPr="0076462C">
              <w:br w:type="page"/>
            </w:r>
            <w:r w:rsidRPr="0076462C">
              <w:br w:type="page"/>
              <w:t>Pressure Ulcers</w:t>
            </w:r>
          </w:p>
        </w:tc>
      </w:tr>
      <w:tr w:rsidR="004D71C7" w:rsidRPr="0076462C" w14:paraId="1ED3D6AA" w14:textId="77777777" w:rsidTr="00A15EC6">
        <w:trPr>
          <w:jc w:val="center"/>
        </w:trPr>
        <w:tc>
          <w:tcPr>
            <w:tcW w:w="4997" w:type="dxa"/>
          </w:tcPr>
          <w:p w14:paraId="3C4B36CC"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2C81FAAA" w14:textId="77777777" w:rsidR="004D71C7" w:rsidRPr="0076462C" w:rsidRDefault="004D71C7" w:rsidP="004D71C7">
            <w:pPr>
              <w:rPr>
                <w:b/>
                <w:snapToGrid w:val="0"/>
              </w:rPr>
            </w:pPr>
          </w:p>
          <w:p w14:paraId="117A1B56" w14:textId="77777777" w:rsidR="004D71C7" w:rsidRPr="0076462C" w:rsidRDefault="004D71C7" w:rsidP="004D71C7">
            <w:pPr>
              <w:rPr>
                <w:snapToGrid w:val="0"/>
              </w:rPr>
            </w:pPr>
            <w:r>
              <w:rPr>
                <w:b/>
                <w:snapToGrid w:val="0"/>
              </w:rPr>
              <w:t xml:space="preserve">Reporting Time Period: </w:t>
            </w:r>
            <w:r w:rsidRPr="0013260C">
              <w:rPr>
                <w:b/>
                <w:snapToGrid w:val="0"/>
              </w:rPr>
              <w:t>9 months</w:t>
            </w:r>
          </w:p>
          <w:p w14:paraId="147761F9" w14:textId="77777777" w:rsidR="004D71C7" w:rsidRPr="0013260C" w:rsidRDefault="004D71C7" w:rsidP="00ED58C1">
            <w:pPr>
              <w:numPr>
                <w:ilvl w:val="0"/>
                <w:numId w:val="17"/>
              </w:numPr>
              <w:rPr>
                <w:b/>
              </w:rPr>
            </w:pPr>
            <w:r>
              <w:rPr>
                <w:snapToGrid w:val="0"/>
              </w:rPr>
              <w:t>January 1, 2015 – September 30, 2015</w:t>
            </w:r>
          </w:p>
          <w:p w14:paraId="42F65BFB" w14:textId="77777777" w:rsidR="004D71C7" w:rsidRPr="0076462C" w:rsidRDefault="004D71C7" w:rsidP="004D71C7">
            <w:pPr>
              <w:ind w:left="720"/>
              <w:rPr>
                <w:b/>
              </w:rPr>
            </w:pPr>
          </w:p>
        </w:tc>
        <w:tc>
          <w:tcPr>
            <w:tcW w:w="4997" w:type="dxa"/>
          </w:tcPr>
          <w:p w14:paraId="003393D0"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55BA4E0E" w14:textId="77777777" w:rsidR="004D71C7" w:rsidRPr="0076462C" w:rsidRDefault="004D71C7" w:rsidP="004D71C7">
            <w:pPr>
              <w:rPr>
                <w:b/>
                <w:snapToGrid w:val="0"/>
              </w:rPr>
            </w:pPr>
          </w:p>
          <w:p w14:paraId="67515177" w14:textId="77777777" w:rsidR="004D71C7" w:rsidRPr="0076462C" w:rsidRDefault="004D71C7" w:rsidP="004D71C7">
            <w:pPr>
              <w:rPr>
                <w:snapToGrid w:val="0"/>
              </w:rPr>
            </w:pPr>
            <w:r>
              <w:rPr>
                <w:b/>
                <w:snapToGrid w:val="0"/>
              </w:rPr>
              <w:t xml:space="preserve">Reporting Time Period: </w:t>
            </w:r>
            <w:r w:rsidRPr="0013260C">
              <w:rPr>
                <w:b/>
                <w:snapToGrid w:val="0"/>
              </w:rPr>
              <w:t>9 months</w:t>
            </w:r>
          </w:p>
          <w:p w14:paraId="35AF3D6A" w14:textId="77777777" w:rsidR="004D71C7" w:rsidRPr="004D71C7" w:rsidRDefault="004D71C7" w:rsidP="00ED58C1">
            <w:pPr>
              <w:numPr>
                <w:ilvl w:val="0"/>
                <w:numId w:val="17"/>
              </w:numPr>
              <w:rPr>
                <w:b/>
              </w:rPr>
            </w:pPr>
            <w:r>
              <w:rPr>
                <w:snapToGrid w:val="0"/>
              </w:rPr>
              <w:t>October 1, 2015 – June 30, 2016</w:t>
            </w:r>
          </w:p>
        </w:tc>
      </w:tr>
      <w:tr w:rsidR="004D71C7" w:rsidRPr="0076462C" w14:paraId="3A980FC7" w14:textId="77777777" w:rsidTr="00A15EC6">
        <w:trPr>
          <w:jc w:val="center"/>
        </w:trPr>
        <w:tc>
          <w:tcPr>
            <w:tcW w:w="4997" w:type="dxa"/>
          </w:tcPr>
          <w:p w14:paraId="3FDEF25A" w14:textId="77777777" w:rsidR="004D71C7" w:rsidRDefault="004D71C7" w:rsidP="004D71C7">
            <w:pPr>
              <w:rPr>
                <w:b/>
                <w:bCs/>
              </w:rPr>
            </w:pPr>
            <w:r>
              <w:rPr>
                <w:b/>
                <w:bCs/>
              </w:rPr>
              <w:t>Q.3</w:t>
            </w:r>
          </w:p>
          <w:p w14:paraId="6704422E" w14:textId="77777777" w:rsidR="004D71C7" w:rsidRDefault="004D71C7" w:rsidP="004D71C7">
            <w:pPr>
              <w:rPr>
                <w:snapToGrid w:val="0"/>
                <w:color w:val="000000"/>
              </w:rPr>
            </w:pPr>
            <w:r w:rsidRPr="0076462C">
              <w:rPr>
                <w:b/>
                <w:bCs/>
              </w:rPr>
              <w:t xml:space="preserve">Denominator: </w:t>
            </w:r>
            <w:r w:rsidRPr="0076462C">
              <w:t xml:space="preserve">Total </w:t>
            </w:r>
            <w:r w:rsidRPr="003D168F">
              <w:t>adult (ages 18 and older)</w:t>
            </w:r>
            <w:r>
              <w:t xml:space="preserve"> </w:t>
            </w:r>
            <w:r w:rsidRPr="0076462C">
              <w:t xml:space="preserve">inpatient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 xml:space="preserve">.] </w:t>
            </w:r>
          </w:p>
          <w:p w14:paraId="296BD699" w14:textId="77777777" w:rsidR="004D71C7" w:rsidRPr="0076462C" w:rsidRDefault="004D71C7" w:rsidP="004D71C7">
            <w:pPr>
              <w:autoSpaceDE w:val="0"/>
              <w:autoSpaceDN w:val="0"/>
              <w:adjustRightInd w:val="0"/>
            </w:pPr>
          </w:p>
        </w:tc>
        <w:tc>
          <w:tcPr>
            <w:tcW w:w="4997" w:type="dxa"/>
          </w:tcPr>
          <w:p w14:paraId="29147709" w14:textId="77777777" w:rsidR="004D71C7" w:rsidRDefault="004D71C7" w:rsidP="004D71C7">
            <w:pPr>
              <w:rPr>
                <w:b/>
                <w:bCs/>
              </w:rPr>
            </w:pPr>
            <w:r>
              <w:rPr>
                <w:b/>
                <w:bCs/>
              </w:rPr>
              <w:t>Q.3</w:t>
            </w:r>
          </w:p>
          <w:p w14:paraId="11276ABD" w14:textId="77777777" w:rsidR="004D71C7" w:rsidRDefault="004D71C7" w:rsidP="004D71C7">
            <w:pPr>
              <w:rPr>
                <w:snapToGrid w:val="0"/>
                <w:color w:val="000000"/>
              </w:rPr>
            </w:pPr>
            <w:r w:rsidRPr="0076462C">
              <w:rPr>
                <w:b/>
                <w:bCs/>
              </w:rPr>
              <w:t xml:space="preserve">Denominator: </w:t>
            </w:r>
            <w:r w:rsidRPr="0076462C">
              <w:t xml:space="preserve">Total </w:t>
            </w:r>
            <w:r w:rsidRPr="003D168F">
              <w:t>adult (ages 18 and older)</w:t>
            </w:r>
            <w:r>
              <w:t xml:space="preserve"> </w:t>
            </w:r>
            <w:r w:rsidRPr="0076462C">
              <w:t xml:space="preserve">inpatient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 xml:space="preserve">.] </w:t>
            </w:r>
          </w:p>
          <w:p w14:paraId="30369FAA" w14:textId="77777777" w:rsidR="004D71C7" w:rsidRDefault="004D71C7" w:rsidP="004D71C7">
            <w:pPr>
              <w:rPr>
                <w:b/>
                <w:bCs/>
              </w:rPr>
            </w:pPr>
          </w:p>
        </w:tc>
      </w:tr>
      <w:tr w:rsidR="004D71C7" w:rsidRPr="0076462C" w14:paraId="201F497A" w14:textId="77777777" w:rsidTr="00A15EC6">
        <w:trPr>
          <w:jc w:val="center"/>
        </w:trPr>
        <w:tc>
          <w:tcPr>
            <w:tcW w:w="4997" w:type="dxa"/>
          </w:tcPr>
          <w:p w14:paraId="76A22905" w14:textId="77777777" w:rsidR="004D71C7" w:rsidRDefault="004D71C7" w:rsidP="004D71C7">
            <w:pPr>
              <w:rPr>
                <w:b/>
                <w:bCs/>
              </w:rPr>
            </w:pPr>
            <w:r>
              <w:rPr>
                <w:b/>
                <w:bCs/>
              </w:rPr>
              <w:t>Q.4</w:t>
            </w:r>
          </w:p>
          <w:p w14:paraId="460C9BF4" w14:textId="77777777" w:rsidR="004D71C7" w:rsidRPr="0076462C" w:rsidRDefault="004D71C7" w:rsidP="004D71C7">
            <w:r w:rsidRPr="0076462C">
              <w:rPr>
                <w:b/>
                <w:bCs/>
              </w:rPr>
              <w:t>Numerator</w:t>
            </w:r>
            <w:r w:rsidRPr="0076462C">
              <w:t>: Number of eligible cases included in denominator with any ICD-9 diagnosis code in a secondary diagnosis field</w:t>
            </w:r>
            <w:r>
              <w:t xml:space="preserve"> (diagnosis 2-9 on a claim)</w:t>
            </w:r>
            <w:r w:rsidRPr="0076462C">
              <w:t xml:space="preserve"> of 707.23 or 707.24</w:t>
            </w:r>
            <w:r>
              <w:t xml:space="preserve"> AND the diagnosis has </w:t>
            </w:r>
            <w:r>
              <w:rPr>
                <w:snapToGrid w:val="0"/>
                <w:color w:val="000000"/>
              </w:rPr>
              <w:t>a Present-on-Admission (POA) indicator of “N” or “U”.</w:t>
            </w:r>
          </w:p>
          <w:p w14:paraId="6CC7B249" w14:textId="77777777" w:rsidR="004D71C7" w:rsidRPr="0076462C" w:rsidRDefault="004D71C7" w:rsidP="004D71C7">
            <w:pPr>
              <w:autoSpaceDE w:val="0"/>
              <w:autoSpaceDN w:val="0"/>
              <w:adjustRightInd w:val="0"/>
            </w:pPr>
          </w:p>
        </w:tc>
        <w:tc>
          <w:tcPr>
            <w:tcW w:w="4997" w:type="dxa"/>
          </w:tcPr>
          <w:p w14:paraId="440F81C5" w14:textId="77777777" w:rsidR="004D71C7" w:rsidRPr="00E70382" w:rsidRDefault="004D71C7" w:rsidP="004D71C7">
            <w:pPr>
              <w:rPr>
                <w:b/>
                <w:bCs/>
              </w:rPr>
            </w:pPr>
            <w:r w:rsidRPr="00E70382">
              <w:rPr>
                <w:b/>
                <w:bCs/>
              </w:rPr>
              <w:t>Q.4</w:t>
            </w:r>
          </w:p>
          <w:p w14:paraId="21F24819" w14:textId="44EBAE07" w:rsidR="004D71C7" w:rsidRPr="00E70382" w:rsidRDefault="004D71C7" w:rsidP="004D71C7">
            <w:pPr>
              <w:rPr>
                <w:rFonts w:cs="Arial"/>
              </w:rPr>
            </w:pPr>
            <w:r w:rsidRPr="00E70382">
              <w:rPr>
                <w:b/>
                <w:bCs/>
              </w:rPr>
              <w:t>Numerator</w:t>
            </w:r>
            <w:r w:rsidRPr="00E70382">
              <w:t xml:space="preserve">: </w:t>
            </w:r>
            <w:r w:rsidRPr="00E70382">
              <w:rPr>
                <w:rFonts w:cs="Arial"/>
              </w:rPr>
              <w:t xml:space="preserve">Number of eligible cases included in the denominator with any of the following ICD-10 diagnosis codes for stage III and IV pressure ulcers as a secondary diagnosis (diagnosis 2-9 on a claim), with a Present-on-Admission (POA) indicator of “N” or “U”, as defined in CMS’ </w:t>
            </w:r>
            <w:hyperlink r:id="rId184" w:history="1">
              <w:r w:rsidRPr="00E70382">
                <w:rPr>
                  <w:rStyle w:val="Hyperlink"/>
                  <w:rFonts w:cs="Arial"/>
                </w:rPr>
                <w:t>Appendix I Hospital Acquired Conditions (HAC) List for HAC 04: Stage III and IV Pressure Ulcers Secondary Diagnosis</w:t>
              </w:r>
            </w:hyperlink>
            <w:r w:rsidR="00E70382" w:rsidRPr="00E70382">
              <w:rPr>
                <w:rFonts w:cs="Arial"/>
              </w:rPr>
              <w:t xml:space="preserve">. </w:t>
            </w:r>
          </w:p>
          <w:p w14:paraId="20801AA9" w14:textId="77777777" w:rsidR="00E70382" w:rsidRPr="00E70382" w:rsidRDefault="00E70382" w:rsidP="004D71C7">
            <w:pPr>
              <w:rPr>
                <w:rFonts w:cs="Arial"/>
              </w:rPr>
            </w:pPr>
          </w:p>
          <w:p w14:paraId="5349D0D0" w14:textId="5C88E313" w:rsidR="00E70382" w:rsidRPr="00E70382" w:rsidRDefault="00E70382" w:rsidP="00E70382">
            <w:pPr>
              <w:rPr>
                <w:rFonts w:ascii="Calibri" w:hAnsi="Calibri"/>
              </w:rPr>
            </w:pPr>
            <w:r>
              <w:t>Download a full list of ICD 10 Stage III and IV Pressure Ulcer codes</w:t>
            </w:r>
            <w:r w:rsidRPr="00E70382">
              <w:t xml:space="preserve"> at </w:t>
            </w:r>
            <w:hyperlink r:id="rId185" w:history="1">
              <w:r w:rsidRPr="00E70382">
                <w:rPr>
                  <w:rStyle w:val="Hyperlink"/>
                </w:rPr>
                <w:t>http://www.leapfroggroup.org/survey-materials/survey-and-cpoe-materials</w:t>
              </w:r>
            </w:hyperlink>
            <w:r>
              <w:t xml:space="preserve">. </w:t>
            </w:r>
          </w:p>
          <w:p w14:paraId="1E29AC56" w14:textId="77777777" w:rsidR="00E70382" w:rsidRPr="00E70382" w:rsidRDefault="00E70382" w:rsidP="004D71C7"/>
          <w:p w14:paraId="66C49F47" w14:textId="77777777" w:rsidR="004D71C7" w:rsidRPr="00E70382" w:rsidRDefault="004D71C7" w:rsidP="004D71C7">
            <w:pPr>
              <w:rPr>
                <w:b/>
                <w:bCs/>
              </w:rPr>
            </w:pPr>
          </w:p>
        </w:tc>
      </w:tr>
    </w:tbl>
    <w:p w14:paraId="6B528943" w14:textId="6D8B903F" w:rsidR="006D7C3E" w:rsidRDefault="006D7C3E" w:rsidP="00733926">
      <w:pPr>
        <w:rPr>
          <w:b/>
          <w:i/>
          <w:sz w:val="24"/>
          <w:szCs w:val="24"/>
          <w:lang w:eastAsia="ja-JP"/>
        </w:rPr>
      </w:pPr>
    </w:p>
    <w:p w14:paraId="57F692A4" w14:textId="77777777" w:rsidR="006D7C3E" w:rsidRDefault="006D7C3E">
      <w:pPr>
        <w:rPr>
          <w:b/>
          <w:i/>
          <w:sz w:val="24"/>
          <w:szCs w:val="24"/>
          <w:lang w:eastAsia="ja-JP"/>
        </w:rPr>
      </w:pPr>
      <w:r>
        <w:rPr>
          <w:b/>
          <w:i/>
          <w:sz w:val="24"/>
          <w:szCs w:val="24"/>
          <w:lang w:eastAsia="ja-JP"/>
        </w:rPr>
        <w:br w:type="page"/>
      </w:r>
    </w:p>
    <w:p w14:paraId="4F131307" w14:textId="77777777" w:rsidR="00733926" w:rsidRPr="006934E2" w:rsidRDefault="00733926" w:rsidP="00733926">
      <w:pPr>
        <w:rPr>
          <w:b/>
          <w:i/>
          <w:sz w:val="24"/>
          <w:szCs w:val="24"/>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4D71C7" w:rsidRPr="0076462C" w14:paraId="6B4703D4" w14:textId="77777777" w:rsidTr="00A15EC6">
        <w:trPr>
          <w:jc w:val="center"/>
        </w:trPr>
        <w:tc>
          <w:tcPr>
            <w:tcW w:w="4997" w:type="dxa"/>
            <w:shd w:val="clear" w:color="auto" w:fill="auto"/>
          </w:tcPr>
          <w:p w14:paraId="5868B52B" w14:textId="77777777" w:rsidR="004D71C7" w:rsidRPr="0076462C" w:rsidRDefault="004D71C7" w:rsidP="00C31B30">
            <w:pPr>
              <w:autoSpaceDE w:val="0"/>
              <w:autoSpaceDN w:val="0"/>
              <w:adjustRightInd w:val="0"/>
              <w:jc w:val="cente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43FB06C4" w14:textId="77777777" w:rsidR="004D71C7" w:rsidRDefault="004D71C7" w:rsidP="00C31B30">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 xml:space="preserve">s 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103F665F" w14:textId="77777777" w:rsidR="004D71C7" w:rsidRPr="0076462C" w:rsidRDefault="004D71C7" w:rsidP="00C31B30">
            <w:pPr>
              <w:autoSpaceDE w:val="0"/>
              <w:autoSpaceDN w:val="0"/>
              <w:adjustRightInd w:val="0"/>
              <w:jc w:val="center"/>
            </w:pPr>
          </w:p>
        </w:tc>
      </w:tr>
      <w:tr w:rsidR="004D71C7" w:rsidRPr="0076462C" w14:paraId="044D04FE" w14:textId="77777777" w:rsidTr="000469EC">
        <w:trPr>
          <w:jc w:val="center"/>
        </w:trPr>
        <w:tc>
          <w:tcPr>
            <w:tcW w:w="9994" w:type="dxa"/>
            <w:gridSpan w:val="2"/>
            <w:shd w:val="clear" w:color="auto" w:fill="CCCCCC"/>
          </w:tcPr>
          <w:p w14:paraId="1E6ADA7F" w14:textId="77777777" w:rsidR="004D71C7" w:rsidRPr="004D71C7" w:rsidRDefault="004D71C7" w:rsidP="006934E2">
            <w:pPr>
              <w:pStyle w:val="Heading44"/>
            </w:pPr>
            <w:r w:rsidRPr="0076462C">
              <w:t>Injuries</w:t>
            </w:r>
          </w:p>
        </w:tc>
      </w:tr>
      <w:tr w:rsidR="004D71C7" w:rsidRPr="0076462C" w14:paraId="776A308D" w14:textId="77777777" w:rsidTr="00A15EC6">
        <w:trPr>
          <w:jc w:val="center"/>
        </w:trPr>
        <w:tc>
          <w:tcPr>
            <w:tcW w:w="4997" w:type="dxa"/>
          </w:tcPr>
          <w:p w14:paraId="19C5495C"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409C1408" w14:textId="77777777" w:rsidR="004D71C7" w:rsidRPr="0076462C" w:rsidRDefault="004D71C7" w:rsidP="004D71C7">
            <w:pPr>
              <w:rPr>
                <w:b/>
                <w:snapToGrid w:val="0"/>
              </w:rPr>
            </w:pPr>
          </w:p>
          <w:p w14:paraId="3EB946EE" w14:textId="77777777" w:rsidR="004D71C7" w:rsidRPr="0076462C" w:rsidRDefault="004D71C7" w:rsidP="004D71C7">
            <w:pPr>
              <w:rPr>
                <w:snapToGrid w:val="0"/>
              </w:rPr>
            </w:pPr>
            <w:r w:rsidRPr="0076462C">
              <w:rPr>
                <w:b/>
                <w:snapToGrid w:val="0"/>
              </w:rPr>
              <w:t xml:space="preserve">Reporting Time Period: </w:t>
            </w:r>
            <w:r>
              <w:rPr>
                <w:b/>
                <w:snapToGrid w:val="0"/>
              </w:rPr>
              <w:t>9 months</w:t>
            </w:r>
          </w:p>
          <w:p w14:paraId="64E2F200" w14:textId="77777777" w:rsidR="004D71C7" w:rsidRPr="00F07147" w:rsidRDefault="004D71C7" w:rsidP="00ED58C1">
            <w:pPr>
              <w:numPr>
                <w:ilvl w:val="0"/>
                <w:numId w:val="17"/>
              </w:numPr>
              <w:rPr>
                <w:b/>
              </w:rPr>
            </w:pPr>
            <w:r>
              <w:rPr>
                <w:snapToGrid w:val="0"/>
              </w:rPr>
              <w:t>January 1, 2015 – September 30, 2015</w:t>
            </w:r>
            <w:r w:rsidRPr="00F07147">
              <w:rPr>
                <w:snapToGrid w:val="0"/>
              </w:rPr>
              <w:br/>
            </w:r>
          </w:p>
        </w:tc>
        <w:tc>
          <w:tcPr>
            <w:tcW w:w="4997" w:type="dxa"/>
          </w:tcPr>
          <w:p w14:paraId="716AC629"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2840FCC5" w14:textId="77777777" w:rsidR="004D71C7" w:rsidRPr="0076462C" w:rsidRDefault="004D71C7" w:rsidP="004D71C7">
            <w:pPr>
              <w:rPr>
                <w:b/>
                <w:snapToGrid w:val="0"/>
              </w:rPr>
            </w:pPr>
          </w:p>
          <w:p w14:paraId="602DDE5E" w14:textId="77777777" w:rsidR="004D71C7" w:rsidRPr="0076462C" w:rsidRDefault="004D71C7" w:rsidP="004D71C7">
            <w:pPr>
              <w:rPr>
                <w:snapToGrid w:val="0"/>
              </w:rPr>
            </w:pPr>
            <w:r w:rsidRPr="0076462C">
              <w:rPr>
                <w:b/>
                <w:snapToGrid w:val="0"/>
              </w:rPr>
              <w:t xml:space="preserve">Reporting Time Period: </w:t>
            </w:r>
            <w:r>
              <w:rPr>
                <w:b/>
                <w:snapToGrid w:val="0"/>
              </w:rPr>
              <w:t>9 months</w:t>
            </w:r>
          </w:p>
          <w:p w14:paraId="5AB89CF4" w14:textId="77777777" w:rsidR="004D71C7" w:rsidRPr="004555F0" w:rsidRDefault="004D71C7" w:rsidP="00ED58C1">
            <w:pPr>
              <w:pStyle w:val="ListParagraph"/>
              <w:numPr>
                <w:ilvl w:val="0"/>
                <w:numId w:val="125"/>
              </w:numPr>
              <w:autoSpaceDE w:val="0"/>
              <w:autoSpaceDN w:val="0"/>
              <w:adjustRightInd w:val="0"/>
              <w:rPr>
                <w:b/>
              </w:rPr>
            </w:pPr>
            <w:r w:rsidRPr="004555F0">
              <w:rPr>
                <w:snapToGrid w:val="0"/>
              </w:rPr>
              <w:t>October 1, 2015 – June 30, 2016</w:t>
            </w:r>
          </w:p>
        </w:tc>
      </w:tr>
      <w:tr w:rsidR="004D71C7" w:rsidRPr="0076462C" w14:paraId="47506C77" w14:textId="77777777" w:rsidTr="00A15EC6">
        <w:trPr>
          <w:jc w:val="center"/>
        </w:trPr>
        <w:tc>
          <w:tcPr>
            <w:tcW w:w="4997" w:type="dxa"/>
          </w:tcPr>
          <w:p w14:paraId="3FD5915A" w14:textId="77777777" w:rsidR="004D71C7" w:rsidRDefault="004D71C7" w:rsidP="004D71C7">
            <w:pPr>
              <w:rPr>
                <w:b/>
                <w:bCs/>
              </w:rPr>
            </w:pPr>
            <w:r>
              <w:rPr>
                <w:b/>
                <w:bCs/>
              </w:rPr>
              <w:t>Q.3</w:t>
            </w:r>
          </w:p>
          <w:p w14:paraId="7F35F48C" w14:textId="77777777" w:rsidR="004D71C7" w:rsidRPr="00F23F81" w:rsidRDefault="004D71C7" w:rsidP="004D71C7">
            <w:pPr>
              <w:rPr>
                <w:snapToGrid w:val="0"/>
                <w:color w:val="000000"/>
              </w:rPr>
            </w:pPr>
            <w:r w:rsidRPr="0076462C">
              <w:rPr>
                <w:b/>
                <w:bCs/>
              </w:rPr>
              <w:t xml:space="preserve">Denominator: </w:t>
            </w:r>
            <w:r w:rsidRPr="0076462C">
              <w:t xml:space="preserve">Total </w:t>
            </w:r>
            <w:r w:rsidRPr="003D168F">
              <w:t>adult (ages 18 and older) inpatient</w:t>
            </w:r>
            <w:r w:rsidRPr="0076462C">
              <w:t xml:space="preserve">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w:t>
            </w:r>
          </w:p>
        </w:tc>
        <w:tc>
          <w:tcPr>
            <w:tcW w:w="4997" w:type="dxa"/>
          </w:tcPr>
          <w:p w14:paraId="53F38A4E" w14:textId="77777777" w:rsidR="004D71C7" w:rsidRDefault="004D71C7" w:rsidP="004D71C7">
            <w:pPr>
              <w:rPr>
                <w:b/>
                <w:bCs/>
              </w:rPr>
            </w:pPr>
            <w:r>
              <w:rPr>
                <w:b/>
                <w:bCs/>
              </w:rPr>
              <w:t>Q.3</w:t>
            </w:r>
          </w:p>
          <w:p w14:paraId="410DBE75" w14:textId="77777777" w:rsidR="004D71C7" w:rsidRDefault="004D71C7" w:rsidP="004D71C7">
            <w:pPr>
              <w:rPr>
                <w:b/>
                <w:bCs/>
              </w:rPr>
            </w:pPr>
            <w:r w:rsidRPr="0076462C">
              <w:rPr>
                <w:b/>
                <w:bCs/>
              </w:rPr>
              <w:t xml:space="preserve">Denominator: </w:t>
            </w:r>
            <w:r w:rsidRPr="0076462C">
              <w:t xml:space="preserve">Total </w:t>
            </w:r>
            <w:r w:rsidRPr="003D168F">
              <w:t>adult (ages 18 and older) inpatient</w:t>
            </w:r>
            <w:r w:rsidRPr="0076462C">
              <w:t xml:space="preserve">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w:t>
            </w:r>
          </w:p>
        </w:tc>
      </w:tr>
      <w:tr w:rsidR="004D71C7" w:rsidRPr="0076462C" w14:paraId="399644BB" w14:textId="77777777" w:rsidTr="00A15EC6">
        <w:trPr>
          <w:jc w:val="center"/>
        </w:trPr>
        <w:tc>
          <w:tcPr>
            <w:tcW w:w="4997" w:type="dxa"/>
          </w:tcPr>
          <w:p w14:paraId="735DE286" w14:textId="77777777" w:rsidR="004D71C7" w:rsidRPr="0066703B" w:rsidRDefault="004D71C7" w:rsidP="004D71C7">
            <w:pPr>
              <w:pStyle w:val="Default"/>
              <w:rPr>
                <w:rFonts w:ascii="Arial" w:hAnsi="Arial" w:cs="Arial"/>
                <w:b/>
                <w:bCs/>
                <w:sz w:val="20"/>
                <w:szCs w:val="20"/>
              </w:rPr>
            </w:pPr>
            <w:r w:rsidRPr="0066703B">
              <w:rPr>
                <w:rFonts w:ascii="Arial" w:hAnsi="Arial" w:cs="Arial"/>
                <w:b/>
                <w:bCs/>
                <w:sz w:val="20"/>
                <w:szCs w:val="20"/>
              </w:rPr>
              <w:t>Q.</w:t>
            </w:r>
            <w:r>
              <w:rPr>
                <w:rFonts w:ascii="Arial" w:hAnsi="Arial" w:cs="Arial"/>
                <w:b/>
                <w:bCs/>
                <w:sz w:val="20"/>
                <w:szCs w:val="20"/>
              </w:rPr>
              <w:t>5</w:t>
            </w:r>
          </w:p>
          <w:p w14:paraId="73C831F4" w14:textId="77777777" w:rsidR="004D71C7" w:rsidRPr="001F6C78" w:rsidRDefault="004D71C7" w:rsidP="004D71C7">
            <w:pPr>
              <w:pStyle w:val="Default"/>
              <w:rPr>
                <w:rFonts w:ascii="Arial" w:eastAsia="Times New Roman" w:hAnsi="Arial" w:cs="Arial"/>
                <w:lang w:eastAsia="en-US"/>
              </w:rPr>
            </w:pPr>
            <w:r w:rsidRPr="001F6C78">
              <w:rPr>
                <w:rFonts w:ascii="Arial" w:hAnsi="Arial" w:cs="Arial"/>
                <w:b/>
                <w:bCs/>
                <w:sz w:val="20"/>
                <w:szCs w:val="20"/>
              </w:rPr>
              <w:t>Numerator</w:t>
            </w:r>
            <w:r w:rsidRPr="001F6C78">
              <w:rPr>
                <w:rFonts w:ascii="Arial" w:hAnsi="Arial" w:cs="Arial"/>
                <w:sz w:val="20"/>
                <w:szCs w:val="20"/>
              </w:rPr>
              <w:t xml:space="preserve">: Number of eligible cases included in the denominator with any of the following diagnosis codes as a secondary diagnosis </w:t>
            </w:r>
            <w:r w:rsidRPr="001F6C78">
              <w:rPr>
                <w:rFonts w:ascii="Arial" w:eastAsia="Times New Roman" w:hAnsi="Arial" w:cs="Arial"/>
                <w:sz w:val="20"/>
                <w:szCs w:val="20"/>
                <w:lang w:eastAsia="en-US"/>
              </w:rPr>
              <w:t xml:space="preserve">(diagnoses 2-9 on a claim), </w:t>
            </w:r>
            <w:r w:rsidRPr="001F6C78">
              <w:rPr>
                <w:rFonts w:ascii="Arial" w:hAnsi="Arial" w:cs="Arial"/>
                <w:sz w:val="20"/>
                <w:szCs w:val="20"/>
              </w:rPr>
              <w:t xml:space="preserve">with a POA code of ‘N’ or ‘U’, </w:t>
            </w:r>
            <w:r w:rsidR="00F76E6B">
              <w:rPr>
                <w:rFonts w:ascii="Arial" w:hAnsi="Arial" w:cs="Arial"/>
                <w:b/>
                <w:sz w:val="20"/>
                <w:szCs w:val="20"/>
              </w:rPr>
              <w:t>and designated as a 2015</w:t>
            </w:r>
            <w:r w:rsidRPr="001F6C78">
              <w:rPr>
                <w:rFonts w:ascii="Arial" w:hAnsi="Arial" w:cs="Arial"/>
                <w:b/>
                <w:sz w:val="20"/>
                <w:szCs w:val="20"/>
              </w:rPr>
              <w:t xml:space="preserve"> Complication or Comorbidity (CC) or Maj</w:t>
            </w:r>
            <w:r w:rsidRPr="0066703B">
              <w:rPr>
                <w:rFonts w:ascii="Arial" w:hAnsi="Arial" w:cs="Arial"/>
                <w:b/>
                <w:sz w:val="20"/>
                <w:szCs w:val="20"/>
              </w:rPr>
              <w:t xml:space="preserve">or Complication or Comorbidity (MCC): </w:t>
            </w:r>
          </w:p>
          <w:p w14:paraId="62314078"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lang w:val="fr-FR"/>
              </w:rPr>
              <w:t xml:space="preserve">Fracture ............................. 800–829 (CC/MCC) </w:t>
            </w:r>
          </w:p>
          <w:p w14:paraId="16832BEA"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lang w:val="fr-FR"/>
              </w:rPr>
              <w:t xml:space="preserve">Dislocation ......................... 830–839 (CC/MCC) </w:t>
            </w:r>
          </w:p>
          <w:p w14:paraId="41386E33"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Intracranial injury ............... 850–854 (CC/MCC) </w:t>
            </w:r>
          </w:p>
          <w:p w14:paraId="2CE86B3A"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Crushing injury .................. </w:t>
            </w:r>
            <w:r>
              <w:rPr>
                <w:rFonts w:ascii="Arial" w:hAnsi="Arial" w:cs="Arial"/>
                <w:sz w:val="20"/>
                <w:szCs w:val="20"/>
              </w:rPr>
              <w:t xml:space="preserve"> </w:t>
            </w:r>
            <w:r w:rsidRPr="0066703B">
              <w:rPr>
                <w:rFonts w:ascii="Arial" w:hAnsi="Arial" w:cs="Arial"/>
                <w:sz w:val="20"/>
                <w:szCs w:val="20"/>
              </w:rPr>
              <w:t xml:space="preserve">925–929 (CC/MCC) </w:t>
            </w:r>
          </w:p>
          <w:p w14:paraId="6B665B99"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Burn ....................................940–949 (CC/MCC) </w:t>
            </w:r>
          </w:p>
          <w:p w14:paraId="50D4DA04" w14:textId="77777777" w:rsidR="004D71C7" w:rsidRPr="00617DF8"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Other injuries ......................991–994 (CC/MCC) </w:t>
            </w:r>
          </w:p>
          <w:p w14:paraId="10BCB8C7" w14:textId="77777777" w:rsidR="004D71C7" w:rsidRDefault="004D71C7" w:rsidP="004D71C7">
            <w:pPr>
              <w:rPr>
                <w:snapToGrid w:val="0"/>
                <w:color w:val="000000"/>
              </w:rPr>
            </w:pPr>
          </w:p>
          <w:p w14:paraId="1D392F0F" w14:textId="77777777" w:rsidR="002F1946" w:rsidRDefault="00E70382" w:rsidP="00E70382">
            <w:r w:rsidRPr="00E70382">
              <w:t xml:space="preserve">Download a full list of CC/MCC codes at </w:t>
            </w:r>
            <w:hyperlink r:id="rId186" w:history="1">
              <w:r w:rsidRPr="00E70382">
                <w:rPr>
                  <w:rStyle w:val="Hyperlink"/>
                </w:rPr>
                <w:t>http://www.leapfroggroup.org/survey-materials/survey-and-cpoe-materials</w:t>
              </w:r>
            </w:hyperlink>
            <w:r w:rsidRPr="00E70382">
              <w:t xml:space="preserve"> (see </w:t>
            </w:r>
            <w:r w:rsidRPr="00E70382">
              <w:rPr>
                <w:b/>
              </w:rPr>
              <w:t>ICD-9 CC-MCC Diagnosis Codes</w:t>
            </w:r>
            <w:r w:rsidRPr="00E70382">
              <w:t xml:space="preserve"> sheet).</w:t>
            </w:r>
          </w:p>
          <w:p w14:paraId="09733F56" w14:textId="42FD5DB8" w:rsidR="00E70382" w:rsidRPr="00E70382" w:rsidRDefault="00E70382" w:rsidP="00E70382">
            <w:pPr>
              <w:rPr>
                <w:rFonts w:ascii="Calibri" w:hAnsi="Calibri"/>
              </w:rPr>
            </w:pPr>
          </w:p>
        </w:tc>
        <w:tc>
          <w:tcPr>
            <w:tcW w:w="4997" w:type="dxa"/>
          </w:tcPr>
          <w:p w14:paraId="255182C9" w14:textId="77777777" w:rsidR="004D71C7" w:rsidRPr="00F07147" w:rsidRDefault="004D71C7" w:rsidP="004D71C7">
            <w:pPr>
              <w:pStyle w:val="Default"/>
              <w:rPr>
                <w:rFonts w:ascii="Arial" w:hAnsi="Arial" w:cs="Arial"/>
                <w:b/>
                <w:bCs/>
                <w:sz w:val="20"/>
                <w:szCs w:val="20"/>
              </w:rPr>
            </w:pPr>
            <w:r w:rsidRPr="0066703B">
              <w:rPr>
                <w:rFonts w:ascii="Arial" w:hAnsi="Arial" w:cs="Arial"/>
                <w:b/>
                <w:bCs/>
                <w:sz w:val="20"/>
                <w:szCs w:val="20"/>
              </w:rPr>
              <w:t>Q.</w:t>
            </w:r>
            <w:r>
              <w:rPr>
                <w:rFonts w:ascii="Arial" w:hAnsi="Arial" w:cs="Arial"/>
                <w:b/>
                <w:bCs/>
                <w:sz w:val="20"/>
                <w:szCs w:val="20"/>
              </w:rPr>
              <w:t>5</w:t>
            </w:r>
          </w:p>
          <w:p w14:paraId="431329DE" w14:textId="0C6D15A5" w:rsidR="004D71C7" w:rsidRDefault="004D71C7" w:rsidP="004D71C7">
            <w:pPr>
              <w:rPr>
                <w:rFonts w:cs="Arial"/>
              </w:rPr>
            </w:pPr>
            <w:r w:rsidRPr="00904ADC">
              <w:rPr>
                <w:rFonts w:asciiTheme="minorHAnsi" w:hAnsiTheme="minorHAnsi" w:cs="Arial"/>
                <w:b/>
                <w:bCs/>
                <w:sz w:val="22"/>
                <w:szCs w:val="22"/>
              </w:rPr>
              <w:t>N</w:t>
            </w:r>
            <w:r w:rsidRPr="00F07147">
              <w:rPr>
                <w:rFonts w:cs="Arial"/>
                <w:b/>
                <w:bCs/>
              </w:rPr>
              <w:t>umerator</w:t>
            </w:r>
            <w:r w:rsidRPr="00F07147">
              <w:rPr>
                <w:rFonts w:cs="Arial"/>
              </w:rPr>
              <w:t xml:space="preserve">: Number of eligible cases included in the denominator with any of the following ICD-10 diagnosis codes for falls and trauma as a secondary diagnosis (diagnosis 2-9 on a claim), with a Present-on-Admission (POA) indicator of “N” or “U”, as defined in CMS’ </w:t>
            </w:r>
            <w:hyperlink r:id="rId187" w:history="1">
              <w:r w:rsidRPr="00F07147">
                <w:rPr>
                  <w:rStyle w:val="Hyperlink"/>
                  <w:rFonts w:cs="Arial"/>
                </w:rPr>
                <w:t>Appendix I Hospital Acquired Conditions (HAC) List for HAC 05: Falls and Trauma Secondary Diagnosis</w:t>
              </w:r>
            </w:hyperlink>
            <w:r w:rsidR="00E70382">
              <w:rPr>
                <w:rFonts w:cs="Arial"/>
              </w:rPr>
              <w:t>.</w:t>
            </w:r>
          </w:p>
          <w:p w14:paraId="4FE42292" w14:textId="77777777" w:rsidR="00E70382" w:rsidRDefault="00E70382" w:rsidP="004D71C7">
            <w:pPr>
              <w:rPr>
                <w:rFonts w:cs="Arial"/>
              </w:rPr>
            </w:pPr>
          </w:p>
          <w:p w14:paraId="6E466262" w14:textId="77777777" w:rsidR="00E70382" w:rsidRPr="00E70382" w:rsidRDefault="00E70382" w:rsidP="00E70382">
            <w:r w:rsidRPr="00E70382">
              <w:t xml:space="preserve">Download a full list of CC/MCC codes at </w:t>
            </w:r>
            <w:hyperlink r:id="rId188" w:history="1">
              <w:r w:rsidRPr="00E70382">
                <w:rPr>
                  <w:rStyle w:val="Hyperlink"/>
                </w:rPr>
                <w:t>http://www.leapfroggroup.org/survey-materials/survey-and-cpoe-materials</w:t>
              </w:r>
            </w:hyperlink>
            <w:r w:rsidRPr="00E70382">
              <w:t xml:space="preserve"> (see </w:t>
            </w:r>
            <w:r w:rsidRPr="00E70382">
              <w:rPr>
                <w:b/>
              </w:rPr>
              <w:t>ICD-10 CC-MCC Diagnosis Codes</w:t>
            </w:r>
            <w:r w:rsidRPr="00E70382">
              <w:t xml:space="preserve"> sheet).</w:t>
            </w:r>
          </w:p>
          <w:p w14:paraId="275B227A" w14:textId="77777777" w:rsidR="00E70382" w:rsidRDefault="00E70382" w:rsidP="004D71C7">
            <w:pPr>
              <w:rPr>
                <w:rFonts w:cs="Arial"/>
              </w:rPr>
            </w:pPr>
          </w:p>
          <w:p w14:paraId="513A031D" w14:textId="77777777" w:rsidR="004D71C7" w:rsidRPr="0066703B" w:rsidRDefault="004D71C7" w:rsidP="004D71C7">
            <w:pPr>
              <w:pStyle w:val="Default"/>
              <w:rPr>
                <w:rFonts w:ascii="Arial" w:hAnsi="Arial" w:cs="Arial"/>
                <w:b/>
                <w:bCs/>
                <w:sz w:val="20"/>
                <w:szCs w:val="20"/>
              </w:rPr>
            </w:pPr>
          </w:p>
        </w:tc>
      </w:tr>
    </w:tbl>
    <w:p w14:paraId="54D78190" w14:textId="7E0F2DC0" w:rsidR="00920EF6" w:rsidRDefault="00920EF6" w:rsidP="004D71C7">
      <w:pPr>
        <w:pStyle w:val="SectionHeader"/>
        <w:jc w:val="left"/>
        <w:rPr>
          <w:color w:val="A6A6A6" w:themeColor="background1" w:themeShade="A6"/>
        </w:rPr>
        <w:sectPr w:rsidR="00920EF6" w:rsidSect="008733FC">
          <w:headerReference w:type="default" r:id="rId189"/>
          <w:endnotePr>
            <w:numFmt w:val="decimal"/>
          </w:endnotePr>
          <w:type w:val="continuous"/>
          <w:pgSz w:w="12240" w:h="15840"/>
          <w:pgMar w:top="1080" w:right="1440" w:bottom="1080" w:left="1440" w:header="720" w:footer="720" w:gutter="0"/>
          <w:cols w:space="720"/>
          <w:docGrid w:linePitch="272"/>
        </w:sectPr>
      </w:pPr>
    </w:p>
    <w:p w14:paraId="6A926407" w14:textId="77777777" w:rsidR="00F97576" w:rsidRDefault="00F97576" w:rsidP="0013260C">
      <w:pPr>
        <w:pStyle w:val="BodyText"/>
        <w:rPr>
          <w:rFonts w:cs="Arial"/>
        </w:rPr>
      </w:pPr>
    </w:p>
    <w:p w14:paraId="0D143DE8" w14:textId="77777777" w:rsidR="00F97576" w:rsidRDefault="00F97576" w:rsidP="0013260C">
      <w:pPr>
        <w:pStyle w:val="BodyText"/>
        <w:rPr>
          <w:rFonts w:cs="Arial"/>
        </w:rPr>
      </w:pPr>
    </w:p>
    <w:p w14:paraId="5C97AD32" w14:textId="77777777" w:rsidR="00F97576" w:rsidRDefault="00F97576" w:rsidP="0013260C">
      <w:pPr>
        <w:pStyle w:val="BodyText"/>
        <w:rPr>
          <w:rFonts w:cs="Arial"/>
        </w:rPr>
      </w:pPr>
    </w:p>
    <w:p w14:paraId="41DC2EAE" w14:textId="77777777" w:rsidR="00F97576" w:rsidRDefault="00F97576" w:rsidP="0013260C">
      <w:pPr>
        <w:pStyle w:val="BodyText"/>
        <w:rPr>
          <w:rFonts w:cs="Arial"/>
        </w:rPr>
      </w:pPr>
    </w:p>
    <w:p w14:paraId="36F7A90C" w14:textId="77777777" w:rsidR="00F97576" w:rsidRDefault="00F97576" w:rsidP="0013260C">
      <w:pPr>
        <w:pStyle w:val="BodyText"/>
        <w:rPr>
          <w:rFonts w:cs="Arial"/>
        </w:rPr>
      </w:pPr>
    </w:p>
    <w:p w14:paraId="561CF10C" w14:textId="77777777" w:rsidR="00F97576" w:rsidRDefault="00F97576" w:rsidP="0013260C">
      <w:pPr>
        <w:pStyle w:val="BodyText"/>
        <w:rPr>
          <w:rFonts w:cs="Arial"/>
        </w:rPr>
      </w:pPr>
    </w:p>
    <w:p w14:paraId="2F584256" w14:textId="77777777" w:rsidR="00F97576" w:rsidRDefault="00F97576" w:rsidP="0013260C">
      <w:pPr>
        <w:pStyle w:val="BodyText"/>
        <w:rPr>
          <w:rFonts w:cs="Arial"/>
        </w:rPr>
      </w:pPr>
    </w:p>
    <w:p w14:paraId="67F5A313" w14:textId="77777777" w:rsidR="004D71C7" w:rsidRDefault="004D71C7">
      <w:pPr>
        <w:rPr>
          <w:b/>
          <w:snapToGrid w:val="0"/>
          <w:sz w:val="28"/>
          <w:u w:val="single"/>
          <w:lang w:eastAsia="ja-JP"/>
        </w:rPr>
      </w:pPr>
      <w:r>
        <w:rPr>
          <w:snapToGrid w:val="0"/>
        </w:rPr>
        <w:br w:type="page"/>
      </w:r>
    </w:p>
    <w:p w14:paraId="557DF4D4" w14:textId="77777777" w:rsidR="00F97576" w:rsidRDefault="00F97576" w:rsidP="00954B73">
      <w:pPr>
        <w:pStyle w:val="Heading2"/>
        <w:rPr>
          <w:snapToGrid w:val="0"/>
        </w:rPr>
      </w:pPr>
      <w:bookmarkStart w:id="314" w:name="_Toc447195077"/>
      <w:r>
        <w:rPr>
          <w:snapToGrid w:val="0"/>
        </w:rPr>
        <w:lastRenderedPageBreak/>
        <w:t>Antibiotic Stewardship Practices</w:t>
      </w:r>
      <w:r w:rsidR="00A41B94">
        <w:rPr>
          <w:snapToGrid w:val="0"/>
        </w:rPr>
        <w:t xml:space="preserve"> Frequently Asked Questions</w:t>
      </w:r>
      <w:r w:rsidR="00526901">
        <w:rPr>
          <w:snapToGrid w:val="0"/>
        </w:rPr>
        <w:t xml:space="preserve"> (FAQs)</w:t>
      </w:r>
      <w:bookmarkEnd w:id="314"/>
    </w:p>
    <w:p w14:paraId="5C265C8E" w14:textId="77777777" w:rsidR="00F97576" w:rsidRDefault="00F97576" w:rsidP="0013260C">
      <w:pPr>
        <w:pStyle w:val="BodyText"/>
        <w:rPr>
          <w:rFonts w:cs="Arial"/>
        </w:rPr>
      </w:pPr>
    </w:p>
    <w:p w14:paraId="46B990DF" w14:textId="77777777" w:rsidR="001A4411" w:rsidRDefault="00E071B2" w:rsidP="00ED58C1">
      <w:pPr>
        <w:pStyle w:val="BodyText"/>
        <w:numPr>
          <w:ilvl w:val="0"/>
          <w:numId w:val="128"/>
        </w:numPr>
        <w:rPr>
          <w:rFonts w:cs="Arial"/>
          <w:b/>
          <w:i w:val="0"/>
        </w:rPr>
      </w:pPr>
      <w:r w:rsidRPr="001A4411">
        <w:rPr>
          <w:rFonts w:cs="Arial"/>
          <w:b/>
          <w:i w:val="0"/>
        </w:rPr>
        <w:t>Where can hospitals find more information about the questions in this section?</w:t>
      </w:r>
    </w:p>
    <w:p w14:paraId="57F79A52" w14:textId="77777777" w:rsidR="001A4411" w:rsidRDefault="001A4411" w:rsidP="001A4411">
      <w:pPr>
        <w:pStyle w:val="BodyText"/>
        <w:ind w:left="720"/>
        <w:rPr>
          <w:rFonts w:cs="Arial"/>
          <w:b/>
          <w:i w:val="0"/>
        </w:rPr>
      </w:pPr>
      <w:r w:rsidRPr="001A4411">
        <w:rPr>
          <w:rFonts w:cs="Arial"/>
          <w:i w:val="0"/>
        </w:rPr>
        <w:t xml:space="preserve">The survey itself is available on-line at </w:t>
      </w:r>
      <w:hyperlink r:id="rId190" w:history="1">
        <w:r w:rsidRPr="001A4411">
          <w:rPr>
            <w:rStyle w:val="Hyperlink"/>
            <w:rFonts w:cs="Arial"/>
            <w:i w:val="0"/>
          </w:rPr>
          <w:t>http://www.cdc.gov/nhsn/forms/57.103_pshospsurv_blank.pdf</w:t>
        </w:r>
      </w:hyperlink>
      <w:r w:rsidRPr="001A4411">
        <w:rPr>
          <w:rFonts w:cs="Arial"/>
          <w:i w:val="0"/>
        </w:rPr>
        <w:t xml:space="preserve"> as are the instructions for filling it out </w:t>
      </w:r>
      <w:hyperlink r:id="rId191" w:history="1">
        <w:r w:rsidRPr="001A4411">
          <w:rPr>
            <w:rStyle w:val="Hyperlink"/>
            <w:rFonts w:cs="Arial"/>
            <w:i w:val="0"/>
          </w:rPr>
          <w:t>http://www.cdc.gov/nhsn/forms/instr/57_103-TOI.pdf</w:t>
        </w:r>
      </w:hyperlink>
      <w:r w:rsidRPr="001A4411">
        <w:rPr>
          <w:rFonts w:cs="Arial"/>
          <w:i w:val="0"/>
        </w:rPr>
        <w:t>.</w:t>
      </w:r>
    </w:p>
    <w:p w14:paraId="50E8176D" w14:textId="77777777" w:rsidR="001A4411" w:rsidRDefault="001A4411" w:rsidP="001A4411">
      <w:pPr>
        <w:pStyle w:val="BodyText"/>
        <w:rPr>
          <w:rFonts w:cs="Arial"/>
          <w:b/>
          <w:i w:val="0"/>
        </w:rPr>
      </w:pPr>
    </w:p>
    <w:p w14:paraId="72D7900E" w14:textId="77777777" w:rsidR="001A4411" w:rsidRDefault="001A4411" w:rsidP="00ED58C1">
      <w:pPr>
        <w:pStyle w:val="BodyText"/>
        <w:numPr>
          <w:ilvl w:val="0"/>
          <w:numId w:val="128"/>
        </w:numPr>
        <w:rPr>
          <w:rFonts w:cs="Arial"/>
          <w:b/>
          <w:i w:val="0"/>
        </w:rPr>
      </w:pPr>
      <w:r>
        <w:rPr>
          <w:rFonts w:cs="Arial"/>
          <w:b/>
          <w:i w:val="0"/>
        </w:rPr>
        <w:t>Where can hospitals find more information about the CDC’s Core Elements?</w:t>
      </w:r>
    </w:p>
    <w:p w14:paraId="52BE52A9" w14:textId="77777777" w:rsidR="001A4411" w:rsidRPr="001A4411" w:rsidRDefault="001A4411" w:rsidP="001A4411">
      <w:pPr>
        <w:pStyle w:val="BodyText"/>
        <w:ind w:left="720"/>
        <w:rPr>
          <w:rFonts w:cs="Arial"/>
          <w:i w:val="0"/>
        </w:rPr>
      </w:pPr>
      <w:r w:rsidRPr="001A4411">
        <w:rPr>
          <w:rFonts w:cs="Arial"/>
          <w:i w:val="0"/>
        </w:rPr>
        <w:t xml:space="preserve">The CDC has several resources for hospitals on its website. Please visit: </w:t>
      </w:r>
      <w:hyperlink r:id="rId192" w:history="1">
        <w:r w:rsidRPr="001A4411">
          <w:rPr>
            <w:rStyle w:val="Hyperlink"/>
            <w:rFonts w:cs="Arial"/>
            <w:i w:val="0"/>
          </w:rPr>
          <w:t>http://www.cdc.gov/getsmart/healthcare/implementation/core-elements.html</w:t>
        </w:r>
      </w:hyperlink>
      <w:r w:rsidRPr="001A4411">
        <w:rPr>
          <w:rFonts w:cs="Arial"/>
          <w:i w:val="0"/>
        </w:rPr>
        <w:t xml:space="preserve">.   </w:t>
      </w:r>
    </w:p>
    <w:p w14:paraId="6A75F4AF" w14:textId="77777777" w:rsidR="001A4411" w:rsidRDefault="001A4411" w:rsidP="001A4411">
      <w:pPr>
        <w:pStyle w:val="BodyText"/>
        <w:ind w:left="720"/>
        <w:rPr>
          <w:rFonts w:cs="Arial"/>
          <w:b/>
          <w:i w:val="0"/>
        </w:rPr>
      </w:pPr>
    </w:p>
    <w:p w14:paraId="4A38CEDE" w14:textId="77777777" w:rsidR="001A4411" w:rsidRDefault="001A4411" w:rsidP="00ED58C1">
      <w:pPr>
        <w:pStyle w:val="BodyText"/>
        <w:numPr>
          <w:ilvl w:val="0"/>
          <w:numId w:val="128"/>
        </w:numPr>
        <w:rPr>
          <w:rFonts w:cs="Arial"/>
          <w:b/>
          <w:i w:val="0"/>
        </w:rPr>
      </w:pPr>
      <w:r>
        <w:rPr>
          <w:rFonts w:cs="Arial"/>
          <w:b/>
          <w:i w:val="0"/>
        </w:rPr>
        <w:t>Where can hospitals find more information about improving antibiotic practices?</w:t>
      </w:r>
    </w:p>
    <w:p w14:paraId="0064E6B4" w14:textId="77777777" w:rsidR="001A4411" w:rsidRPr="001A4411" w:rsidRDefault="001A4411" w:rsidP="001A4411">
      <w:pPr>
        <w:pStyle w:val="BodyText"/>
        <w:ind w:left="720"/>
        <w:rPr>
          <w:rFonts w:cs="Arial"/>
          <w:i w:val="0"/>
        </w:rPr>
      </w:pPr>
      <w:r>
        <w:rPr>
          <w:rFonts w:cs="Arial"/>
          <w:i w:val="0"/>
        </w:rPr>
        <w:t xml:space="preserve">The CDC’s Vital Signs provides hospitals and others with information on what hospitals can do to prevent inappropriate use of antibiotics: </w:t>
      </w:r>
      <w:hyperlink r:id="rId193" w:history="1">
        <w:r w:rsidRPr="001A4411">
          <w:rPr>
            <w:rStyle w:val="Hyperlink"/>
            <w:rFonts w:cs="Arial"/>
            <w:i w:val="0"/>
          </w:rPr>
          <w:t>http://www.cdc.gov/vitalsigns/antibiotic-prescribing-practices/index.html</w:t>
        </w:r>
      </w:hyperlink>
      <w:r>
        <w:rPr>
          <w:rFonts w:cs="Arial"/>
          <w:i w:val="0"/>
        </w:rPr>
        <w:t>.</w:t>
      </w:r>
      <w:r w:rsidR="00E63FF6">
        <w:rPr>
          <w:rFonts w:cs="Arial"/>
          <w:i w:val="0"/>
        </w:rPr>
        <w:t xml:space="preserve"> </w:t>
      </w:r>
    </w:p>
    <w:p w14:paraId="39F348E1" w14:textId="77777777" w:rsidR="0013260C" w:rsidRPr="001A4411" w:rsidRDefault="0013260C" w:rsidP="001A4411">
      <w:pPr>
        <w:rPr>
          <w:rFonts w:cs="Arial"/>
          <w:color w:val="A6A6A6" w:themeColor="background1" w:themeShade="A6"/>
        </w:rPr>
      </w:pPr>
    </w:p>
    <w:p w14:paraId="453FB023" w14:textId="77777777" w:rsidR="00F97576" w:rsidRPr="001A4411" w:rsidRDefault="00F97576" w:rsidP="001A4411">
      <w:pPr>
        <w:rPr>
          <w:rFonts w:cs="Arial"/>
          <w:b/>
          <w:snapToGrid w:val="0"/>
          <w:color w:val="A6A6A6" w:themeColor="background1" w:themeShade="A6"/>
          <w:lang w:eastAsia="ja-JP"/>
        </w:rPr>
      </w:pPr>
      <w:r w:rsidRPr="001A4411">
        <w:rPr>
          <w:rFonts w:cs="Arial"/>
          <w:color w:val="A6A6A6" w:themeColor="background1" w:themeShade="A6"/>
        </w:rPr>
        <w:br w:type="page"/>
      </w:r>
    </w:p>
    <w:p w14:paraId="3755131F" w14:textId="77777777" w:rsidR="00F97576" w:rsidRDefault="00F97576" w:rsidP="009202B6">
      <w:pPr>
        <w:pStyle w:val="SectionHeader"/>
        <w:rPr>
          <w:color w:val="A6A6A6" w:themeColor="background1" w:themeShade="A6"/>
        </w:rPr>
      </w:pPr>
    </w:p>
    <w:p w14:paraId="55CB4F06" w14:textId="77777777" w:rsidR="009202B6" w:rsidRDefault="006770C2" w:rsidP="009202B6">
      <w:pPr>
        <w:pStyle w:val="SectionHeader"/>
        <w:rPr>
          <w:color w:val="A6A6A6" w:themeColor="background1" w:themeShade="A6"/>
        </w:rPr>
      </w:pPr>
      <w:bookmarkStart w:id="315" w:name="_Toc447195078"/>
      <w:r>
        <w:rPr>
          <w:color w:val="A6A6A6" w:themeColor="background1" w:themeShade="A6"/>
        </w:rPr>
        <w:t>Page Intentionally Left Blank</w:t>
      </w:r>
      <w:bookmarkEnd w:id="315"/>
    </w:p>
    <w:p w14:paraId="73A36CF2" w14:textId="77777777" w:rsidR="006770C2" w:rsidRDefault="006770C2">
      <w:pPr>
        <w:rPr>
          <w:b/>
          <w:snapToGrid w:val="0"/>
          <w:color w:val="A6A6A6" w:themeColor="background1" w:themeShade="A6"/>
          <w:sz w:val="40"/>
          <w:szCs w:val="40"/>
          <w:lang w:eastAsia="ja-JP"/>
        </w:rPr>
      </w:pPr>
      <w:r>
        <w:rPr>
          <w:color w:val="A6A6A6" w:themeColor="background1" w:themeShade="A6"/>
        </w:rPr>
        <w:br w:type="page"/>
      </w:r>
    </w:p>
    <w:p w14:paraId="5F9782F6" w14:textId="77777777" w:rsidR="00920EF6" w:rsidRDefault="00920EF6" w:rsidP="009202B6">
      <w:pPr>
        <w:pStyle w:val="SectionHeader"/>
        <w:rPr>
          <w:color w:val="A6A6A6" w:themeColor="background1" w:themeShade="A6"/>
        </w:rPr>
        <w:sectPr w:rsidR="00920EF6" w:rsidSect="008733FC">
          <w:headerReference w:type="default" r:id="rId194"/>
          <w:endnotePr>
            <w:numFmt w:val="decimal"/>
          </w:endnotePr>
          <w:type w:val="continuous"/>
          <w:pgSz w:w="12240" w:h="15840"/>
          <w:pgMar w:top="1080" w:right="1440" w:bottom="1080" w:left="1440" w:header="720" w:footer="720" w:gutter="0"/>
          <w:cols w:space="720"/>
          <w:docGrid w:linePitch="272"/>
        </w:sectPr>
      </w:pPr>
    </w:p>
    <w:p w14:paraId="52880BBB" w14:textId="77777777" w:rsidR="006770C2" w:rsidRPr="006770C2" w:rsidRDefault="006770C2" w:rsidP="009202B6">
      <w:pPr>
        <w:pStyle w:val="SectionHeader"/>
        <w:rPr>
          <w:color w:val="A6A6A6" w:themeColor="background1" w:themeShade="A6"/>
        </w:rPr>
      </w:pPr>
    </w:p>
    <w:p w14:paraId="4836E225" w14:textId="77777777" w:rsidR="009202B6" w:rsidRDefault="009202B6" w:rsidP="009202B6">
      <w:pPr>
        <w:pStyle w:val="SectionHeader"/>
      </w:pPr>
    </w:p>
    <w:p w14:paraId="7C8E7DC7" w14:textId="77777777" w:rsidR="009202B6" w:rsidRDefault="009202B6" w:rsidP="009202B6">
      <w:pPr>
        <w:pStyle w:val="SectionHeader"/>
      </w:pPr>
    </w:p>
    <w:p w14:paraId="017C416B" w14:textId="77777777" w:rsidR="009202B6" w:rsidRDefault="009202B6" w:rsidP="009202B6">
      <w:pPr>
        <w:pStyle w:val="SectionHeader"/>
      </w:pPr>
    </w:p>
    <w:p w14:paraId="16E65EBF" w14:textId="77777777" w:rsidR="009202B6" w:rsidRDefault="009202B6" w:rsidP="009202B6">
      <w:pPr>
        <w:pStyle w:val="SectionHeader"/>
      </w:pPr>
    </w:p>
    <w:p w14:paraId="1ECD73B2" w14:textId="77777777" w:rsidR="009202B6" w:rsidRDefault="009202B6" w:rsidP="009202B6">
      <w:pPr>
        <w:pStyle w:val="SectionHeader"/>
      </w:pPr>
    </w:p>
    <w:p w14:paraId="4ADC3C62" w14:textId="77777777" w:rsidR="009202B6" w:rsidRDefault="009202B6" w:rsidP="009202B6">
      <w:pPr>
        <w:pStyle w:val="SectionHeader"/>
      </w:pPr>
    </w:p>
    <w:p w14:paraId="7E054D15" w14:textId="77777777" w:rsidR="009202B6" w:rsidRDefault="009202B6" w:rsidP="009202B6">
      <w:pPr>
        <w:pStyle w:val="SectionHeader"/>
      </w:pPr>
    </w:p>
    <w:p w14:paraId="2C6B201B" w14:textId="77777777" w:rsidR="009202B6" w:rsidRDefault="009202B6" w:rsidP="009202B6">
      <w:pPr>
        <w:pStyle w:val="SectionHeader"/>
      </w:pPr>
    </w:p>
    <w:p w14:paraId="24BB80DB" w14:textId="77777777" w:rsidR="009202B6" w:rsidRDefault="009202B6" w:rsidP="009202B6">
      <w:pPr>
        <w:pStyle w:val="SectionHeader"/>
      </w:pPr>
    </w:p>
    <w:p w14:paraId="484B0B41" w14:textId="77777777" w:rsidR="009202B6" w:rsidRDefault="009202B6" w:rsidP="009202B6">
      <w:pPr>
        <w:pStyle w:val="SectionHeader"/>
      </w:pPr>
      <w:bookmarkStart w:id="316" w:name="_Toc447195079"/>
      <w:bookmarkStart w:id="317" w:name="Sect8"/>
      <w:r>
        <w:t>SECTION 8: BAR CODE MEDICATION ADMINISTRATION</w:t>
      </w:r>
      <w:bookmarkEnd w:id="316"/>
    </w:p>
    <w:bookmarkEnd w:id="317"/>
    <w:p w14:paraId="01FB9136" w14:textId="77777777" w:rsidR="000E7C1E" w:rsidRDefault="000E7C1E" w:rsidP="009202B6">
      <w:pPr>
        <w:pStyle w:val="SectionHeader"/>
      </w:pPr>
    </w:p>
    <w:p w14:paraId="2AFE7ADE" w14:textId="77777777" w:rsidR="000E7C1E" w:rsidRDefault="000E7C1E" w:rsidP="000E7C1E">
      <w:r>
        <w:t xml:space="preserve">This section includes questions and reference information for Section 8 Bar Code Medication Administration. Please carefully review the questions, </w:t>
      </w:r>
      <w:r w:rsidR="00B94757">
        <w:t>endnotes</w:t>
      </w:r>
      <w:r>
        <w:t>, and reference information (e.g.</w:t>
      </w:r>
      <w:r w:rsidR="00F42F6C">
        <w:t>,</w:t>
      </w:r>
      <w:r>
        <w:t xml:space="preserve"> measure specifications, notes, and frequen</w:t>
      </w:r>
      <w:r w:rsidR="00057911">
        <w:t>tl</w:t>
      </w:r>
      <w:r>
        <w:t xml:space="preserve">y asked questions) before you begin. Failure to review the reference information could result in inaccurate responses. </w:t>
      </w:r>
    </w:p>
    <w:p w14:paraId="7FBC5D9B" w14:textId="77777777" w:rsidR="000E7C1E" w:rsidRDefault="000E7C1E" w:rsidP="009202B6">
      <w:pPr>
        <w:pStyle w:val="SectionHeader"/>
      </w:pPr>
    </w:p>
    <w:p w14:paraId="785FF4AC" w14:textId="77777777" w:rsidR="009202B6" w:rsidRPr="009202B6" w:rsidRDefault="009202B6" w:rsidP="009202B6">
      <w:pPr>
        <w:rPr>
          <w:b/>
          <w:snapToGrid w:val="0"/>
          <w:sz w:val="40"/>
          <w:szCs w:val="40"/>
          <w:lang w:eastAsia="ja-JP"/>
        </w:rPr>
      </w:pPr>
      <w:r>
        <w:br w:type="page"/>
      </w:r>
    </w:p>
    <w:p w14:paraId="143A63F2" w14:textId="77777777" w:rsidR="009604C4" w:rsidRDefault="009604C4" w:rsidP="002C3E94">
      <w:pPr>
        <w:pStyle w:val="Title"/>
        <w:rPr>
          <w:snapToGrid w:val="0"/>
        </w:rPr>
      </w:pPr>
      <w:bookmarkStart w:id="318" w:name="_Toc447195080"/>
      <w:r w:rsidRPr="000853A1">
        <w:rPr>
          <w:snapToGrid w:val="0"/>
        </w:rPr>
        <w:lastRenderedPageBreak/>
        <w:t xml:space="preserve">Section 8:  </w:t>
      </w:r>
      <w:r w:rsidR="004F68CC">
        <w:rPr>
          <w:snapToGrid w:val="0"/>
        </w:rPr>
        <w:t>2016</w:t>
      </w:r>
      <w:r w:rsidR="00E60FE9" w:rsidRPr="000853A1">
        <w:rPr>
          <w:snapToGrid w:val="0"/>
        </w:rPr>
        <w:t xml:space="preserve"> Bar Code Medication </w:t>
      </w:r>
      <w:r w:rsidR="003D1388" w:rsidRPr="000853A1">
        <w:rPr>
          <w:snapToGrid w:val="0"/>
        </w:rPr>
        <w:t>Administration</w:t>
      </w:r>
      <w:bookmarkEnd w:id="318"/>
    </w:p>
    <w:p w14:paraId="1F18FF53" w14:textId="77777777" w:rsidR="000C3BE1" w:rsidRDefault="000C3BE1" w:rsidP="006B19E3"/>
    <w:p w14:paraId="1D07E6C6" w14:textId="77777777" w:rsidR="006A3E69" w:rsidRPr="00CB6420" w:rsidRDefault="006A3E69" w:rsidP="006B19E3">
      <w:pPr>
        <w:rPr>
          <w:highlight w:val="yellow"/>
        </w:rPr>
      </w:pPr>
      <w:r w:rsidRPr="000853A1">
        <w:rPr>
          <w:b/>
        </w:rPr>
        <w:t xml:space="preserve">Link to </w:t>
      </w:r>
      <w:r w:rsidR="00E60FE9" w:rsidRPr="000853A1">
        <w:rPr>
          <w:b/>
        </w:rPr>
        <w:t xml:space="preserve">Bar Code Medication Administration </w:t>
      </w:r>
      <w:r w:rsidRPr="000853A1">
        <w:rPr>
          <w:b/>
        </w:rPr>
        <w:t>Fact Shee</w:t>
      </w:r>
      <w:r w:rsidR="00E60FE9" w:rsidRPr="000853A1">
        <w:rPr>
          <w:b/>
        </w:rPr>
        <w:t xml:space="preserve">t: </w:t>
      </w:r>
      <w:hyperlink r:id="rId195" w:history="1">
        <w:r w:rsidR="00E03E77" w:rsidRPr="00EE24D9">
          <w:rPr>
            <w:rStyle w:val="Hyperlink"/>
          </w:rPr>
          <w:t>http://leapfroggroup.org/ratings-reports/survey-content</w:t>
        </w:r>
      </w:hyperlink>
      <w:r w:rsidR="004C12C7">
        <w:rPr>
          <w:b/>
        </w:rPr>
        <w:t xml:space="preserve"> </w:t>
      </w:r>
    </w:p>
    <w:p w14:paraId="532D08AE" w14:textId="77777777" w:rsidR="006A3E69" w:rsidRPr="00CB6420" w:rsidRDefault="006A3E69" w:rsidP="006B19E3">
      <w:pPr>
        <w:rPr>
          <w:highlight w:val="yellow"/>
        </w:rPr>
      </w:pPr>
    </w:p>
    <w:p w14:paraId="01B2D162" w14:textId="77777777" w:rsidR="009D4EAF" w:rsidRDefault="0072213F" w:rsidP="0072213F">
      <w:pPr>
        <w:rPr>
          <w:rFonts w:cs="Arial"/>
        </w:rPr>
      </w:pPr>
      <w:r w:rsidRPr="005D28E6">
        <w:t xml:space="preserve">This section of the survey </w:t>
      </w:r>
      <w:r w:rsidRPr="005D28E6">
        <w:rPr>
          <w:rFonts w:cs="Arial"/>
        </w:rPr>
        <w:t>asks hospitals about their use of bar code medication administration (BCMA) systems in admin</w:t>
      </w:r>
      <w:r w:rsidR="007B318A">
        <w:rPr>
          <w:rFonts w:cs="Arial"/>
        </w:rPr>
        <w:t>istering medications at the bed</w:t>
      </w:r>
      <w:r w:rsidRPr="005D28E6">
        <w:rPr>
          <w:rFonts w:cs="Arial"/>
        </w:rPr>
        <w:t xml:space="preserve">side to reduce medication errors across inpatient units. </w:t>
      </w:r>
    </w:p>
    <w:p w14:paraId="44174BBB" w14:textId="77777777" w:rsidR="009D4EAF" w:rsidRDefault="009D4EAF" w:rsidP="0072213F">
      <w:pPr>
        <w:rPr>
          <w:rFonts w:cs="Arial"/>
        </w:rPr>
      </w:pPr>
    </w:p>
    <w:p w14:paraId="4CC12871" w14:textId="77777777" w:rsidR="00675A52" w:rsidRPr="00414DB9" w:rsidRDefault="00675A52" w:rsidP="00675A52">
      <w:pPr>
        <w:rPr>
          <w:b/>
        </w:rPr>
      </w:pPr>
      <w:r w:rsidRPr="00414DB9">
        <w:rPr>
          <w:b/>
        </w:rPr>
        <w:t xml:space="preserve">Each hospital fully meeting this standard: </w:t>
      </w:r>
    </w:p>
    <w:p w14:paraId="293949EC" w14:textId="77777777" w:rsidR="00675A52" w:rsidRDefault="00675A52" w:rsidP="00ED58C1">
      <w:pPr>
        <w:pStyle w:val="ListParagraph"/>
        <w:numPr>
          <w:ilvl w:val="0"/>
          <w:numId w:val="119"/>
        </w:numPr>
      </w:pPr>
      <w:r>
        <w:t>Has implemented the use of BCMA at the bedside in 100% of applicable units</w:t>
      </w:r>
    </w:p>
    <w:p w14:paraId="15D5B888" w14:textId="77777777" w:rsidR="00675A52" w:rsidRDefault="00675A52" w:rsidP="00ED58C1">
      <w:pPr>
        <w:pStyle w:val="ListParagraph"/>
        <w:numPr>
          <w:ilvl w:val="0"/>
          <w:numId w:val="119"/>
        </w:numPr>
      </w:pPr>
      <w:r>
        <w:t>Has achieved at least 95% compliance with scanning patients and medications during administration</w:t>
      </w:r>
    </w:p>
    <w:p w14:paraId="4314EC0F" w14:textId="77777777" w:rsidR="00675A52" w:rsidRDefault="00675A52" w:rsidP="00ED58C1">
      <w:pPr>
        <w:pStyle w:val="ListParagraph"/>
        <w:numPr>
          <w:ilvl w:val="0"/>
          <w:numId w:val="119"/>
        </w:numPr>
      </w:pPr>
      <w:r>
        <w:t xml:space="preserve">Has a BMCA system that includes </w:t>
      </w:r>
      <w:r w:rsidR="001908CE">
        <w:t xml:space="preserve">all of the following types of decision support: </w:t>
      </w:r>
      <w:r>
        <w:t xml:space="preserve">wrong patient, wrong medication, wrong dose, wrong time, vital sign check, patient-specific allergy check, and second nurse check needed. </w:t>
      </w:r>
    </w:p>
    <w:p w14:paraId="14B0CD33" w14:textId="77777777" w:rsidR="00675A52" w:rsidRPr="00381AA4" w:rsidRDefault="00675A52" w:rsidP="00ED58C1">
      <w:pPr>
        <w:pStyle w:val="ListParagraph"/>
        <w:numPr>
          <w:ilvl w:val="0"/>
          <w:numId w:val="119"/>
        </w:numPr>
      </w:pPr>
      <w:r>
        <w:t>Has structures in place to monitor and reduce workaround</w:t>
      </w:r>
      <w:r w:rsidR="00AD50A5">
        <w:t>s,</w:t>
      </w:r>
      <w:r>
        <w:t xml:space="preserve"> </w:t>
      </w:r>
      <w:r w:rsidR="001908CE">
        <w:t xml:space="preserve">which include having </w:t>
      </w:r>
      <w:r>
        <w:t xml:space="preserve">a formal committee that meets routinely to review data reports on BCMA system use, </w:t>
      </w:r>
      <w:r w:rsidR="001908CE">
        <w:t xml:space="preserve">having </w:t>
      </w:r>
      <w:r>
        <w:t xml:space="preserve">back-up systems for hardware failures, </w:t>
      </w:r>
      <w:r w:rsidR="001908CE">
        <w:t xml:space="preserve">having </w:t>
      </w:r>
      <w:r>
        <w:t>a help desk that provides timely responses to urgent BCMA issues in real-time</w:t>
      </w:r>
      <w:r w:rsidR="00C31280">
        <w:t>,</w:t>
      </w:r>
      <w:r>
        <w:t xml:space="preserve"> conduct</w:t>
      </w:r>
      <w:r w:rsidR="001908CE">
        <w:t>ing</w:t>
      </w:r>
      <w:r>
        <w:t xml:space="preserve"> real-time observations of users using the BCMA system, and engag</w:t>
      </w:r>
      <w:r w:rsidR="001908CE">
        <w:t>ing</w:t>
      </w:r>
      <w:r>
        <w:t xml:space="preserve"> nursing leadership at the unit level on BCMA use. </w:t>
      </w:r>
    </w:p>
    <w:p w14:paraId="5DBCD785" w14:textId="77777777" w:rsidR="009D4EAF" w:rsidRDefault="009D4EAF">
      <w:pPr>
        <w:rPr>
          <w:rFonts w:cs="Arial"/>
          <w:b/>
        </w:rPr>
      </w:pPr>
    </w:p>
    <w:p w14:paraId="30A4F9C9" w14:textId="77777777" w:rsidR="008E4965" w:rsidRPr="009D4EAF" w:rsidRDefault="008E4965" w:rsidP="008E4965">
      <w:pPr>
        <w:rPr>
          <w:b/>
        </w:rPr>
      </w:pPr>
      <w:r w:rsidRPr="009D4EAF">
        <w:rPr>
          <w:b/>
        </w:rPr>
        <w:t xml:space="preserve">More information about the 2016 Leapfrog Hospital Survey Scoring Algorithms is available at: </w:t>
      </w:r>
      <w:hyperlink r:id="rId196" w:history="1">
        <w:r w:rsidR="00AD50A5" w:rsidRPr="00300CF7">
          <w:rPr>
            <w:rStyle w:val="Hyperlink"/>
          </w:rPr>
          <w:t>http://leapfroggroup.org/survey-materials/survey-and-cpoe-materials</w:t>
        </w:r>
      </w:hyperlink>
      <w:r w:rsidR="00AD50A5">
        <w:t xml:space="preserve"> </w:t>
      </w:r>
    </w:p>
    <w:p w14:paraId="440F6026" w14:textId="77777777" w:rsidR="00C31280" w:rsidRDefault="00C31280">
      <w:pPr>
        <w:rPr>
          <w:rFonts w:cs="Arial"/>
          <w:b/>
        </w:rPr>
      </w:pPr>
      <w:r>
        <w:rPr>
          <w:rFonts w:cs="Arial"/>
          <w:b/>
        </w:rPr>
        <w:br w:type="page"/>
      </w:r>
    </w:p>
    <w:p w14:paraId="1CE85A43" w14:textId="77777777" w:rsidR="00B45B92" w:rsidRDefault="00B45B92" w:rsidP="00B45B92">
      <w:r>
        <w:rPr>
          <w:b/>
        </w:rPr>
        <w:lastRenderedPageBreak/>
        <w:t xml:space="preserve">Specifications: </w:t>
      </w:r>
      <w:r w:rsidRPr="0029519D">
        <w:rPr>
          <w:snapToGrid w:val="0"/>
        </w:rPr>
        <w:t xml:space="preserve">Hospitals that share a Medicare Provider Number are required to report by facility. Please carefully review </w:t>
      </w:r>
      <w:hyperlink r:id="rId197" w:history="1">
        <w:r w:rsidRPr="00DF794C">
          <w:rPr>
            <w:rStyle w:val="Hyperlink"/>
            <w:snapToGrid w:val="0"/>
          </w:rPr>
          <w:t>Leapfrog’s Multi-Campus Reporting Policy</w:t>
        </w:r>
      </w:hyperlink>
      <w:r w:rsidRPr="00DF794C">
        <w:rPr>
          <w:snapToGrid w:val="0"/>
        </w:rPr>
        <w:t>.</w:t>
      </w:r>
    </w:p>
    <w:p w14:paraId="18DB889F" w14:textId="77777777" w:rsidR="00B45B92" w:rsidRDefault="00B45B92">
      <w:pPr>
        <w:rPr>
          <w:rFonts w:cs="Arial"/>
          <w:b/>
        </w:rPr>
      </w:pPr>
    </w:p>
    <w:p w14:paraId="3914EBCB" w14:textId="77777777" w:rsidR="00B45B92" w:rsidRDefault="00B45B92">
      <w:pPr>
        <w:rPr>
          <w:rFonts w:cs="Arial"/>
          <w:b/>
        </w:rPr>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468"/>
      </w:tblGrid>
      <w:tr w:rsidR="007B318A" w14:paraId="7AC065CB" w14:textId="77777777" w:rsidTr="007B318A">
        <w:trPr>
          <w:jc w:val="center"/>
        </w:trPr>
        <w:tc>
          <w:tcPr>
            <w:tcW w:w="9468" w:type="dxa"/>
          </w:tcPr>
          <w:p w14:paraId="72A68EC7" w14:textId="77777777" w:rsidR="009D5AC2" w:rsidRPr="007B318A" w:rsidRDefault="007B318A" w:rsidP="005E2E3A">
            <w:pPr>
              <w:rPr>
                <w:rFonts w:cs="Arial"/>
              </w:rPr>
            </w:pPr>
            <w:r w:rsidRPr="00AB3FDA">
              <w:rPr>
                <w:rFonts w:cs="Arial"/>
                <w:b/>
              </w:rPr>
              <w:t xml:space="preserve">Reporting Time Period: </w:t>
            </w:r>
            <w:r>
              <w:rPr>
                <w:rFonts w:cs="Arial"/>
              </w:rPr>
              <w:t>Answer questions #1-</w:t>
            </w:r>
            <w:r w:rsidR="005E2E3A">
              <w:rPr>
                <w:rFonts w:cs="Arial"/>
              </w:rPr>
              <w:t>12</w:t>
            </w:r>
            <w:r w:rsidR="005E2E3A" w:rsidRPr="00AB3FDA">
              <w:rPr>
                <w:rFonts w:cs="Arial"/>
              </w:rPr>
              <w:t xml:space="preserve"> </w:t>
            </w:r>
            <w:r w:rsidRPr="00AB3FDA">
              <w:rPr>
                <w:rFonts w:cs="Arial"/>
              </w:rPr>
              <w:t>for the latest 3 month</w:t>
            </w:r>
            <w:r w:rsidR="009D5AC2">
              <w:rPr>
                <w:rFonts w:cs="Arial"/>
              </w:rPr>
              <w:t xml:space="preserve"> period</w:t>
            </w:r>
            <w:r w:rsidRPr="00AB3FDA">
              <w:rPr>
                <w:rFonts w:cs="Arial"/>
              </w:rPr>
              <w:t xml:space="preserve"> prior to </w:t>
            </w:r>
            <w:r w:rsidR="009D5AC2">
              <w:rPr>
                <w:rFonts w:cs="Arial"/>
              </w:rPr>
              <w:t xml:space="preserve">the submission of </w:t>
            </w:r>
            <w:r w:rsidRPr="00AB3FDA">
              <w:rPr>
                <w:rFonts w:cs="Arial"/>
              </w:rPr>
              <w:t xml:space="preserve">this section of the survey. </w:t>
            </w:r>
          </w:p>
        </w:tc>
      </w:tr>
    </w:tbl>
    <w:p w14:paraId="420E268A" w14:textId="77777777" w:rsidR="007B318A" w:rsidRDefault="007B318A" w:rsidP="0072213F">
      <w:pPr>
        <w:rPr>
          <w:rFonts w:cs="Arial"/>
          <w:b/>
        </w:rPr>
      </w:pPr>
    </w:p>
    <w:p w14:paraId="33E95779" w14:textId="77777777" w:rsidR="0072213F" w:rsidRPr="004D0A61" w:rsidRDefault="0072213F" w:rsidP="0072213F">
      <w:pPr>
        <w:rPr>
          <w:rFonts w:cs="Arial"/>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4"/>
        <w:gridCol w:w="1836"/>
      </w:tblGrid>
      <w:tr w:rsidR="0072213F" w:rsidRPr="0072213F" w14:paraId="7B9B815C" w14:textId="77777777" w:rsidTr="00313466">
        <w:trPr>
          <w:trHeight w:val="872"/>
          <w:jc w:val="center"/>
        </w:trPr>
        <w:tc>
          <w:tcPr>
            <w:tcW w:w="7704" w:type="dxa"/>
            <w:vAlign w:val="center"/>
          </w:tcPr>
          <w:p w14:paraId="19CD808C" w14:textId="77777777" w:rsidR="0072213F" w:rsidRPr="0072213F" w:rsidRDefault="0072213F" w:rsidP="00ED58C1">
            <w:pPr>
              <w:pStyle w:val="ListParagraph"/>
              <w:numPr>
                <w:ilvl w:val="0"/>
                <w:numId w:val="105"/>
              </w:numPr>
              <w:rPr>
                <w:rFonts w:cs="Arial"/>
                <w:snapToGrid w:val="0"/>
                <w:color w:val="000000"/>
              </w:rPr>
            </w:pPr>
            <w:r w:rsidRPr="0072213F">
              <w:rPr>
                <w:rFonts w:cs="Arial"/>
                <w:snapToGrid w:val="0"/>
                <w:color w:val="000000"/>
              </w:rPr>
              <w:t>What is the latest 3-month reporting period for which your hospital is submitting responses to this section? 3-month reporting time period ending:</w:t>
            </w:r>
          </w:p>
        </w:tc>
        <w:tc>
          <w:tcPr>
            <w:tcW w:w="1836" w:type="dxa"/>
            <w:vAlign w:val="center"/>
          </w:tcPr>
          <w:p w14:paraId="7BC92830" w14:textId="77777777" w:rsidR="0072213F" w:rsidRPr="0072213F" w:rsidRDefault="0072213F" w:rsidP="00D76D94">
            <w:pPr>
              <w:jc w:val="center"/>
              <w:rPr>
                <w:rFonts w:cs="Arial"/>
                <w:i/>
                <w:snapToGrid w:val="0"/>
              </w:rPr>
            </w:pPr>
            <w:r w:rsidRPr="0072213F">
              <w:rPr>
                <w:rFonts w:cs="Arial"/>
                <w:i/>
                <w:snapToGrid w:val="0"/>
              </w:rPr>
              <w:t>______</w:t>
            </w:r>
          </w:p>
          <w:p w14:paraId="6F17B584" w14:textId="18178D36" w:rsidR="0072213F" w:rsidRPr="0026145E" w:rsidRDefault="0026145E" w:rsidP="0072213F">
            <w:pPr>
              <w:jc w:val="center"/>
              <w:rPr>
                <w:rFonts w:cs="Arial"/>
                <w:i/>
                <w:snapToGrid w:val="0"/>
                <w:sz w:val="16"/>
                <w:szCs w:val="16"/>
              </w:rPr>
            </w:pPr>
            <w:r w:rsidRPr="0026145E">
              <w:rPr>
                <w:rFonts w:cs="Arial"/>
                <w:i/>
                <w:snapToGrid w:val="0"/>
                <w:sz w:val="16"/>
                <w:szCs w:val="16"/>
              </w:rPr>
              <w:t>Format: MM/YYY</w:t>
            </w:r>
            <w:r w:rsidR="00A90D65">
              <w:rPr>
                <w:rFonts w:cs="Arial"/>
                <w:i/>
                <w:snapToGrid w:val="0"/>
                <w:sz w:val="16"/>
                <w:szCs w:val="16"/>
              </w:rPr>
              <w:t>Y</w:t>
            </w:r>
          </w:p>
        </w:tc>
      </w:tr>
      <w:tr w:rsidR="0072213F" w:rsidRPr="0072213F" w14:paraId="3E2288BF" w14:textId="77777777" w:rsidTr="00313466">
        <w:trPr>
          <w:trHeight w:val="872"/>
          <w:jc w:val="center"/>
        </w:trPr>
        <w:tc>
          <w:tcPr>
            <w:tcW w:w="7704" w:type="dxa"/>
            <w:vAlign w:val="center"/>
          </w:tcPr>
          <w:p w14:paraId="17BEA2BB" w14:textId="77777777" w:rsidR="0072213F" w:rsidRPr="0072213F" w:rsidRDefault="0072213F" w:rsidP="00ED58C1">
            <w:pPr>
              <w:pStyle w:val="ListParagraph"/>
              <w:numPr>
                <w:ilvl w:val="0"/>
                <w:numId w:val="105"/>
              </w:numPr>
              <w:spacing w:before="120"/>
              <w:rPr>
                <w:rFonts w:cs="Arial"/>
                <w:snapToGrid w:val="0"/>
                <w:color w:val="000000"/>
              </w:rPr>
            </w:pPr>
            <w:r w:rsidRPr="0072213F">
              <w:rPr>
                <w:rFonts w:cs="Arial"/>
              </w:rPr>
              <w:t xml:space="preserve">Does your hospital use a Bar Code Medication Administration (BCMA) system that is linked to the electronic medication administration record (eMAR) when administering medications at the bedside in at least one inpatient unit?  </w:t>
            </w:r>
          </w:p>
          <w:p w14:paraId="0775A09A" w14:textId="77777777" w:rsidR="0072213F" w:rsidRDefault="0072213F" w:rsidP="0072213F">
            <w:pPr>
              <w:pStyle w:val="ListParagraph"/>
              <w:ind w:left="360"/>
              <w:rPr>
                <w:rFonts w:cs="Arial"/>
              </w:rPr>
            </w:pPr>
          </w:p>
          <w:p w14:paraId="469EDE0E" w14:textId="77777777" w:rsidR="00A825F2" w:rsidRDefault="0026145E" w:rsidP="00F6562C">
            <w:pPr>
              <w:pStyle w:val="ListParagraph"/>
              <w:ind w:left="360"/>
              <w:rPr>
                <w:rFonts w:cs="Arial"/>
                <w:i/>
              </w:rPr>
            </w:pPr>
            <w:r>
              <w:rPr>
                <w:rFonts w:cs="Arial"/>
                <w:i/>
              </w:rPr>
              <w:t xml:space="preserve">If “yes,” complete </w:t>
            </w:r>
            <w:r w:rsidRPr="00EF776D">
              <w:rPr>
                <w:rFonts w:cs="Arial"/>
                <w:i/>
              </w:rPr>
              <w:t>questions #3-</w:t>
            </w:r>
            <w:r w:rsidR="00A825F2">
              <w:rPr>
                <w:rFonts w:cs="Arial"/>
                <w:i/>
              </w:rPr>
              <w:t>12</w:t>
            </w:r>
            <w:r w:rsidRPr="00EF776D">
              <w:rPr>
                <w:rFonts w:cs="Arial"/>
                <w:i/>
              </w:rPr>
              <w:t>.</w:t>
            </w:r>
          </w:p>
          <w:p w14:paraId="57B99C12" w14:textId="77777777" w:rsidR="0072213F" w:rsidRPr="0072213F" w:rsidRDefault="0026145E" w:rsidP="00794A36">
            <w:pPr>
              <w:pStyle w:val="ListParagraph"/>
              <w:spacing w:after="120"/>
              <w:ind w:left="360"/>
              <w:rPr>
                <w:rFonts w:cs="Arial"/>
                <w:snapToGrid w:val="0"/>
                <w:color w:val="000000"/>
              </w:rPr>
            </w:pPr>
            <w:r>
              <w:rPr>
                <w:rFonts w:cs="Arial"/>
                <w:i/>
              </w:rPr>
              <w:br/>
              <w:t xml:space="preserve">If “no,” </w:t>
            </w:r>
            <w:r w:rsidR="0072213F" w:rsidRPr="0072213F">
              <w:rPr>
                <w:rFonts w:cs="Arial"/>
                <w:i/>
              </w:rPr>
              <w:t>skip to the affirmation.</w:t>
            </w:r>
          </w:p>
        </w:tc>
        <w:tc>
          <w:tcPr>
            <w:tcW w:w="1836" w:type="dxa"/>
            <w:vAlign w:val="center"/>
          </w:tcPr>
          <w:p w14:paraId="06A54857" w14:textId="77777777" w:rsidR="0072213F" w:rsidRPr="0072213F" w:rsidRDefault="0072213F" w:rsidP="00D76D94">
            <w:pPr>
              <w:jc w:val="center"/>
              <w:rPr>
                <w:rFonts w:cs="Arial"/>
                <w:i/>
                <w:snapToGrid w:val="0"/>
              </w:rPr>
            </w:pPr>
            <w:r w:rsidRPr="0072213F">
              <w:rPr>
                <w:rFonts w:cs="Arial"/>
                <w:i/>
                <w:snapToGrid w:val="0"/>
              </w:rPr>
              <w:t>Yes</w:t>
            </w:r>
          </w:p>
          <w:p w14:paraId="0DD4F75E" w14:textId="77777777" w:rsidR="0072213F" w:rsidRPr="0072213F" w:rsidRDefault="0072213F" w:rsidP="00D76D94">
            <w:pPr>
              <w:jc w:val="center"/>
              <w:rPr>
                <w:rFonts w:cs="Arial"/>
                <w:i/>
                <w:snapToGrid w:val="0"/>
              </w:rPr>
            </w:pPr>
            <w:r w:rsidRPr="0072213F">
              <w:rPr>
                <w:rFonts w:cs="Arial"/>
                <w:i/>
                <w:snapToGrid w:val="0"/>
              </w:rPr>
              <w:t>No</w:t>
            </w:r>
          </w:p>
        </w:tc>
      </w:tr>
      <w:tr w:rsidR="00FA0506" w:rsidRPr="0072213F" w14:paraId="2189445E" w14:textId="77777777" w:rsidTr="00A15EC6">
        <w:trPr>
          <w:trHeight w:val="1025"/>
          <w:jc w:val="center"/>
        </w:trPr>
        <w:tc>
          <w:tcPr>
            <w:tcW w:w="7704" w:type="dxa"/>
            <w:vAlign w:val="center"/>
          </w:tcPr>
          <w:p w14:paraId="4DE4D8AF" w14:textId="77777777" w:rsidR="00FA0506" w:rsidRDefault="00FA0506" w:rsidP="00ED58C1">
            <w:pPr>
              <w:pStyle w:val="ListParagraph"/>
              <w:numPr>
                <w:ilvl w:val="0"/>
                <w:numId w:val="105"/>
              </w:numPr>
              <w:rPr>
                <w:rFonts w:cs="Arial"/>
              </w:rPr>
            </w:pPr>
            <w:r>
              <w:rPr>
                <w:rFonts w:cs="Arial"/>
              </w:rPr>
              <w:t>Does your hospital operate Intensive Care Units (adult, pediatric, and/or neonatal)?</w:t>
            </w:r>
          </w:p>
          <w:p w14:paraId="5F598E7C" w14:textId="77777777" w:rsidR="00FA0506" w:rsidRDefault="00FA0506" w:rsidP="00FA0506">
            <w:pPr>
              <w:pStyle w:val="ListParagraph"/>
              <w:ind w:left="360"/>
              <w:rPr>
                <w:rFonts w:cs="Arial"/>
              </w:rPr>
            </w:pPr>
          </w:p>
          <w:p w14:paraId="09BC0DE2" w14:textId="77777777" w:rsidR="00FA0506" w:rsidRPr="00FA0506" w:rsidRDefault="00FA0506" w:rsidP="00FA0506">
            <w:pPr>
              <w:pStyle w:val="ListParagraph"/>
              <w:ind w:left="360"/>
              <w:rPr>
                <w:rFonts w:cs="Arial"/>
                <w:i/>
              </w:rPr>
            </w:pPr>
            <w:r>
              <w:rPr>
                <w:rFonts w:cs="Arial"/>
                <w:i/>
              </w:rPr>
              <w:t>If “no,” skip questions #4 and #5.</w:t>
            </w:r>
          </w:p>
        </w:tc>
        <w:tc>
          <w:tcPr>
            <w:tcW w:w="1836" w:type="dxa"/>
            <w:vAlign w:val="center"/>
          </w:tcPr>
          <w:p w14:paraId="0E6D3A9F" w14:textId="77777777" w:rsidR="00FA0506" w:rsidRDefault="00FA0506" w:rsidP="00D76D94">
            <w:pPr>
              <w:jc w:val="center"/>
              <w:rPr>
                <w:rFonts w:cs="Arial"/>
                <w:i/>
                <w:snapToGrid w:val="0"/>
              </w:rPr>
            </w:pPr>
            <w:r>
              <w:rPr>
                <w:rFonts w:cs="Arial"/>
                <w:i/>
                <w:snapToGrid w:val="0"/>
              </w:rPr>
              <w:t>Yes</w:t>
            </w:r>
          </w:p>
          <w:p w14:paraId="0F6E9CFD" w14:textId="77777777" w:rsidR="00FA0506" w:rsidRPr="0072213F" w:rsidRDefault="00FA0506" w:rsidP="00D76D94">
            <w:pPr>
              <w:jc w:val="center"/>
              <w:rPr>
                <w:rFonts w:cs="Arial"/>
                <w:i/>
                <w:snapToGrid w:val="0"/>
              </w:rPr>
            </w:pPr>
            <w:r>
              <w:rPr>
                <w:rFonts w:cs="Arial"/>
                <w:i/>
                <w:snapToGrid w:val="0"/>
              </w:rPr>
              <w:t>No</w:t>
            </w:r>
          </w:p>
        </w:tc>
      </w:tr>
      <w:tr w:rsidR="00FA0506" w:rsidRPr="0072213F" w14:paraId="02D104F4" w14:textId="77777777" w:rsidTr="00313466">
        <w:trPr>
          <w:trHeight w:val="872"/>
          <w:jc w:val="center"/>
        </w:trPr>
        <w:tc>
          <w:tcPr>
            <w:tcW w:w="7704" w:type="dxa"/>
            <w:vAlign w:val="center"/>
          </w:tcPr>
          <w:p w14:paraId="2A10954E" w14:textId="77777777" w:rsidR="00FA0506" w:rsidRDefault="00FA0506" w:rsidP="00ED58C1">
            <w:pPr>
              <w:pStyle w:val="ListParagraph"/>
              <w:numPr>
                <w:ilvl w:val="0"/>
                <w:numId w:val="105"/>
              </w:numPr>
              <w:rPr>
                <w:rFonts w:cs="Arial"/>
              </w:rPr>
            </w:pPr>
            <w:r>
              <w:rPr>
                <w:rFonts w:cs="Arial"/>
              </w:rPr>
              <w:t>If “yes,” how many of this type of unit are open and staffed in the hospital?</w:t>
            </w:r>
          </w:p>
        </w:tc>
        <w:tc>
          <w:tcPr>
            <w:tcW w:w="1836" w:type="dxa"/>
            <w:vAlign w:val="center"/>
          </w:tcPr>
          <w:p w14:paraId="593C8BEE" w14:textId="77777777" w:rsidR="00FA0506" w:rsidRDefault="00FA0506" w:rsidP="00D76D94">
            <w:pPr>
              <w:jc w:val="center"/>
              <w:rPr>
                <w:rFonts w:cs="Arial"/>
                <w:i/>
                <w:snapToGrid w:val="0"/>
              </w:rPr>
            </w:pPr>
            <w:r>
              <w:rPr>
                <w:rFonts w:cs="Arial"/>
                <w:i/>
                <w:snapToGrid w:val="0"/>
              </w:rPr>
              <w:t>_____</w:t>
            </w:r>
          </w:p>
        </w:tc>
      </w:tr>
      <w:tr w:rsidR="00FA0506" w:rsidRPr="0072213F" w14:paraId="4BDC6F91" w14:textId="77777777" w:rsidTr="00313466">
        <w:trPr>
          <w:trHeight w:val="872"/>
          <w:jc w:val="center"/>
        </w:trPr>
        <w:tc>
          <w:tcPr>
            <w:tcW w:w="7704" w:type="dxa"/>
            <w:vAlign w:val="center"/>
          </w:tcPr>
          <w:p w14:paraId="27B7AFCD" w14:textId="77777777" w:rsidR="00FA0506" w:rsidRDefault="00FA0506" w:rsidP="00ED58C1">
            <w:pPr>
              <w:pStyle w:val="ListParagraph"/>
              <w:numPr>
                <w:ilvl w:val="0"/>
                <w:numId w:val="105"/>
              </w:numPr>
              <w:rPr>
                <w:rFonts w:cs="Arial"/>
              </w:rPr>
            </w:pPr>
            <w:r>
              <w:rPr>
                <w:rFonts w:cs="Arial"/>
              </w:rPr>
              <w:t>How many of the units in question #4 utilized the BCMA/eMAR system when administering medications at the bedside?</w:t>
            </w:r>
          </w:p>
        </w:tc>
        <w:tc>
          <w:tcPr>
            <w:tcW w:w="1836" w:type="dxa"/>
            <w:vAlign w:val="center"/>
          </w:tcPr>
          <w:p w14:paraId="4CE016ED" w14:textId="77777777" w:rsidR="00FA0506" w:rsidRDefault="00FA0506" w:rsidP="00D76D94">
            <w:pPr>
              <w:jc w:val="center"/>
              <w:rPr>
                <w:rFonts w:cs="Arial"/>
                <w:i/>
                <w:snapToGrid w:val="0"/>
              </w:rPr>
            </w:pPr>
            <w:r>
              <w:rPr>
                <w:rFonts w:cs="Arial"/>
                <w:i/>
                <w:snapToGrid w:val="0"/>
              </w:rPr>
              <w:t>_____</w:t>
            </w:r>
          </w:p>
        </w:tc>
      </w:tr>
      <w:tr w:rsidR="0032142B" w:rsidRPr="0072213F" w14:paraId="19F7AB27" w14:textId="77777777" w:rsidTr="00313466">
        <w:trPr>
          <w:trHeight w:val="872"/>
          <w:jc w:val="center"/>
        </w:trPr>
        <w:tc>
          <w:tcPr>
            <w:tcW w:w="7704" w:type="dxa"/>
            <w:vAlign w:val="center"/>
          </w:tcPr>
          <w:p w14:paraId="62B0F5F9" w14:textId="77777777" w:rsidR="0032142B" w:rsidRDefault="0032142B" w:rsidP="00ED58C1">
            <w:pPr>
              <w:pStyle w:val="ListParagraph"/>
              <w:numPr>
                <w:ilvl w:val="0"/>
                <w:numId w:val="105"/>
              </w:numPr>
              <w:rPr>
                <w:rFonts w:cs="Arial"/>
              </w:rPr>
            </w:pPr>
            <w:r>
              <w:rPr>
                <w:rFonts w:cs="Arial"/>
              </w:rPr>
              <w:t>Does your hospital operate Medical and/or Surgical Units?</w:t>
            </w:r>
          </w:p>
          <w:p w14:paraId="39D94BAA" w14:textId="77777777" w:rsidR="0032142B" w:rsidRDefault="0032142B" w:rsidP="0032142B">
            <w:pPr>
              <w:pStyle w:val="ListParagraph"/>
              <w:ind w:left="360"/>
              <w:rPr>
                <w:rFonts w:cs="Arial"/>
              </w:rPr>
            </w:pPr>
          </w:p>
          <w:p w14:paraId="60389C69" w14:textId="77777777" w:rsidR="0032142B" w:rsidRPr="0032142B" w:rsidRDefault="0032142B" w:rsidP="0032142B">
            <w:pPr>
              <w:pStyle w:val="ListParagraph"/>
              <w:ind w:left="360"/>
              <w:rPr>
                <w:rFonts w:cs="Arial"/>
                <w:i/>
              </w:rPr>
            </w:pPr>
            <w:r>
              <w:rPr>
                <w:rFonts w:cs="Arial"/>
                <w:i/>
              </w:rPr>
              <w:t>If “no,” skip questions #</w:t>
            </w:r>
            <w:r w:rsidR="00B22313">
              <w:rPr>
                <w:rFonts w:cs="Arial"/>
                <w:i/>
              </w:rPr>
              <w:t>7</w:t>
            </w:r>
            <w:r>
              <w:rPr>
                <w:rFonts w:cs="Arial"/>
                <w:i/>
              </w:rPr>
              <w:t xml:space="preserve"> and #</w:t>
            </w:r>
            <w:r w:rsidR="00B22313">
              <w:rPr>
                <w:rFonts w:cs="Arial"/>
                <w:i/>
              </w:rPr>
              <w:t>8</w:t>
            </w:r>
            <w:r>
              <w:rPr>
                <w:rFonts w:cs="Arial"/>
                <w:i/>
              </w:rPr>
              <w:t>.</w:t>
            </w:r>
          </w:p>
        </w:tc>
        <w:tc>
          <w:tcPr>
            <w:tcW w:w="1836" w:type="dxa"/>
            <w:vAlign w:val="center"/>
          </w:tcPr>
          <w:p w14:paraId="76D5584F" w14:textId="77777777" w:rsidR="0032142B" w:rsidRDefault="0032142B" w:rsidP="00D76D94">
            <w:pPr>
              <w:jc w:val="center"/>
              <w:rPr>
                <w:rFonts w:cs="Arial"/>
                <w:i/>
                <w:snapToGrid w:val="0"/>
              </w:rPr>
            </w:pPr>
            <w:r>
              <w:rPr>
                <w:rFonts w:cs="Arial"/>
                <w:i/>
                <w:snapToGrid w:val="0"/>
              </w:rPr>
              <w:t>Yes</w:t>
            </w:r>
          </w:p>
          <w:p w14:paraId="71A9CBAD" w14:textId="77777777" w:rsidR="0032142B" w:rsidRDefault="0032142B" w:rsidP="00D76D94">
            <w:pPr>
              <w:jc w:val="center"/>
              <w:rPr>
                <w:rFonts w:cs="Arial"/>
                <w:i/>
                <w:snapToGrid w:val="0"/>
              </w:rPr>
            </w:pPr>
            <w:r>
              <w:rPr>
                <w:rFonts w:cs="Arial"/>
                <w:i/>
                <w:snapToGrid w:val="0"/>
              </w:rPr>
              <w:t>No</w:t>
            </w:r>
          </w:p>
        </w:tc>
      </w:tr>
      <w:tr w:rsidR="0032142B" w:rsidRPr="0072213F" w14:paraId="07D76751" w14:textId="77777777" w:rsidTr="00313466">
        <w:trPr>
          <w:trHeight w:val="872"/>
          <w:jc w:val="center"/>
        </w:trPr>
        <w:tc>
          <w:tcPr>
            <w:tcW w:w="7704" w:type="dxa"/>
            <w:vAlign w:val="center"/>
          </w:tcPr>
          <w:p w14:paraId="4D6DC205" w14:textId="77777777" w:rsidR="0032142B" w:rsidRDefault="00391C84" w:rsidP="00ED58C1">
            <w:pPr>
              <w:pStyle w:val="ListParagraph"/>
              <w:numPr>
                <w:ilvl w:val="0"/>
                <w:numId w:val="105"/>
              </w:numPr>
              <w:rPr>
                <w:rFonts w:cs="Arial"/>
              </w:rPr>
            </w:pPr>
            <w:r>
              <w:rPr>
                <w:rFonts w:cs="Arial"/>
              </w:rPr>
              <w:t>If “yes,” how many of this type of unit were open and staffed in the hospital?</w:t>
            </w:r>
          </w:p>
        </w:tc>
        <w:tc>
          <w:tcPr>
            <w:tcW w:w="1836" w:type="dxa"/>
            <w:vAlign w:val="center"/>
          </w:tcPr>
          <w:p w14:paraId="06B92544" w14:textId="77777777" w:rsidR="0032142B" w:rsidRDefault="00391C84" w:rsidP="00D76D94">
            <w:pPr>
              <w:jc w:val="center"/>
              <w:rPr>
                <w:rFonts w:cs="Arial"/>
                <w:i/>
                <w:snapToGrid w:val="0"/>
              </w:rPr>
            </w:pPr>
            <w:r>
              <w:rPr>
                <w:rFonts w:cs="Arial"/>
                <w:i/>
                <w:snapToGrid w:val="0"/>
              </w:rPr>
              <w:t>_____</w:t>
            </w:r>
          </w:p>
        </w:tc>
      </w:tr>
      <w:tr w:rsidR="0032142B" w:rsidRPr="0072213F" w14:paraId="32FBA6A5" w14:textId="77777777" w:rsidTr="00313466">
        <w:trPr>
          <w:trHeight w:val="872"/>
          <w:jc w:val="center"/>
        </w:trPr>
        <w:tc>
          <w:tcPr>
            <w:tcW w:w="7704" w:type="dxa"/>
            <w:vAlign w:val="center"/>
          </w:tcPr>
          <w:p w14:paraId="6DA33815" w14:textId="7722D912" w:rsidR="0032142B" w:rsidRDefault="00391C84" w:rsidP="00ED58C1">
            <w:pPr>
              <w:pStyle w:val="ListParagraph"/>
              <w:numPr>
                <w:ilvl w:val="0"/>
                <w:numId w:val="105"/>
              </w:numPr>
              <w:rPr>
                <w:rFonts w:cs="Arial"/>
              </w:rPr>
            </w:pPr>
            <w:r>
              <w:rPr>
                <w:rFonts w:cs="Arial"/>
              </w:rPr>
              <w:t>How many of the units in question #</w:t>
            </w:r>
            <w:r w:rsidR="00D51B32">
              <w:rPr>
                <w:rFonts w:cs="Arial"/>
              </w:rPr>
              <w:t>7</w:t>
            </w:r>
            <w:r>
              <w:rPr>
                <w:rFonts w:cs="Arial"/>
              </w:rPr>
              <w:t xml:space="preserve"> utilized the BCMA/eMAR system when administering medi</w:t>
            </w:r>
            <w:r w:rsidR="00D36961">
              <w:rPr>
                <w:rFonts w:cs="Arial"/>
              </w:rPr>
              <w:t>c</w:t>
            </w:r>
            <w:r>
              <w:rPr>
                <w:rFonts w:cs="Arial"/>
              </w:rPr>
              <w:t>ations at the bedside?</w:t>
            </w:r>
          </w:p>
        </w:tc>
        <w:tc>
          <w:tcPr>
            <w:tcW w:w="1836" w:type="dxa"/>
            <w:vAlign w:val="center"/>
          </w:tcPr>
          <w:p w14:paraId="29AB7D88" w14:textId="77777777" w:rsidR="0032142B" w:rsidRDefault="00391C84" w:rsidP="00D76D94">
            <w:pPr>
              <w:jc w:val="center"/>
              <w:rPr>
                <w:rFonts w:cs="Arial"/>
                <w:i/>
                <w:snapToGrid w:val="0"/>
              </w:rPr>
            </w:pPr>
            <w:r>
              <w:rPr>
                <w:rFonts w:cs="Arial"/>
                <w:i/>
                <w:snapToGrid w:val="0"/>
              </w:rPr>
              <w:t>_____</w:t>
            </w:r>
          </w:p>
        </w:tc>
      </w:tr>
    </w:tbl>
    <w:p w14:paraId="7B34D26B" w14:textId="77777777" w:rsidR="00C53D39" w:rsidRDefault="00C53D39" w:rsidP="0072213F">
      <w:pPr>
        <w:spacing w:line="276" w:lineRule="auto"/>
        <w:rPr>
          <w:rFonts w:cs="Arial"/>
        </w:rPr>
      </w:pPr>
    </w:p>
    <w:p w14:paraId="347941D7" w14:textId="77777777" w:rsidR="00313466" w:rsidRPr="00313466" w:rsidRDefault="00313466" w:rsidP="0072213F">
      <w:pPr>
        <w:spacing w:line="276" w:lineRule="auto"/>
        <w:rPr>
          <w:rFonts w:cs="Arial"/>
          <w:i/>
        </w:rPr>
      </w:pPr>
      <w:r w:rsidRPr="0055333C">
        <w:rPr>
          <w:rFonts w:cs="Arial"/>
          <w:i/>
        </w:rPr>
        <w:t>If “no,” to questions #3 AND #6, skip the remainder of the questions and go to the affirmation. Your hospital will be scored as “Does Not Apply.”</w:t>
      </w:r>
      <w:r w:rsidR="006B0FEB" w:rsidRPr="0055333C">
        <w:rPr>
          <w:rFonts w:cs="Arial"/>
          <w:i/>
        </w:rPr>
        <w:t xml:space="preserve"> Otherwise</w:t>
      </w:r>
      <w:r w:rsidR="006B0FEB">
        <w:rPr>
          <w:rFonts w:cs="Arial"/>
          <w:i/>
        </w:rPr>
        <w:t>, move on to questions #9-12.</w:t>
      </w:r>
    </w:p>
    <w:p w14:paraId="2ADFAF65" w14:textId="77777777" w:rsidR="00313466" w:rsidRDefault="00313466" w:rsidP="0072213F">
      <w:pPr>
        <w:spacing w:line="276" w:lineRule="auto"/>
        <w:rPr>
          <w:rFonts w:cs="Arial"/>
        </w:rPr>
      </w:pPr>
    </w:p>
    <w:tbl>
      <w:tblPr>
        <w:tblStyle w:val="TableGrid"/>
        <w:tblW w:w="9562" w:type="dxa"/>
        <w:jc w:val="center"/>
        <w:tblLook w:val="04A0" w:firstRow="1" w:lastRow="0" w:firstColumn="1" w:lastColumn="0" w:noHBand="0" w:noVBand="1"/>
      </w:tblPr>
      <w:tblGrid>
        <w:gridCol w:w="7645"/>
        <w:gridCol w:w="1917"/>
      </w:tblGrid>
      <w:tr w:rsidR="0032142B" w:rsidRPr="0072213F" w14:paraId="4F5A8CA2" w14:textId="77777777" w:rsidTr="0026145E">
        <w:trPr>
          <w:jc w:val="center"/>
        </w:trPr>
        <w:tc>
          <w:tcPr>
            <w:tcW w:w="7645" w:type="dxa"/>
          </w:tcPr>
          <w:p w14:paraId="62588ACF" w14:textId="77777777" w:rsidR="0032142B" w:rsidRPr="00207AD7" w:rsidRDefault="0032142B" w:rsidP="00ED58C1">
            <w:pPr>
              <w:pStyle w:val="ListParagraph"/>
              <w:numPr>
                <w:ilvl w:val="0"/>
                <w:numId w:val="105"/>
              </w:numPr>
              <w:spacing w:before="120" w:after="120" w:line="276" w:lineRule="auto"/>
              <w:rPr>
                <w:rFonts w:eastAsiaTheme="minorHAnsi" w:cs="Arial"/>
              </w:rPr>
            </w:pPr>
            <w:r w:rsidRPr="0032142B">
              <w:rPr>
                <w:rFonts w:cs="Arial"/>
              </w:rPr>
              <w:t>The number of inpatient medication administrations ordered and scannable during the reporting period in those units</w:t>
            </w:r>
            <w:r w:rsidR="00207AD7">
              <w:rPr>
                <w:rFonts w:cs="Arial"/>
              </w:rPr>
              <w:t xml:space="preserve"> indicated in questions #3-</w:t>
            </w:r>
            <w:r w:rsidR="00D51B32">
              <w:rPr>
                <w:rFonts w:cs="Arial"/>
              </w:rPr>
              <w:t>8</w:t>
            </w:r>
            <w:r w:rsidR="0026145E" w:rsidRPr="00207AD7">
              <w:rPr>
                <w:rFonts w:cs="Arial"/>
              </w:rPr>
              <w:t xml:space="preserve"> above</w:t>
            </w:r>
            <w:r w:rsidRPr="00207AD7">
              <w:rPr>
                <w:rFonts w:cs="Arial"/>
              </w:rPr>
              <w:t xml:space="preserve">?  </w:t>
            </w:r>
          </w:p>
        </w:tc>
        <w:tc>
          <w:tcPr>
            <w:tcW w:w="1917" w:type="dxa"/>
          </w:tcPr>
          <w:p w14:paraId="79D20E39" w14:textId="77777777" w:rsidR="0032142B" w:rsidRPr="0032142B" w:rsidRDefault="0032142B" w:rsidP="00D76D94">
            <w:pPr>
              <w:spacing w:line="276" w:lineRule="auto"/>
              <w:jc w:val="center"/>
              <w:rPr>
                <w:rFonts w:cs="Arial"/>
              </w:rPr>
            </w:pPr>
            <w:r w:rsidRPr="0032142B">
              <w:rPr>
                <w:rFonts w:cs="Arial"/>
              </w:rPr>
              <w:t>_____</w:t>
            </w:r>
          </w:p>
          <w:p w14:paraId="0A78978C" w14:textId="77777777" w:rsidR="0032142B" w:rsidRPr="0032142B" w:rsidRDefault="0032142B" w:rsidP="00D76D94">
            <w:pPr>
              <w:spacing w:line="276" w:lineRule="auto"/>
              <w:jc w:val="center"/>
              <w:rPr>
                <w:rFonts w:cs="Arial"/>
                <w:i/>
              </w:rPr>
            </w:pPr>
          </w:p>
        </w:tc>
      </w:tr>
      <w:tr w:rsidR="0032142B" w:rsidRPr="0072213F" w14:paraId="5FE50C25" w14:textId="77777777" w:rsidTr="0026145E">
        <w:trPr>
          <w:jc w:val="center"/>
        </w:trPr>
        <w:tc>
          <w:tcPr>
            <w:tcW w:w="7645" w:type="dxa"/>
          </w:tcPr>
          <w:p w14:paraId="5FD1F439" w14:textId="77777777" w:rsidR="0032142B" w:rsidRPr="0032142B" w:rsidRDefault="0032142B" w:rsidP="00ED58C1">
            <w:pPr>
              <w:pStyle w:val="ListParagraph"/>
              <w:numPr>
                <w:ilvl w:val="0"/>
                <w:numId w:val="105"/>
              </w:numPr>
              <w:spacing w:before="120" w:after="120" w:line="276" w:lineRule="auto"/>
              <w:rPr>
                <w:rFonts w:eastAsiaTheme="minorHAnsi" w:cs="Arial"/>
              </w:rPr>
            </w:pPr>
            <w:r w:rsidRPr="0032142B">
              <w:rPr>
                <w:rFonts w:cs="Arial"/>
              </w:rPr>
              <w:t xml:space="preserve">The number of medication </w:t>
            </w:r>
            <w:r w:rsidR="003E242A">
              <w:rPr>
                <w:rFonts w:cs="Arial"/>
              </w:rPr>
              <w:t>administrations from q</w:t>
            </w:r>
            <w:r w:rsidR="0026145E">
              <w:rPr>
                <w:rFonts w:cs="Arial"/>
              </w:rPr>
              <w:t>uestion #</w:t>
            </w:r>
            <w:r w:rsidR="00D51B32">
              <w:rPr>
                <w:rFonts w:cs="Arial"/>
              </w:rPr>
              <w:t>9</w:t>
            </w:r>
            <w:r w:rsidRPr="0032142B">
              <w:rPr>
                <w:rFonts w:cs="Arial"/>
              </w:rPr>
              <w:t xml:space="preserve"> </w:t>
            </w:r>
            <w:r w:rsidR="0026145E">
              <w:rPr>
                <w:rFonts w:cs="Arial"/>
              </w:rPr>
              <w:t xml:space="preserve">that </w:t>
            </w:r>
            <w:r w:rsidRPr="0032142B">
              <w:rPr>
                <w:rFonts w:cs="Arial"/>
              </w:rPr>
              <w:t>had both the patient and</w:t>
            </w:r>
            <w:r w:rsidR="0026145E">
              <w:rPr>
                <w:rFonts w:cs="Arial"/>
              </w:rPr>
              <w:t xml:space="preserve"> the medication scanned during</w:t>
            </w:r>
            <w:r w:rsidRPr="0032142B">
              <w:rPr>
                <w:rFonts w:cs="Arial"/>
              </w:rPr>
              <w:t xml:space="preserve"> administration with a BCMA system that is linked to the electronic medication administration record (eMAR)?  </w:t>
            </w:r>
          </w:p>
        </w:tc>
        <w:tc>
          <w:tcPr>
            <w:tcW w:w="1917" w:type="dxa"/>
          </w:tcPr>
          <w:p w14:paraId="14931297" w14:textId="77777777" w:rsidR="0032142B" w:rsidRPr="0032142B" w:rsidRDefault="0032142B" w:rsidP="00D76D94">
            <w:pPr>
              <w:spacing w:line="276" w:lineRule="auto"/>
              <w:jc w:val="center"/>
              <w:rPr>
                <w:rFonts w:cs="Arial"/>
              </w:rPr>
            </w:pPr>
            <w:r w:rsidRPr="0032142B">
              <w:rPr>
                <w:rFonts w:cs="Arial"/>
              </w:rPr>
              <w:t>_____</w:t>
            </w:r>
          </w:p>
          <w:p w14:paraId="693CE333" w14:textId="77777777" w:rsidR="0032142B" w:rsidRPr="0032142B" w:rsidRDefault="0032142B" w:rsidP="00D76D94">
            <w:pPr>
              <w:spacing w:line="276" w:lineRule="auto"/>
              <w:jc w:val="center"/>
              <w:rPr>
                <w:rFonts w:cs="Arial"/>
                <w:i/>
              </w:rPr>
            </w:pPr>
          </w:p>
        </w:tc>
      </w:tr>
    </w:tbl>
    <w:p w14:paraId="710FC181" w14:textId="77777777" w:rsidR="006B0FEB" w:rsidRDefault="006B0FEB" w:rsidP="0072213F">
      <w:pPr>
        <w:spacing w:line="276" w:lineRule="auto"/>
        <w:rPr>
          <w:rFonts w:cs="Arial"/>
        </w:rPr>
      </w:pPr>
    </w:p>
    <w:p w14:paraId="047F5872" w14:textId="77777777" w:rsidR="00B45B92" w:rsidRDefault="00B45B92" w:rsidP="0072213F">
      <w:pPr>
        <w:spacing w:line="276" w:lineRule="auto"/>
        <w:rPr>
          <w:rFonts w:cs="Arial"/>
        </w:rPr>
      </w:pPr>
    </w:p>
    <w:p w14:paraId="2470B427" w14:textId="77777777" w:rsidR="006B0FEB" w:rsidRPr="0072213F" w:rsidRDefault="006B0FEB" w:rsidP="0072213F">
      <w:pPr>
        <w:spacing w:line="276" w:lineRule="auto"/>
        <w:rPr>
          <w:rFonts w:cs="Arial"/>
        </w:rPr>
      </w:pPr>
    </w:p>
    <w:tbl>
      <w:tblPr>
        <w:tblStyle w:val="TableGrid"/>
        <w:tblW w:w="9555" w:type="dxa"/>
        <w:jc w:val="center"/>
        <w:tblLook w:val="04A0" w:firstRow="1" w:lastRow="0" w:firstColumn="1" w:lastColumn="0" w:noHBand="0" w:noVBand="1"/>
      </w:tblPr>
      <w:tblGrid>
        <w:gridCol w:w="558"/>
        <w:gridCol w:w="7110"/>
        <w:gridCol w:w="1887"/>
      </w:tblGrid>
      <w:tr w:rsidR="001658E0" w:rsidRPr="0072213F" w14:paraId="1E51DD96" w14:textId="77777777" w:rsidTr="00313466">
        <w:trPr>
          <w:jc w:val="center"/>
        </w:trPr>
        <w:tc>
          <w:tcPr>
            <w:tcW w:w="9555" w:type="dxa"/>
            <w:gridSpan w:val="3"/>
          </w:tcPr>
          <w:p w14:paraId="12BC127D" w14:textId="77777777" w:rsidR="001658E0" w:rsidRPr="001658E0" w:rsidRDefault="001658E0" w:rsidP="00ED58C1">
            <w:pPr>
              <w:pStyle w:val="ListParagraph"/>
              <w:numPr>
                <w:ilvl w:val="0"/>
                <w:numId w:val="105"/>
              </w:numPr>
              <w:spacing w:before="120" w:line="276" w:lineRule="auto"/>
              <w:jc w:val="both"/>
              <w:rPr>
                <w:rFonts w:cs="Arial"/>
                <w:i/>
              </w:rPr>
            </w:pPr>
            <w:r w:rsidRPr="001658E0">
              <w:rPr>
                <w:rFonts w:cs="Arial"/>
              </w:rPr>
              <w:t xml:space="preserve">What types of decision support does your hospital’s BCMA system provide </w:t>
            </w:r>
            <w:r w:rsidR="00C13028">
              <w:rPr>
                <w:rFonts w:cs="Arial"/>
              </w:rPr>
              <w:t xml:space="preserve">to </w:t>
            </w:r>
            <w:r w:rsidRPr="001658E0">
              <w:rPr>
                <w:rFonts w:cs="Arial"/>
              </w:rPr>
              <w:t xml:space="preserve">users of the system? </w:t>
            </w:r>
          </w:p>
          <w:p w14:paraId="541E027A" w14:textId="77777777" w:rsidR="001658E0" w:rsidRPr="001658E0" w:rsidRDefault="001658E0" w:rsidP="00794A36">
            <w:pPr>
              <w:pStyle w:val="ListParagraph"/>
              <w:spacing w:after="120" w:line="276" w:lineRule="auto"/>
              <w:ind w:left="360"/>
              <w:jc w:val="both"/>
              <w:rPr>
                <w:rFonts w:cs="Arial"/>
                <w:i/>
              </w:rPr>
            </w:pPr>
            <w:r w:rsidRPr="001658E0">
              <w:rPr>
                <w:rFonts w:cs="Arial"/>
              </w:rPr>
              <w:t>(</w:t>
            </w:r>
            <w:r w:rsidRPr="001658E0">
              <w:rPr>
                <w:rFonts w:cs="Arial"/>
                <w:i/>
              </w:rPr>
              <w:t>Do not leave any questions blank</w:t>
            </w:r>
            <w:r w:rsidRPr="001658E0">
              <w:rPr>
                <w:rFonts w:cs="Arial"/>
              </w:rPr>
              <w:t xml:space="preserve">) </w:t>
            </w:r>
          </w:p>
        </w:tc>
      </w:tr>
      <w:tr w:rsidR="001658E0" w:rsidRPr="0072213F" w14:paraId="7947DA2F" w14:textId="77777777" w:rsidTr="00313466">
        <w:trPr>
          <w:jc w:val="center"/>
        </w:trPr>
        <w:tc>
          <w:tcPr>
            <w:tcW w:w="558" w:type="dxa"/>
          </w:tcPr>
          <w:p w14:paraId="45AE801C" w14:textId="12034A7B" w:rsidR="001658E0" w:rsidRPr="0072213F" w:rsidRDefault="001658E0" w:rsidP="00D76D94">
            <w:pPr>
              <w:spacing w:line="276" w:lineRule="auto"/>
              <w:rPr>
                <w:rFonts w:cs="Arial"/>
              </w:rPr>
            </w:pPr>
            <w:r>
              <w:rPr>
                <w:rFonts w:cs="Arial"/>
              </w:rPr>
              <w:t>a</w:t>
            </w:r>
            <w:r w:rsidR="006D7C3E">
              <w:rPr>
                <w:rFonts w:cs="Arial"/>
              </w:rPr>
              <w:t>)</w:t>
            </w:r>
          </w:p>
        </w:tc>
        <w:tc>
          <w:tcPr>
            <w:tcW w:w="7110" w:type="dxa"/>
          </w:tcPr>
          <w:p w14:paraId="527589FD" w14:textId="77777777" w:rsidR="001658E0" w:rsidRPr="0072213F" w:rsidRDefault="001658E0" w:rsidP="00D76D94">
            <w:pPr>
              <w:spacing w:line="276" w:lineRule="auto"/>
              <w:rPr>
                <w:rFonts w:cs="Arial"/>
              </w:rPr>
            </w:pPr>
            <w:r w:rsidRPr="0072213F">
              <w:rPr>
                <w:rFonts w:cs="Arial"/>
              </w:rPr>
              <w:t>Wrong patient</w:t>
            </w:r>
          </w:p>
        </w:tc>
        <w:tc>
          <w:tcPr>
            <w:tcW w:w="1887" w:type="dxa"/>
          </w:tcPr>
          <w:p w14:paraId="023B8442" w14:textId="77777777" w:rsidR="001658E0" w:rsidRPr="0072213F" w:rsidRDefault="001658E0" w:rsidP="00D76D94">
            <w:pPr>
              <w:spacing w:line="276" w:lineRule="auto"/>
              <w:jc w:val="center"/>
              <w:rPr>
                <w:rFonts w:cs="Arial"/>
                <w:i/>
              </w:rPr>
            </w:pPr>
            <w:r w:rsidRPr="0072213F">
              <w:rPr>
                <w:rFonts w:cs="Arial"/>
                <w:i/>
              </w:rPr>
              <w:t>Yes</w:t>
            </w:r>
          </w:p>
          <w:p w14:paraId="404D872F" w14:textId="77777777" w:rsidR="001658E0" w:rsidRPr="0072213F" w:rsidRDefault="001658E0" w:rsidP="00D76D94">
            <w:pPr>
              <w:spacing w:line="276" w:lineRule="auto"/>
              <w:jc w:val="center"/>
              <w:rPr>
                <w:rFonts w:cs="Arial"/>
                <w:i/>
              </w:rPr>
            </w:pPr>
            <w:r w:rsidRPr="0072213F">
              <w:rPr>
                <w:rFonts w:cs="Arial"/>
                <w:i/>
              </w:rPr>
              <w:t>No</w:t>
            </w:r>
          </w:p>
        </w:tc>
      </w:tr>
      <w:tr w:rsidR="001658E0" w:rsidRPr="0072213F" w14:paraId="6687B441" w14:textId="77777777" w:rsidTr="00313466">
        <w:trPr>
          <w:jc w:val="center"/>
        </w:trPr>
        <w:tc>
          <w:tcPr>
            <w:tcW w:w="558" w:type="dxa"/>
          </w:tcPr>
          <w:p w14:paraId="548A3230" w14:textId="5DE47C36" w:rsidR="001658E0" w:rsidRPr="0072213F" w:rsidRDefault="001658E0" w:rsidP="00D76D94">
            <w:pPr>
              <w:spacing w:line="276" w:lineRule="auto"/>
              <w:rPr>
                <w:rFonts w:cs="Arial"/>
              </w:rPr>
            </w:pPr>
            <w:r>
              <w:rPr>
                <w:rFonts w:cs="Arial"/>
              </w:rPr>
              <w:t>b</w:t>
            </w:r>
            <w:r w:rsidR="006D7C3E">
              <w:rPr>
                <w:rFonts w:cs="Arial"/>
              </w:rPr>
              <w:t>)</w:t>
            </w:r>
          </w:p>
        </w:tc>
        <w:tc>
          <w:tcPr>
            <w:tcW w:w="7110" w:type="dxa"/>
          </w:tcPr>
          <w:p w14:paraId="54B431AE" w14:textId="77777777" w:rsidR="001658E0" w:rsidRPr="0072213F" w:rsidRDefault="001658E0" w:rsidP="00D76D94">
            <w:pPr>
              <w:spacing w:line="276" w:lineRule="auto"/>
              <w:rPr>
                <w:rFonts w:cs="Arial"/>
              </w:rPr>
            </w:pPr>
            <w:r w:rsidRPr="0072213F">
              <w:rPr>
                <w:rFonts w:cs="Arial"/>
              </w:rPr>
              <w:t>Wrong medication</w:t>
            </w:r>
          </w:p>
        </w:tc>
        <w:tc>
          <w:tcPr>
            <w:tcW w:w="1887" w:type="dxa"/>
          </w:tcPr>
          <w:p w14:paraId="1FE2BCAD" w14:textId="77777777" w:rsidR="001658E0" w:rsidRPr="0072213F" w:rsidRDefault="001658E0" w:rsidP="00D76D94">
            <w:pPr>
              <w:jc w:val="center"/>
              <w:rPr>
                <w:rFonts w:cs="Arial"/>
                <w:i/>
              </w:rPr>
            </w:pPr>
            <w:r w:rsidRPr="0072213F">
              <w:rPr>
                <w:rFonts w:cs="Arial"/>
                <w:i/>
              </w:rPr>
              <w:t>Yes</w:t>
            </w:r>
          </w:p>
          <w:p w14:paraId="586CF1DE" w14:textId="77777777" w:rsidR="001658E0" w:rsidRPr="0072213F" w:rsidRDefault="001658E0" w:rsidP="00D76D94">
            <w:pPr>
              <w:jc w:val="center"/>
              <w:rPr>
                <w:rFonts w:cs="Arial"/>
                <w:i/>
              </w:rPr>
            </w:pPr>
            <w:r w:rsidRPr="0072213F">
              <w:rPr>
                <w:rFonts w:cs="Arial"/>
                <w:i/>
              </w:rPr>
              <w:t>No</w:t>
            </w:r>
          </w:p>
        </w:tc>
      </w:tr>
      <w:tr w:rsidR="001658E0" w:rsidRPr="0072213F" w14:paraId="2A24EB90" w14:textId="77777777" w:rsidTr="00313466">
        <w:trPr>
          <w:jc w:val="center"/>
        </w:trPr>
        <w:tc>
          <w:tcPr>
            <w:tcW w:w="558" w:type="dxa"/>
          </w:tcPr>
          <w:p w14:paraId="7F1AFCF3" w14:textId="403E9521" w:rsidR="001658E0" w:rsidRPr="0072213F" w:rsidRDefault="006D7C3E" w:rsidP="00D76D94">
            <w:pPr>
              <w:spacing w:line="276" w:lineRule="auto"/>
              <w:rPr>
                <w:rFonts w:cs="Arial"/>
              </w:rPr>
            </w:pPr>
            <w:r>
              <w:rPr>
                <w:rFonts w:cs="Arial"/>
              </w:rPr>
              <w:t>c)</w:t>
            </w:r>
          </w:p>
        </w:tc>
        <w:tc>
          <w:tcPr>
            <w:tcW w:w="7110" w:type="dxa"/>
          </w:tcPr>
          <w:p w14:paraId="4966E03A" w14:textId="77777777" w:rsidR="001658E0" w:rsidRPr="0072213F" w:rsidRDefault="001658E0" w:rsidP="00D76D94">
            <w:pPr>
              <w:spacing w:line="276" w:lineRule="auto"/>
              <w:rPr>
                <w:rFonts w:cs="Arial"/>
              </w:rPr>
            </w:pPr>
            <w:r w:rsidRPr="0072213F">
              <w:rPr>
                <w:rFonts w:cs="Arial"/>
              </w:rPr>
              <w:t>Wrong dose</w:t>
            </w:r>
          </w:p>
        </w:tc>
        <w:tc>
          <w:tcPr>
            <w:tcW w:w="1887" w:type="dxa"/>
          </w:tcPr>
          <w:p w14:paraId="0AB4E4EB" w14:textId="77777777" w:rsidR="001658E0" w:rsidRPr="0072213F" w:rsidRDefault="001658E0" w:rsidP="00D76D94">
            <w:pPr>
              <w:jc w:val="center"/>
              <w:rPr>
                <w:rFonts w:cs="Arial"/>
                <w:i/>
              </w:rPr>
            </w:pPr>
            <w:r w:rsidRPr="0072213F">
              <w:rPr>
                <w:rFonts w:cs="Arial"/>
                <w:i/>
              </w:rPr>
              <w:t>Yes</w:t>
            </w:r>
          </w:p>
          <w:p w14:paraId="58BEC8A9" w14:textId="77777777" w:rsidR="001658E0" w:rsidRPr="0072213F" w:rsidRDefault="001658E0" w:rsidP="00D76D94">
            <w:pPr>
              <w:jc w:val="center"/>
              <w:rPr>
                <w:rFonts w:cs="Arial"/>
              </w:rPr>
            </w:pPr>
            <w:r w:rsidRPr="0072213F">
              <w:rPr>
                <w:rFonts w:cs="Arial"/>
                <w:i/>
              </w:rPr>
              <w:t>No</w:t>
            </w:r>
          </w:p>
        </w:tc>
      </w:tr>
      <w:tr w:rsidR="001658E0" w:rsidRPr="0072213F" w14:paraId="5FDF4FAB" w14:textId="77777777" w:rsidTr="00313466">
        <w:trPr>
          <w:jc w:val="center"/>
        </w:trPr>
        <w:tc>
          <w:tcPr>
            <w:tcW w:w="558" w:type="dxa"/>
          </w:tcPr>
          <w:p w14:paraId="656DC9ED" w14:textId="650BD122" w:rsidR="001658E0" w:rsidRPr="0072213F" w:rsidRDefault="006D7C3E" w:rsidP="00D76D94">
            <w:pPr>
              <w:spacing w:line="276" w:lineRule="auto"/>
              <w:rPr>
                <w:rFonts w:cs="Arial"/>
              </w:rPr>
            </w:pPr>
            <w:r>
              <w:rPr>
                <w:rFonts w:cs="Arial"/>
              </w:rPr>
              <w:t>d)</w:t>
            </w:r>
            <w:r w:rsidR="001658E0">
              <w:rPr>
                <w:rFonts w:cs="Arial"/>
              </w:rPr>
              <w:t xml:space="preserve"> </w:t>
            </w:r>
          </w:p>
        </w:tc>
        <w:tc>
          <w:tcPr>
            <w:tcW w:w="7110" w:type="dxa"/>
          </w:tcPr>
          <w:p w14:paraId="3FE88867" w14:textId="3AEBA636" w:rsidR="001658E0" w:rsidRPr="0072213F" w:rsidRDefault="001658E0" w:rsidP="00D76D94">
            <w:pPr>
              <w:spacing w:line="276" w:lineRule="auto"/>
              <w:rPr>
                <w:rFonts w:cs="Arial"/>
              </w:rPr>
            </w:pPr>
            <w:r w:rsidRPr="0072213F">
              <w:rPr>
                <w:rFonts w:cs="Arial"/>
              </w:rPr>
              <w:t>Wrong time (e.g., early/late warning;  warning that medication cannot be administered twice within a given window of time</w:t>
            </w:r>
            <w:r w:rsidR="00231974">
              <w:rPr>
                <w:rFonts w:cs="Arial"/>
              </w:rPr>
              <w:t>)</w:t>
            </w:r>
            <w:r w:rsidRPr="0072213F">
              <w:rPr>
                <w:rFonts w:cs="Arial"/>
              </w:rPr>
              <w:t xml:space="preserve"> </w:t>
            </w:r>
          </w:p>
        </w:tc>
        <w:tc>
          <w:tcPr>
            <w:tcW w:w="1887" w:type="dxa"/>
          </w:tcPr>
          <w:p w14:paraId="56C5A232" w14:textId="77777777" w:rsidR="001658E0" w:rsidRPr="0072213F" w:rsidRDefault="001658E0" w:rsidP="00D76D94">
            <w:pPr>
              <w:jc w:val="center"/>
              <w:rPr>
                <w:rFonts w:cs="Arial"/>
                <w:i/>
              </w:rPr>
            </w:pPr>
            <w:r w:rsidRPr="0072213F">
              <w:rPr>
                <w:rFonts w:cs="Arial"/>
                <w:i/>
              </w:rPr>
              <w:t>Yes</w:t>
            </w:r>
          </w:p>
          <w:p w14:paraId="76EC3CA4" w14:textId="77777777" w:rsidR="001658E0" w:rsidRPr="0072213F" w:rsidRDefault="001658E0" w:rsidP="00D76D94">
            <w:pPr>
              <w:jc w:val="center"/>
              <w:rPr>
                <w:rFonts w:cs="Arial"/>
              </w:rPr>
            </w:pPr>
            <w:r w:rsidRPr="0072213F">
              <w:rPr>
                <w:rFonts w:cs="Arial"/>
                <w:i/>
              </w:rPr>
              <w:t>No</w:t>
            </w:r>
          </w:p>
        </w:tc>
      </w:tr>
      <w:tr w:rsidR="001658E0" w:rsidRPr="0072213F" w14:paraId="3D8C5047" w14:textId="77777777" w:rsidTr="00313466">
        <w:trPr>
          <w:jc w:val="center"/>
        </w:trPr>
        <w:tc>
          <w:tcPr>
            <w:tcW w:w="558" w:type="dxa"/>
          </w:tcPr>
          <w:p w14:paraId="15004923" w14:textId="1D1E3E2D" w:rsidR="001658E0" w:rsidRPr="0072213F" w:rsidRDefault="001658E0" w:rsidP="00D76D94">
            <w:pPr>
              <w:spacing w:line="276" w:lineRule="auto"/>
              <w:rPr>
                <w:rFonts w:cs="Arial"/>
              </w:rPr>
            </w:pPr>
            <w:r>
              <w:rPr>
                <w:rFonts w:cs="Arial"/>
              </w:rPr>
              <w:t>e</w:t>
            </w:r>
            <w:r w:rsidR="006D7C3E">
              <w:rPr>
                <w:rFonts w:cs="Arial"/>
              </w:rPr>
              <w:t>)</w:t>
            </w:r>
          </w:p>
        </w:tc>
        <w:tc>
          <w:tcPr>
            <w:tcW w:w="7110" w:type="dxa"/>
          </w:tcPr>
          <w:p w14:paraId="47027A6A" w14:textId="77777777" w:rsidR="001658E0" w:rsidRPr="0072213F" w:rsidRDefault="001658E0" w:rsidP="00D76D94">
            <w:pPr>
              <w:spacing w:line="276" w:lineRule="auto"/>
              <w:rPr>
                <w:rFonts w:cs="Arial"/>
              </w:rPr>
            </w:pPr>
            <w:r w:rsidRPr="0072213F">
              <w:rPr>
                <w:rFonts w:cs="Arial"/>
              </w:rPr>
              <w:t>Vital sign check</w:t>
            </w:r>
          </w:p>
        </w:tc>
        <w:tc>
          <w:tcPr>
            <w:tcW w:w="1887" w:type="dxa"/>
          </w:tcPr>
          <w:p w14:paraId="451EFEE9" w14:textId="77777777" w:rsidR="001658E0" w:rsidRPr="0072213F" w:rsidRDefault="001658E0" w:rsidP="00D76D94">
            <w:pPr>
              <w:jc w:val="center"/>
              <w:rPr>
                <w:rFonts w:cs="Arial"/>
                <w:i/>
              </w:rPr>
            </w:pPr>
            <w:r w:rsidRPr="0072213F">
              <w:rPr>
                <w:rFonts w:cs="Arial"/>
                <w:i/>
              </w:rPr>
              <w:t>Yes</w:t>
            </w:r>
          </w:p>
          <w:p w14:paraId="512618A5" w14:textId="77777777" w:rsidR="001658E0" w:rsidRPr="0072213F" w:rsidRDefault="001658E0" w:rsidP="00D76D94">
            <w:pPr>
              <w:jc w:val="center"/>
              <w:rPr>
                <w:rFonts w:cs="Arial"/>
                <w:i/>
              </w:rPr>
            </w:pPr>
            <w:r w:rsidRPr="0072213F">
              <w:rPr>
                <w:rFonts w:cs="Arial"/>
                <w:i/>
              </w:rPr>
              <w:t>No</w:t>
            </w:r>
          </w:p>
        </w:tc>
      </w:tr>
      <w:tr w:rsidR="001658E0" w:rsidRPr="0072213F" w14:paraId="21CCAB8D" w14:textId="77777777" w:rsidTr="00313466">
        <w:trPr>
          <w:jc w:val="center"/>
        </w:trPr>
        <w:tc>
          <w:tcPr>
            <w:tcW w:w="558" w:type="dxa"/>
          </w:tcPr>
          <w:p w14:paraId="4AF08191" w14:textId="49950826" w:rsidR="001658E0" w:rsidRPr="0072213F" w:rsidRDefault="001658E0" w:rsidP="00D76D94">
            <w:pPr>
              <w:spacing w:line="276" w:lineRule="auto"/>
              <w:rPr>
                <w:rFonts w:cs="Arial"/>
              </w:rPr>
            </w:pPr>
            <w:r>
              <w:rPr>
                <w:rFonts w:cs="Arial"/>
              </w:rPr>
              <w:t>f</w:t>
            </w:r>
            <w:r w:rsidR="006D7C3E">
              <w:rPr>
                <w:rFonts w:cs="Arial"/>
              </w:rPr>
              <w:t>)</w:t>
            </w:r>
          </w:p>
        </w:tc>
        <w:tc>
          <w:tcPr>
            <w:tcW w:w="7110" w:type="dxa"/>
          </w:tcPr>
          <w:p w14:paraId="07A78659" w14:textId="77777777" w:rsidR="001658E0" w:rsidRPr="00B45B92" w:rsidRDefault="001658E0" w:rsidP="00D76D94">
            <w:pPr>
              <w:spacing w:line="276" w:lineRule="auto"/>
              <w:rPr>
                <w:rFonts w:cs="Arial"/>
              </w:rPr>
            </w:pPr>
            <w:r w:rsidRPr="00B45B92">
              <w:rPr>
                <w:rFonts w:cs="Arial"/>
              </w:rPr>
              <w:t>Patient-specific allergy check</w:t>
            </w:r>
          </w:p>
        </w:tc>
        <w:tc>
          <w:tcPr>
            <w:tcW w:w="1887" w:type="dxa"/>
          </w:tcPr>
          <w:p w14:paraId="40D9C2AC" w14:textId="77777777" w:rsidR="001658E0" w:rsidRPr="0072213F" w:rsidRDefault="001658E0" w:rsidP="00D76D94">
            <w:pPr>
              <w:jc w:val="center"/>
              <w:rPr>
                <w:rFonts w:cs="Arial"/>
                <w:i/>
              </w:rPr>
            </w:pPr>
            <w:r w:rsidRPr="0072213F">
              <w:rPr>
                <w:rFonts w:cs="Arial"/>
                <w:i/>
              </w:rPr>
              <w:t>Yes</w:t>
            </w:r>
          </w:p>
          <w:p w14:paraId="7D0E1F1E" w14:textId="77777777" w:rsidR="001658E0" w:rsidRPr="0072213F" w:rsidRDefault="001658E0" w:rsidP="00D76D94">
            <w:pPr>
              <w:jc w:val="center"/>
              <w:rPr>
                <w:rFonts w:cs="Arial"/>
              </w:rPr>
            </w:pPr>
            <w:r w:rsidRPr="0072213F">
              <w:rPr>
                <w:rFonts w:cs="Arial"/>
                <w:i/>
              </w:rPr>
              <w:t>No</w:t>
            </w:r>
          </w:p>
        </w:tc>
      </w:tr>
      <w:tr w:rsidR="001658E0" w:rsidRPr="0072213F" w14:paraId="7B27C2F9" w14:textId="77777777" w:rsidTr="00313466">
        <w:trPr>
          <w:jc w:val="center"/>
        </w:trPr>
        <w:tc>
          <w:tcPr>
            <w:tcW w:w="558" w:type="dxa"/>
          </w:tcPr>
          <w:p w14:paraId="43DDF832" w14:textId="751C21DF" w:rsidR="001658E0" w:rsidRPr="0072213F" w:rsidRDefault="001658E0" w:rsidP="00D76D94">
            <w:pPr>
              <w:spacing w:line="276" w:lineRule="auto"/>
              <w:rPr>
                <w:rFonts w:cs="Arial"/>
              </w:rPr>
            </w:pPr>
            <w:r>
              <w:rPr>
                <w:rFonts w:cs="Arial"/>
              </w:rPr>
              <w:t>g</w:t>
            </w:r>
            <w:r w:rsidR="006D7C3E">
              <w:rPr>
                <w:rFonts w:cs="Arial"/>
              </w:rPr>
              <w:t>)</w:t>
            </w:r>
          </w:p>
        </w:tc>
        <w:tc>
          <w:tcPr>
            <w:tcW w:w="7110" w:type="dxa"/>
          </w:tcPr>
          <w:p w14:paraId="358763F1" w14:textId="77777777" w:rsidR="001658E0" w:rsidRPr="0072213F" w:rsidRDefault="001658E0" w:rsidP="00D76D94">
            <w:pPr>
              <w:spacing w:line="276" w:lineRule="auto"/>
              <w:rPr>
                <w:rFonts w:cs="Arial"/>
              </w:rPr>
            </w:pPr>
            <w:r w:rsidRPr="0072213F">
              <w:rPr>
                <w:rFonts w:cs="Arial"/>
              </w:rPr>
              <w:t>Second nurse check needed</w:t>
            </w:r>
          </w:p>
        </w:tc>
        <w:tc>
          <w:tcPr>
            <w:tcW w:w="1887" w:type="dxa"/>
          </w:tcPr>
          <w:p w14:paraId="2611DCDC" w14:textId="77777777" w:rsidR="001658E0" w:rsidRPr="0072213F" w:rsidRDefault="001658E0" w:rsidP="00D76D94">
            <w:pPr>
              <w:jc w:val="center"/>
              <w:rPr>
                <w:rFonts w:cs="Arial"/>
                <w:i/>
              </w:rPr>
            </w:pPr>
            <w:r w:rsidRPr="0072213F">
              <w:rPr>
                <w:rFonts w:cs="Arial"/>
                <w:i/>
              </w:rPr>
              <w:t>Yes</w:t>
            </w:r>
          </w:p>
          <w:p w14:paraId="1652A244" w14:textId="77777777" w:rsidR="001658E0" w:rsidRPr="0072213F" w:rsidRDefault="001658E0" w:rsidP="00D76D94">
            <w:pPr>
              <w:jc w:val="center"/>
              <w:rPr>
                <w:rFonts w:cs="Arial"/>
                <w:i/>
              </w:rPr>
            </w:pPr>
            <w:r w:rsidRPr="0072213F">
              <w:rPr>
                <w:rFonts w:cs="Arial"/>
                <w:i/>
              </w:rPr>
              <w:t>No</w:t>
            </w:r>
          </w:p>
        </w:tc>
      </w:tr>
    </w:tbl>
    <w:p w14:paraId="3F6FB41B" w14:textId="77777777" w:rsidR="0072213F" w:rsidRPr="0072213F" w:rsidRDefault="0072213F" w:rsidP="0032142B">
      <w:pPr>
        <w:rPr>
          <w:rFonts w:cs="Arial"/>
        </w:rPr>
      </w:pPr>
      <w:r w:rsidRPr="0072213F">
        <w:rPr>
          <w:rFonts w:cs="Arial"/>
        </w:rPr>
        <w:t xml:space="preserve"> </w:t>
      </w:r>
    </w:p>
    <w:tbl>
      <w:tblPr>
        <w:tblStyle w:val="TableGrid"/>
        <w:tblW w:w="9562" w:type="dxa"/>
        <w:jc w:val="center"/>
        <w:tblLook w:val="04A0" w:firstRow="1" w:lastRow="0" w:firstColumn="1" w:lastColumn="0" w:noHBand="0" w:noVBand="1"/>
      </w:tblPr>
      <w:tblGrid>
        <w:gridCol w:w="632"/>
        <w:gridCol w:w="7013"/>
        <w:gridCol w:w="1917"/>
      </w:tblGrid>
      <w:tr w:rsidR="0072213F" w:rsidRPr="0072213F" w14:paraId="058BAF39" w14:textId="77777777" w:rsidTr="00912FBC">
        <w:trPr>
          <w:jc w:val="center"/>
        </w:trPr>
        <w:tc>
          <w:tcPr>
            <w:tcW w:w="9562" w:type="dxa"/>
            <w:gridSpan w:val="3"/>
            <w:vAlign w:val="center"/>
          </w:tcPr>
          <w:p w14:paraId="3B5D4E25" w14:textId="77777777" w:rsidR="0072213F" w:rsidRPr="0032142B" w:rsidRDefault="0072213F" w:rsidP="00ED58C1">
            <w:pPr>
              <w:pStyle w:val="ListParagraph"/>
              <w:numPr>
                <w:ilvl w:val="0"/>
                <w:numId w:val="105"/>
              </w:numPr>
              <w:spacing w:before="120" w:after="120" w:line="276" w:lineRule="auto"/>
              <w:rPr>
                <w:rFonts w:cs="Arial"/>
                <w:i/>
              </w:rPr>
            </w:pPr>
            <w:r w:rsidRPr="0032142B">
              <w:rPr>
                <w:rFonts w:cs="Arial"/>
              </w:rPr>
              <w:t>Which of the following mechanisms does your hospital use to reduce and un</w:t>
            </w:r>
            <w:r w:rsidR="0032142B">
              <w:rPr>
                <w:rFonts w:cs="Arial"/>
              </w:rPr>
              <w:t>derstand potential BCMA system “workarounds”</w:t>
            </w:r>
            <w:r w:rsidRPr="0032142B">
              <w:rPr>
                <w:rFonts w:cs="Arial"/>
              </w:rPr>
              <w:t>? (</w:t>
            </w:r>
            <w:r w:rsidRPr="0032142B">
              <w:rPr>
                <w:rFonts w:cs="Arial"/>
                <w:i/>
              </w:rPr>
              <w:t>Do not leave any questions blank)</w:t>
            </w:r>
          </w:p>
        </w:tc>
      </w:tr>
      <w:tr w:rsidR="0072213F" w:rsidRPr="0072213F" w14:paraId="27E122BA" w14:textId="77777777" w:rsidTr="00684BD4">
        <w:trPr>
          <w:jc w:val="center"/>
        </w:trPr>
        <w:tc>
          <w:tcPr>
            <w:tcW w:w="632" w:type="dxa"/>
            <w:vAlign w:val="center"/>
          </w:tcPr>
          <w:p w14:paraId="5ACDBFA6" w14:textId="77777777" w:rsidR="0072213F" w:rsidRPr="0072213F" w:rsidRDefault="0072213F" w:rsidP="00D76D94">
            <w:pPr>
              <w:spacing w:line="276" w:lineRule="auto"/>
              <w:rPr>
                <w:rFonts w:cs="Arial"/>
              </w:rPr>
            </w:pPr>
            <w:r w:rsidRPr="0072213F">
              <w:rPr>
                <w:rFonts w:cs="Arial"/>
              </w:rPr>
              <w:t>a)</w:t>
            </w:r>
          </w:p>
        </w:tc>
        <w:tc>
          <w:tcPr>
            <w:tcW w:w="7013" w:type="dxa"/>
            <w:vAlign w:val="center"/>
          </w:tcPr>
          <w:p w14:paraId="223E2803" w14:textId="77777777" w:rsidR="0072213F" w:rsidRPr="0032142B" w:rsidRDefault="0072213F" w:rsidP="00D76D94">
            <w:pPr>
              <w:spacing w:line="276" w:lineRule="auto"/>
              <w:rPr>
                <w:rFonts w:cs="Arial"/>
              </w:rPr>
            </w:pPr>
            <w:r w:rsidRPr="0032142B">
              <w:rPr>
                <w:rFonts w:cs="Arial"/>
              </w:rPr>
              <w:t>Has a formal committee that meets routinely to review data reports on BCMA system use</w:t>
            </w:r>
          </w:p>
        </w:tc>
        <w:tc>
          <w:tcPr>
            <w:tcW w:w="1917" w:type="dxa"/>
          </w:tcPr>
          <w:p w14:paraId="4591B35C"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019ABA13"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06E098DE" w14:textId="77777777" w:rsidTr="00684BD4">
        <w:trPr>
          <w:jc w:val="center"/>
        </w:trPr>
        <w:tc>
          <w:tcPr>
            <w:tcW w:w="632" w:type="dxa"/>
            <w:vAlign w:val="center"/>
          </w:tcPr>
          <w:p w14:paraId="02FDF96A" w14:textId="77777777" w:rsidR="0072213F" w:rsidRPr="0072213F" w:rsidRDefault="0072213F" w:rsidP="00D76D94">
            <w:pPr>
              <w:spacing w:line="276" w:lineRule="auto"/>
              <w:rPr>
                <w:rFonts w:cs="Arial"/>
              </w:rPr>
            </w:pPr>
            <w:r w:rsidRPr="0072213F">
              <w:rPr>
                <w:rFonts w:cs="Arial"/>
              </w:rPr>
              <w:t>b)</w:t>
            </w:r>
          </w:p>
        </w:tc>
        <w:tc>
          <w:tcPr>
            <w:tcW w:w="7013" w:type="dxa"/>
            <w:vAlign w:val="center"/>
          </w:tcPr>
          <w:p w14:paraId="64560D31" w14:textId="77777777" w:rsidR="0072213F" w:rsidRPr="0032142B" w:rsidRDefault="0072213F" w:rsidP="00D76D94">
            <w:pPr>
              <w:spacing w:line="276" w:lineRule="auto"/>
              <w:rPr>
                <w:rFonts w:cs="Arial"/>
              </w:rPr>
            </w:pPr>
            <w:r w:rsidRPr="0032142B">
              <w:rPr>
                <w:rFonts w:cs="Arial"/>
              </w:rPr>
              <w:t>Has back-up systems for hardware failures</w:t>
            </w:r>
          </w:p>
        </w:tc>
        <w:tc>
          <w:tcPr>
            <w:tcW w:w="1917" w:type="dxa"/>
          </w:tcPr>
          <w:p w14:paraId="54450368"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76A08378"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7EA48AEF" w14:textId="77777777" w:rsidTr="00684BD4">
        <w:trPr>
          <w:jc w:val="center"/>
        </w:trPr>
        <w:tc>
          <w:tcPr>
            <w:tcW w:w="632" w:type="dxa"/>
            <w:vAlign w:val="center"/>
          </w:tcPr>
          <w:p w14:paraId="7155434E" w14:textId="77777777" w:rsidR="0072213F" w:rsidRPr="0072213F" w:rsidRDefault="0072213F" w:rsidP="00D76D94">
            <w:pPr>
              <w:spacing w:line="276" w:lineRule="auto"/>
              <w:rPr>
                <w:rFonts w:cs="Arial"/>
              </w:rPr>
            </w:pPr>
            <w:r w:rsidRPr="0072213F">
              <w:rPr>
                <w:rFonts w:cs="Arial"/>
              </w:rPr>
              <w:t>c)</w:t>
            </w:r>
          </w:p>
        </w:tc>
        <w:tc>
          <w:tcPr>
            <w:tcW w:w="7013" w:type="dxa"/>
            <w:vAlign w:val="center"/>
          </w:tcPr>
          <w:p w14:paraId="6F03EC30" w14:textId="77777777" w:rsidR="0072213F" w:rsidRPr="0032142B" w:rsidRDefault="0072213F" w:rsidP="00D76D94">
            <w:pPr>
              <w:spacing w:line="276" w:lineRule="auto"/>
              <w:rPr>
                <w:rFonts w:cs="Arial"/>
              </w:rPr>
            </w:pPr>
            <w:r w:rsidRPr="0032142B">
              <w:rPr>
                <w:rFonts w:cs="Arial"/>
              </w:rPr>
              <w:t>Has a Help Desk that provides timely responses to urgent BCMA issues in real-time</w:t>
            </w:r>
          </w:p>
        </w:tc>
        <w:tc>
          <w:tcPr>
            <w:tcW w:w="1917" w:type="dxa"/>
          </w:tcPr>
          <w:p w14:paraId="0488DA2A"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11261FF4"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52F6B835" w14:textId="77777777" w:rsidTr="00684BD4">
        <w:trPr>
          <w:jc w:val="center"/>
        </w:trPr>
        <w:tc>
          <w:tcPr>
            <w:tcW w:w="632" w:type="dxa"/>
            <w:vAlign w:val="center"/>
          </w:tcPr>
          <w:p w14:paraId="0972F4FA" w14:textId="77777777" w:rsidR="0072213F" w:rsidRPr="0072213F" w:rsidRDefault="006E75AD" w:rsidP="00D76D94">
            <w:pPr>
              <w:spacing w:line="276" w:lineRule="auto"/>
              <w:rPr>
                <w:rFonts w:cs="Arial"/>
              </w:rPr>
            </w:pPr>
            <w:r>
              <w:rPr>
                <w:rFonts w:cs="Arial"/>
              </w:rPr>
              <w:t>d</w:t>
            </w:r>
            <w:r w:rsidR="0072213F" w:rsidRPr="0072213F">
              <w:rPr>
                <w:rFonts w:cs="Arial"/>
              </w:rPr>
              <w:t>)</w:t>
            </w:r>
          </w:p>
        </w:tc>
        <w:tc>
          <w:tcPr>
            <w:tcW w:w="7013" w:type="dxa"/>
            <w:vAlign w:val="center"/>
          </w:tcPr>
          <w:p w14:paraId="1A2CE1EE" w14:textId="77777777" w:rsidR="0072213F" w:rsidRPr="0032142B" w:rsidRDefault="0072213F" w:rsidP="00D76D94">
            <w:pPr>
              <w:spacing w:line="276" w:lineRule="auto"/>
              <w:rPr>
                <w:rFonts w:cs="Arial"/>
              </w:rPr>
            </w:pPr>
            <w:r w:rsidRPr="0032142B">
              <w:rPr>
                <w:rFonts w:cs="Arial"/>
              </w:rPr>
              <w:t>Conducts real-time observations of users using the BCMA system</w:t>
            </w:r>
          </w:p>
        </w:tc>
        <w:tc>
          <w:tcPr>
            <w:tcW w:w="1917" w:type="dxa"/>
          </w:tcPr>
          <w:p w14:paraId="46E42966"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3A1501E6"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0DC7D141" w14:textId="77777777" w:rsidTr="00684BD4">
        <w:trPr>
          <w:jc w:val="center"/>
        </w:trPr>
        <w:tc>
          <w:tcPr>
            <w:tcW w:w="632" w:type="dxa"/>
            <w:vAlign w:val="center"/>
          </w:tcPr>
          <w:p w14:paraId="5E05B96C" w14:textId="77777777" w:rsidR="0072213F" w:rsidRPr="0072213F" w:rsidRDefault="006E75AD" w:rsidP="00D76D94">
            <w:pPr>
              <w:spacing w:line="276" w:lineRule="auto"/>
              <w:rPr>
                <w:rFonts w:cs="Arial"/>
              </w:rPr>
            </w:pPr>
            <w:r>
              <w:rPr>
                <w:rFonts w:cs="Arial"/>
              </w:rPr>
              <w:t>e</w:t>
            </w:r>
            <w:r w:rsidR="0072213F" w:rsidRPr="0072213F">
              <w:rPr>
                <w:rFonts w:cs="Arial"/>
              </w:rPr>
              <w:t>)</w:t>
            </w:r>
          </w:p>
        </w:tc>
        <w:tc>
          <w:tcPr>
            <w:tcW w:w="7013" w:type="dxa"/>
            <w:vAlign w:val="center"/>
          </w:tcPr>
          <w:p w14:paraId="1CA73ADB" w14:textId="77777777" w:rsidR="0072213F" w:rsidRPr="0032142B" w:rsidRDefault="0072213F" w:rsidP="00D76D94">
            <w:pPr>
              <w:spacing w:line="276" w:lineRule="auto"/>
              <w:rPr>
                <w:rFonts w:cs="Arial"/>
              </w:rPr>
            </w:pPr>
            <w:r w:rsidRPr="0032142B">
              <w:rPr>
                <w:rFonts w:cs="Arial"/>
              </w:rPr>
              <w:t>Engages nursing leadership at the unit level on BCMA use</w:t>
            </w:r>
          </w:p>
        </w:tc>
        <w:tc>
          <w:tcPr>
            <w:tcW w:w="1917" w:type="dxa"/>
          </w:tcPr>
          <w:p w14:paraId="56899622" w14:textId="77777777" w:rsidR="0072213F" w:rsidRPr="0072213F" w:rsidRDefault="0072213F" w:rsidP="00D76D94">
            <w:pPr>
              <w:pStyle w:val="ListParagraph"/>
              <w:spacing w:after="200" w:line="276" w:lineRule="auto"/>
              <w:ind w:left="0"/>
              <w:jc w:val="center"/>
              <w:rPr>
                <w:rFonts w:cs="Arial"/>
                <w:i/>
              </w:rPr>
            </w:pPr>
            <w:r w:rsidRPr="0072213F">
              <w:rPr>
                <w:rFonts w:cs="Arial"/>
                <w:i/>
              </w:rPr>
              <w:t>Yes</w:t>
            </w:r>
          </w:p>
          <w:p w14:paraId="7751877D"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bl>
    <w:p w14:paraId="45B3746B" w14:textId="77777777" w:rsidR="0072213F" w:rsidRPr="0072213F" w:rsidRDefault="0072213F" w:rsidP="0072213F">
      <w:pPr>
        <w:rPr>
          <w:rFonts w:cs="Arial"/>
          <w:b/>
          <w:snapToGrid w:val="0"/>
          <w:color w:val="000000"/>
        </w:rPr>
      </w:pPr>
    </w:p>
    <w:p w14:paraId="1086037E" w14:textId="77777777" w:rsidR="0072213F" w:rsidRPr="0072213F" w:rsidRDefault="0072213F" w:rsidP="0072213F">
      <w:pPr>
        <w:rPr>
          <w:rFonts w:cs="Arial"/>
        </w:rPr>
      </w:pPr>
    </w:p>
    <w:p w14:paraId="0040AB5B" w14:textId="77777777" w:rsidR="0072213F" w:rsidRPr="00AB3FDA" w:rsidRDefault="0072213F" w:rsidP="006B19E3">
      <w:pPr>
        <w:rPr>
          <w:rFonts w:cs="Arial"/>
        </w:rPr>
      </w:pPr>
    </w:p>
    <w:p w14:paraId="4BFA6679" w14:textId="77777777" w:rsidR="00ED3AFF" w:rsidRPr="00CB6420" w:rsidRDefault="00ED3AFF" w:rsidP="006B19E3">
      <w:pPr>
        <w:rPr>
          <w:rFonts w:cs="Arial"/>
          <w:highlight w:val="yellow"/>
        </w:rPr>
      </w:pPr>
    </w:p>
    <w:p w14:paraId="603A1470" w14:textId="77777777" w:rsidR="00ED3AFF" w:rsidRPr="00CB6420" w:rsidRDefault="00ED3AFF" w:rsidP="00ED3AFF">
      <w:pPr>
        <w:rPr>
          <w:snapToGrid w:val="0"/>
          <w:color w:val="000000"/>
          <w:highlight w:val="yellow"/>
        </w:rPr>
      </w:pPr>
    </w:p>
    <w:p w14:paraId="2F2EE4CE" w14:textId="77777777" w:rsidR="0072213F" w:rsidRDefault="0072213F">
      <w:pPr>
        <w:rPr>
          <w:b/>
          <w:snapToGrid w:val="0"/>
          <w:color w:val="000000"/>
        </w:rPr>
      </w:pPr>
      <w:r>
        <w:rPr>
          <w:b/>
          <w:snapToGrid w:val="0"/>
          <w:color w:val="000000"/>
        </w:rPr>
        <w:br w:type="page"/>
      </w:r>
    </w:p>
    <w:p w14:paraId="350C7DB1" w14:textId="77777777" w:rsidR="009604C4" w:rsidRPr="0024798C" w:rsidRDefault="003D1388" w:rsidP="009604C4">
      <w:pPr>
        <w:rPr>
          <w:b/>
          <w:snapToGrid w:val="0"/>
          <w:color w:val="000000"/>
        </w:rPr>
      </w:pPr>
      <w:r>
        <w:rPr>
          <w:b/>
          <w:snapToGrid w:val="0"/>
          <w:color w:val="000000"/>
        </w:rPr>
        <w:lastRenderedPageBreak/>
        <w:t>A</w:t>
      </w:r>
      <w:r w:rsidR="009604C4" w:rsidRPr="0024798C">
        <w:rPr>
          <w:b/>
          <w:snapToGrid w:val="0"/>
          <w:color w:val="000000"/>
        </w:rPr>
        <w:t>ffirmation of Accuracy:</w:t>
      </w:r>
    </w:p>
    <w:p w14:paraId="3B3EB463" w14:textId="77777777" w:rsidR="009604C4" w:rsidRPr="0024798C" w:rsidRDefault="009604C4" w:rsidP="009604C4">
      <w:pPr>
        <w:rPr>
          <w:snapToGrid w:val="0"/>
          <w:color w:val="000000"/>
        </w:rPr>
      </w:pPr>
    </w:p>
    <w:p w14:paraId="6F9AFF92" w14:textId="77777777" w:rsidR="00912FBC" w:rsidRPr="00362B11" w:rsidRDefault="00912FBC" w:rsidP="00912FBC">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Bar Code Medication Administration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84B7A6D" w14:textId="77777777" w:rsidR="00912FBC" w:rsidRPr="00362B11" w:rsidRDefault="00912FBC" w:rsidP="00912FBC">
      <w:pPr>
        <w:rPr>
          <w:rFonts w:cs="Arial"/>
          <w:color w:val="000000"/>
        </w:rPr>
      </w:pPr>
    </w:p>
    <w:p w14:paraId="72A48122" w14:textId="77777777" w:rsidR="00912FBC" w:rsidRDefault="00912FBC" w:rsidP="00912FBC">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2BFAF7E1" w14:textId="77777777" w:rsidR="009604C4" w:rsidRPr="0024798C" w:rsidRDefault="009604C4" w:rsidP="009604C4">
      <w:pPr>
        <w:rPr>
          <w:snapToGrid w:val="0"/>
          <w:color w:val="000000"/>
        </w:rPr>
      </w:pPr>
    </w:p>
    <w:p w14:paraId="56043666" w14:textId="77777777" w:rsidR="009604C4" w:rsidRPr="0024798C" w:rsidRDefault="009604C4" w:rsidP="009604C4">
      <w:pPr>
        <w:rPr>
          <w:snapToGrid w:val="0"/>
          <w:color w:val="000000"/>
        </w:rPr>
      </w:pPr>
    </w:p>
    <w:p w14:paraId="7AA7C1B7" w14:textId="77777777" w:rsidR="009604C4" w:rsidRPr="0024798C" w:rsidRDefault="009604C4" w:rsidP="009604C4">
      <w:pPr>
        <w:rPr>
          <w:snapToGrid w:val="0"/>
          <w:color w:val="000000"/>
        </w:rPr>
      </w:pPr>
      <w:r w:rsidRPr="0024798C">
        <w:rPr>
          <w:snapToGrid w:val="0"/>
          <w:color w:val="000000"/>
        </w:rPr>
        <w:t>Affirmed by _____________________, the hospital’s ___________________________,</w:t>
      </w:r>
    </w:p>
    <w:p w14:paraId="10BF8172" w14:textId="77777777" w:rsidR="009604C4" w:rsidRPr="0024798C" w:rsidRDefault="009604C4" w:rsidP="009604C4">
      <w:pPr>
        <w:pStyle w:val="BodyText2"/>
      </w:pPr>
      <w:r w:rsidRPr="0024798C">
        <w:tab/>
      </w:r>
      <w:r w:rsidRPr="0024798C">
        <w:tab/>
        <w:t xml:space="preserve">   (name)</w:t>
      </w:r>
      <w:r w:rsidRPr="0024798C">
        <w:tab/>
      </w:r>
      <w:r w:rsidRPr="0024798C">
        <w:tab/>
      </w:r>
      <w:r w:rsidRPr="0024798C">
        <w:tab/>
      </w:r>
      <w:r w:rsidRPr="0024798C">
        <w:tab/>
      </w:r>
      <w:r w:rsidRPr="0024798C">
        <w:tab/>
      </w:r>
      <w:r w:rsidRPr="0024798C">
        <w:tab/>
        <w:t>(title)</w:t>
      </w:r>
    </w:p>
    <w:p w14:paraId="1DD59E8D" w14:textId="77777777" w:rsidR="009604C4" w:rsidRPr="00FD05B5" w:rsidRDefault="009604C4" w:rsidP="009604C4">
      <w:pPr>
        <w:rPr>
          <w:snapToGrid w:val="0"/>
          <w:color w:val="000000"/>
        </w:rPr>
      </w:pPr>
      <w:r w:rsidRPr="0024798C">
        <w:rPr>
          <w:snapToGrid w:val="0"/>
          <w:color w:val="000000"/>
        </w:rPr>
        <w:t>on _______________________.</w:t>
      </w:r>
    </w:p>
    <w:p w14:paraId="27303A2D" w14:textId="77777777" w:rsidR="009604C4" w:rsidRDefault="009604C4" w:rsidP="009604C4"/>
    <w:p w14:paraId="0034979C" w14:textId="77777777" w:rsidR="00E75274" w:rsidRDefault="00E75274"/>
    <w:p w14:paraId="7CA8E52E" w14:textId="77777777" w:rsidR="00F03380" w:rsidRDefault="00F03380">
      <w:r>
        <w:br w:type="page"/>
      </w:r>
    </w:p>
    <w:p w14:paraId="766D07AD" w14:textId="77777777" w:rsidR="00E75274" w:rsidRDefault="00E75274"/>
    <w:p w14:paraId="4FCC6AB6" w14:textId="77777777" w:rsidR="00F03380" w:rsidRDefault="00510CF6" w:rsidP="002C3E94">
      <w:pPr>
        <w:pStyle w:val="Title"/>
        <w:rPr>
          <w:snapToGrid w:val="0"/>
        </w:rPr>
      </w:pPr>
      <w:r>
        <w:t xml:space="preserve"> </w:t>
      </w:r>
      <w:bookmarkStart w:id="319" w:name="_Toc447195081"/>
      <w:r w:rsidR="00F03380" w:rsidRPr="00F03380">
        <w:rPr>
          <w:snapToGrid w:val="0"/>
        </w:rPr>
        <w:t xml:space="preserve">Section 8:  </w:t>
      </w:r>
      <w:r w:rsidR="004F68CC">
        <w:rPr>
          <w:snapToGrid w:val="0"/>
        </w:rPr>
        <w:t>2016</w:t>
      </w:r>
      <w:r w:rsidR="00F03380" w:rsidRPr="00F03380">
        <w:rPr>
          <w:snapToGrid w:val="0"/>
        </w:rPr>
        <w:t xml:space="preserve"> Bar Code Medication Administration Reference Information</w:t>
      </w:r>
      <w:bookmarkEnd w:id="319"/>
    </w:p>
    <w:p w14:paraId="7026B37D" w14:textId="77777777" w:rsidR="00F03380" w:rsidRDefault="00F03380" w:rsidP="00F03380"/>
    <w:p w14:paraId="17C0A76B" w14:textId="77777777" w:rsidR="000E7928" w:rsidRPr="009700FA" w:rsidRDefault="000E7928" w:rsidP="007A44CB">
      <w:pPr>
        <w:pStyle w:val="Heading3"/>
      </w:pPr>
      <w:bookmarkStart w:id="320" w:name="_Toc447195082"/>
      <w:r w:rsidRPr="009700FA">
        <w:rPr>
          <w:rFonts w:hint="eastAsia"/>
        </w:rPr>
        <w:t>What</w:t>
      </w:r>
      <w:r w:rsidRPr="009700FA">
        <w:t>’</w:t>
      </w:r>
      <w:r w:rsidRPr="009700FA">
        <w:rPr>
          <w:rFonts w:hint="eastAsia"/>
        </w:rPr>
        <w:t xml:space="preserve">s New in the </w:t>
      </w:r>
      <w:r w:rsidR="004F68CC">
        <w:t>2016 Survey</w:t>
      </w:r>
      <w:bookmarkEnd w:id="320"/>
    </w:p>
    <w:p w14:paraId="54E361A7" w14:textId="77777777" w:rsidR="00FA0843" w:rsidRDefault="00FA0843" w:rsidP="00FA0843"/>
    <w:p w14:paraId="32261CD5" w14:textId="77777777" w:rsidR="004448BB" w:rsidRDefault="004448BB" w:rsidP="00FA0843">
      <w:pPr>
        <w:rPr>
          <w:rFonts w:cs="Arial"/>
        </w:rPr>
      </w:pPr>
      <w:r>
        <w:rPr>
          <w:rFonts w:cs="Arial"/>
        </w:rPr>
        <w:t>In 2015, Leapfrog introduced this as a new standard focused on hospital use of BCMA systems in administering medications at the bedside to better recognize hospitals for effective efforts to prevent medication errors. Results for this section of the survey will now be publicly reported in 2016.</w:t>
      </w:r>
    </w:p>
    <w:p w14:paraId="7B2CF70F" w14:textId="77777777" w:rsidR="004448BB" w:rsidRDefault="004448BB" w:rsidP="00FA0843">
      <w:pPr>
        <w:rPr>
          <w:rFonts w:cs="Arial"/>
        </w:rPr>
      </w:pPr>
    </w:p>
    <w:p w14:paraId="070EF8EF" w14:textId="77777777" w:rsidR="004448BB" w:rsidRPr="004448BB" w:rsidRDefault="004448BB" w:rsidP="00FA0843">
      <w:pPr>
        <w:rPr>
          <w:b/>
          <w:lang w:eastAsia="ja-JP"/>
        </w:rPr>
      </w:pPr>
    </w:p>
    <w:p w14:paraId="64708D50" w14:textId="77777777" w:rsidR="000E7928" w:rsidRPr="009A5391" w:rsidRDefault="000E7928" w:rsidP="007A44CB">
      <w:pPr>
        <w:pStyle w:val="Heading3"/>
      </w:pPr>
      <w:bookmarkStart w:id="321" w:name="_Toc447195083"/>
      <w:r w:rsidRPr="009A5391">
        <w:rPr>
          <w:rFonts w:hint="eastAsia"/>
        </w:rPr>
        <w:t>Change Summary since Release</w:t>
      </w:r>
      <w:bookmarkEnd w:id="321"/>
    </w:p>
    <w:p w14:paraId="4CEA2182" w14:textId="77777777" w:rsidR="000E7928" w:rsidRPr="00D761A6" w:rsidRDefault="000E7928" w:rsidP="000E7928">
      <w:pPr>
        <w:rPr>
          <w:lang w:eastAsia="ja-JP"/>
        </w:rPr>
      </w:pPr>
    </w:p>
    <w:p w14:paraId="4D146433" w14:textId="77777777" w:rsidR="0045694E" w:rsidRDefault="0045694E" w:rsidP="0045694E">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254C88E" w14:textId="77777777" w:rsidR="000E7928" w:rsidRPr="0033316A" w:rsidRDefault="000E7928" w:rsidP="000E7928">
      <w:pPr>
        <w:rPr>
          <w:b/>
          <w:sz w:val="28"/>
          <w:szCs w:val="28"/>
          <w:u w:val="single"/>
          <w:lang w:eastAsia="ja-JP"/>
        </w:rPr>
      </w:pPr>
      <w:r>
        <w:br w:type="page"/>
      </w:r>
    </w:p>
    <w:p w14:paraId="299EA2C3" w14:textId="77777777" w:rsidR="00F03380" w:rsidRDefault="00607D0C" w:rsidP="00954B73">
      <w:pPr>
        <w:pStyle w:val="Heading2"/>
      </w:pPr>
      <w:bookmarkStart w:id="322" w:name="_Toc447195084"/>
      <w:r w:rsidRPr="004A35C1">
        <w:lastRenderedPageBreak/>
        <w:t>BCMA Frequently Asked Questions (FAQs)</w:t>
      </w:r>
      <w:bookmarkEnd w:id="322"/>
    </w:p>
    <w:p w14:paraId="45D6EF00" w14:textId="77777777" w:rsidR="007F3F62" w:rsidRDefault="007F3F62"/>
    <w:p w14:paraId="619BBCDF" w14:textId="77777777" w:rsidR="00D16CAC" w:rsidRPr="00402894" w:rsidRDefault="00402894" w:rsidP="00E05882">
      <w:pPr>
        <w:pStyle w:val="ListParagraph"/>
        <w:numPr>
          <w:ilvl w:val="0"/>
          <w:numId w:val="131"/>
        </w:numPr>
        <w:ind w:left="720"/>
        <w:rPr>
          <w:b/>
        </w:rPr>
      </w:pPr>
      <w:r w:rsidRPr="00402894">
        <w:rPr>
          <w:b/>
        </w:rPr>
        <w:t xml:space="preserve">Why is Leapfrog asking hospitals about their use of Bar Code Medication Administration systems at the bedside? </w:t>
      </w:r>
    </w:p>
    <w:p w14:paraId="2EA9AA1A" w14:textId="77777777" w:rsidR="00402894" w:rsidRDefault="008018E8" w:rsidP="00402894">
      <w:pPr>
        <w:ind w:left="720"/>
      </w:pPr>
      <w:r>
        <w:t>Research indicates that b</w:t>
      </w:r>
      <w:r w:rsidR="007F144B">
        <w:t>ar code</w:t>
      </w:r>
      <w:r w:rsidR="00402894">
        <w:t xml:space="preserve"> medication administration systems (BCMAs) are one of the proposed solutions to medication administration errors and may reduce reported medication errors by as much as 86%.</w:t>
      </w:r>
    </w:p>
    <w:p w14:paraId="3DEF8149" w14:textId="77777777" w:rsidR="00402894" w:rsidRDefault="00402894" w:rsidP="00402894">
      <w:pPr>
        <w:ind w:left="720"/>
      </w:pPr>
    </w:p>
    <w:p w14:paraId="283F9F31" w14:textId="77777777" w:rsidR="000A7126" w:rsidRDefault="00402894" w:rsidP="00E05882">
      <w:pPr>
        <w:pStyle w:val="ListParagraph"/>
        <w:numPr>
          <w:ilvl w:val="0"/>
          <w:numId w:val="131"/>
        </w:numPr>
        <w:ind w:left="720"/>
        <w:rPr>
          <w:b/>
        </w:rPr>
      </w:pPr>
      <w:r w:rsidRPr="00402894">
        <w:rPr>
          <w:b/>
        </w:rPr>
        <w:t>Why does the Bar Code Medication Administration system have to be connected to an electronic medication administration record (eMAR)?</w:t>
      </w:r>
    </w:p>
    <w:p w14:paraId="2BCAF431" w14:textId="77777777" w:rsidR="00402894" w:rsidRDefault="000A7126" w:rsidP="000A7126">
      <w:pPr>
        <w:pStyle w:val="ListParagraph"/>
        <w:rPr>
          <w:b/>
        </w:rPr>
      </w:pPr>
      <w:r>
        <w:t>An eMAR serves as the communication interphase that automatically documents the administration of medication into certified Electronic Health Record (EHR) technology. By linking BCMA with the eMAR, information on medication administration is captured in a much timelier manner than a manual documentation process can accomplish.</w:t>
      </w:r>
      <w:r w:rsidR="00402894" w:rsidRPr="00402894">
        <w:rPr>
          <w:b/>
        </w:rPr>
        <w:t xml:space="preserve"> </w:t>
      </w:r>
    </w:p>
    <w:p w14:paraId="2406CA07" w14:textId="77777777" w:rsidR="004448BB" w:rsidRDefault="004448BB" w:rsidP="000A7126">
      <w:pPr>
        <w:pStyle w:val="ListParagraph"/>
        <w:rPr>
          <w:b/>
        </w:rPr>
      </w:pPr>
    </w:p>
    <w:p w14:paraId="3C874551" w14:textId="5159F42D" w:rsidR="00E05882" w:rsidRPr="00E05882" w:rsidRDefault="00E05882" w:rsidP="00E05882">
      <w:pPr>
        <w:pStyle w:val="ListParagraph"/>
        <w:numPr>
          <w:ilvl w:val="0"/>
          <w:numId w:val="131"/>
        </w:numPr>
        <w:ind w:left="720"/>
        <w:rPr>
          <w:b/>
        </w:rPr>
      </w:pPr>
      <w:r w:rsidRPr="00E05882">
        <w:rPr>
          <w:b/>
        </w:rPr>
        <w:t>If an alert is</w:t>
      </w:r>
      <w:r w:rsidR="00C478B8">
        <w:rPr>
          <w:b/>
        </w:rPr>
        <w:t xml:space="preserve"> part of the eMAR</w:t>
      </w:r>
      <w:r w:rsidRPr="00E05882">
        <w:rPr>
          <w:b/>
        </w:rPr>
        <w:t>, but not the B</w:t>
      </w:r>
      <w:r w:rsidR="00C478B8">
        <w:rPr>
          <w:b/>
        </w:rPr>
        <w:t xml:space="preserve">ar </w:t>
      </w:r>
      <w:r w:rsidRPr="00E05882">
        <w:rPr>
          <w:b/>
        </w:rPr>
        <w:t>C</w:t>
      </w:r>
      <w:r w:rsidR="00C478B8">
        <w:rPr>
          <w:b/>
        </w:rPr>
        <w:t xml:space="preserve">ode </w:t>
      </w:r>
      <w:r w:rsidRPr="00E05882">
        <w:rPr>
          <w:b/>
        </w:rPr>
        <w:t>M</w:t>
      </w:r>
      <w:r w:rsidR="00C478B8">
        <w:rPr>
          <w:b/>
        </w:rPr>
        <w:t xml:space="preserve">edication </w:t>
      </w:r>
      <w:r w:rsidRPr="00E05882">
        <w:rPr>
          <w:b/>
        </w:rPr>
        <w:t>A</w:t>
      </w:r>
      <w:r w:rsidR="00C478B8">
        <w:rPr>
          <w:b/>
        </w:rPr>
        <w:t>dministration</w:t>
      </w:r>
      <w:r w:rsidR="00BF2A39">
        <w:rPr>
          <w:b/>
        </w:rPr>
        <w:t xml:space="preserve"> system, should we respond “</w:t>
      </w:r>
      <w:r w:rsidRPr="00E05882">
        <w:rPr>
          <w:b/>
        </w:rPr>
        <w:t>yes</w:t>
      </w:r>
      <w:r w:rsidR="00BF2A39">
        <w:rPr>
          <w:b/>
        </w:rPr>
        <w:t>” to the</w:t>
      </w:r>
      <w:r w:rsidRPr="00E05882">
        <w:rPr>
          <w:b/>
        </w:rPr>
        <w:t xml:space="preserve"> </w:t>
      </w:r>
      <w:r w:rsidR="00BF2A39">
        <w:rPr>
          <w:b/>
        </w:rPr>
        <w:t>decision support elements in Question #11 a - g</w:t>
      </w:r>
      <w:r w:rsidRPr="00E05882">
        <w:rPr>
          <w:b/>
        </w:rPr>
        <w:t>?</w:t>
      </w:r>
    </w:p>
    <w:p w14:paraId="625C5ECD" w14:textId="2D6FFBA8" w:rsidR="00E05882" w:rsidRPr="00E05882" w:rsidRDefault="00E05882" w:rsidP="00E05882">
      <w:pPr>
        <w:pStyle w:val="ListParagraph"/>
      </w:pPr>
      <w:r w:rsidRPr="00E05882">
        <w:t>If the provider and ph</w:t>
      </w:r>
      <w:r w:rsidR="00BF2A39">
        <w:t>armacist are notified or alerted</w:t>
      </w:r>
      <w:r w:rsidRPr="00E05882">
        <w:t xml:space="preserve"> (i.e., patient-specific allergy, vital sign check or second nurse check), but the nurse or provider administering the medication does not receive an alert at the point of administration, then your hospital </w:t>
      </w:r>
      <w:r w:rsidR="00C478B8">
        <w:t>should answer “no”</w:t>
      </w:r>
      <w:r w:rsidRPr="00E05882">
        <w:t xml:space="preserve"> to these questions about decision support.</w:t>
      </w:r>
    </w:p>
    <w:p w14:paraId="0CADB697" w14:textId="77777777" w:rsidR="00E05882" w:rsidRDefault="00E05882" w:rsidP="00E05882">
      <w:pPr>
        <w:pStyle w:val="ListParagraph"/>
        <w:rPr>
          <w:b/>
        </w:rPr>
      </w:pPr>
    </w:p>
    <w:p w14:paraId="33813A4C" w14:textId="77777777" w:rsidR="00376CF0" w:rsidRPr="004448BB" w:rsidRDefault="00376CF0" w:rsidP="00E05882">
      <w:pPr>
        <w:pStyle w:val="ListParagraph"/>
        <w:numPr>
          <w:ilvl w:val="0"/>
          <w:numId w:val="131"/>
        </w:numPr>
        <w:ind w:left="720"/>
        <w:rPr>
          <w:b/>
        </w:rPr>
      </w:pPr>
      <w:r w:rsidRPr="004448BB">
        <w:rPr>
          <w:b/>
        </w:rPr>
        <w:t>My hospital’s EHR only allows a user to have one patient record open at the time.  Therefore, our system will never generate a ‘wrong patient’ alert.  How should we answer the question about that type of decision support?</w:t>
      </w:r>
    </w:p>
    <w:p w14:paraId="7FA64195" w14:textId="77777777" w:rsidR="00376CF0" w:rsidRPr="004448BB" w:rsidRDefault="00376CF0" w:rsidP="00376CF0">
      <w:pPr>
        <w:pStyle w:val="ListParagraph"/>
      </w:pPr>
      <w:r w:rsidRPr="004448BB">
        <w:t>Hospitals that do not receive a ‘wrong patient’ alert due to their EHR only opening one patient record at a time should answer ‘yes’ to having that type of decision support.</w:t>
      </w:r>
    </w:p>
    <w:p w14:paraId="282EF860" w14:textId="77777777" w:rsidR="00402894" w:rsidRDefault="00402894" w:rsidP="00402894">
      <w:pPr>
        <w:pStyle w:val="ListParagraph"/>
        <w:rPr>
          <w:b/>
        </w:rPr>
      </w:pPr>
    </w:p>
    <w:p w14:paraId="29C89982" w14:textId="68ABC54C" w:rsidR="00E05882" w:rsidRPr="00E05882" w:rsidRDefault="00E05882" w:rsidP="00E05882">
      <w:pPr>
        <w:pStyle w:val="ListParagraph"/>
        <w:numPr>
          <w:ilvl w:val="0"/>
          <w:numId w:val="131"/>
        </w:numPr>
        <w:ind w:left="720"/>
        <w:rPr>
          <w:b/>
        </w:rPr>
      </w:pPr>
      <w:r w:rsidRPr="00E05882">
        <w:rPr>
          <w:b/>
        </w:rPr>
        <w:t>What is the def</w:t>
      </w:r>
      <w:r w:rsidR="00226B26">
        <w:rPr>
          <w:b/>
        </w:rPr>
        <w:t xml:space="preserve">inition of a vital sign check? </w:t>
      </w:r>
      <w:r w:rsidRPr="00E05882">
        <w:rPr>
          <w:b/>
        </w:rPr>
        <w:t xml:space="preserve">Is it to alert the user to check the vital signs before administering the medication, or is it an alert if the vital signs are not within the parameters of the medication?  </w:t>
      </w:r>
    </w:p>
    <w:p w14:paraId="1D2B52DC" w14:textId="48CBE93C" w:rsidR="00E05882" w:rsidRPr="00E05882" w:rsidRDefault="00E05882" w:rsidP="00E05882">
      <w:pPr>
        <w:pStyle w:val="ListParagraph"/>
      </w:pPr>
      <w:r w:rsidRPr="00E05882">
        <w:t xml:space="preserve">If the BCMA system does not alert the user to perform a vital sign check when scanning a medication that would require this check </w:t>
      </w:r>
      <w:r w:rsidRPr="00226B26">
        <w:rPr>
          <w:u w:val="single"/>
        </w:rPr>
        <w:t>before</w:t>
      </w:r>
      <w:r w:rsidRPr="00E05882">
        <w:t xml:space="preserve"> administration of the medication, then the hospital should answer “no” to </w:t>
      </w:r>
      <w:r w:rsidR="00226B26">
        <w:t xml:space="preserve">Question #11e. </w:t>
      </w:r>
      <w:r w:rsidRPr="00E05882">
        <w:t xml:space="preserve">The user does not need to receive an alert if vital signs are not within the parameters, but the user should be required to enter the vital signs into the system before moving forward with administering the medication.  </w:t>
      </w:r>
    </w:p>
    <w:p w14:paraId="22167EB1" w14:textId="77777777" w:rsidR="00E05882" w:rsidRDefault="00E05882" w:rsidP="00E05882">
      <w:pPr>
        <w:pStyle w:val="ListParagraph"/>
        <w:rPr>
          <w:b/>
        </w:rPr>
      </w:pPr>
    </w:p>
    <w:p w14:paraId="2CFB4F78" w14:textId="77777777" w:rsidR="00402894" w:rsidRDefault="00402894" w:rsidP="00E05882">
      <w:pPr>
        <w:pStyle w:val="ListParagraph"/>
        <w:numPr>
          <w:ilvl w:val="0"/>
          <w:numId w:val="131"/>
        </w:numPr>
        <w:ind w:left="720"/>
        <w:rPr>
          <w:b/>
        </w:rPr>
      </w:pPr>
      <w:r w:rsidRPr="00402894">
        <w:rPr>
          <w:b/>
        </w:rPr>
        <w:t>Why aren’t hospitals being asked about their use of Bar Code Medication Administration systems in the pharmacy?</w:t>
      </w:r>
    </w:p>
    <w:p w14:paraId="40248B35" w14:textId="77777777" w:rsidR="0065444E" w:rsidRDefault="000A7126" w:rsidP="0065444E">
      <w:pPr>
        <w:pStyle w:val="ListParagraph"/>
      </w:pPr>
      <w:r>
        <w:t>For its first year of including BCMA in the Hospital Survey</w:t>
      </w:r>
      <w:r w:rsidR="0040750E">
        <w:t xml:space="preserve"> and publicly reporting results</w:t>
      </w:r>
      <w:r>
        <w:t>, Leapfrog is focusing on BCMA implementation at the bedside. Leapfrog may expand its BCMA standard to include implementation in the pharmacy in future surveys.</w:t>
      </w:r>
    </w:p>
    <w:p w14:paraId="54FD3736" w14:textId="77777777" w:rsidR="0065444E" w:rsidRDefault="0065444E" w:rsidP="0065444E"/>
    <w:p w14:paraId="113BECFC" w14:textId="77777777" w:rsidR="00B974BF" w:rsidRDefault="0065444E" w:rsidP="00E05882">
      <w:pPr>
        <w:pStyle w:val="ListParagraph"/>
        <w:numPr>
          <w:ilvl w:val="0"/>
          <w:numId w:val="131"/>
        </w:numPr>
        <w:ind w:left="720"/>
        <w:rPr>
          <w:b/>
        </w:rPr>
      </w:pPr>
      <w:r w:rsidRPr="00B974BF">
        <w:rPr>
          <w:b/>
        </w:rPr>
        <w:t xml:space="preserve">Which </w:t>
      </w:r>
      <w:r w:rsidR="0092134E" w:rsidRPr="00B974BF">
        <w:rPr>
          <w:b/>
        </w:rPr>
        <w:t xml:space="preserve">intensive care and medical/surgical </w:t>
      </w:r>
      <w:r w:rsidRPr="00B974BF">
        <w:rPr>
          <w:b/>
        </w:rPr>
        <w:t>units should be included?</w:t>
      </w:r>
    </w:p>
    <w:p w14:paraId="53AB7AF9" w14:textId="1E1A73B1" w:rsidR="00B974BF" w:rsidRDefault="00B974BF" w:rsidP="00E05882">
      <w:pPr>
        <w:pStyle w:val="ListParagraph"/>
      </w:pPr>
      <w:r>
        <w:t xml:space="preserve">Only include those units that have been opened and staffed for the entire 3-month reporting period. For example, if you open a new unit that has only been open and staffed for 1-month out of the 3-month reporting period, you would not include that unit when responding to the questions in this section. </w:t>
      </w:r>
    </w:p>
    <w:p w14:paraId="4603B07E" w14:textId="084B2D3B" w:rsidR="00E05882" w:rsidRDefault="00E05882" w:rsidP="00E05882">
      <w:pPr>
        <w:ind w:left="360"/>
      </w:pPr>
      <w:r>
        <w:tab/>
      </w:r>
    </w:p>
    <w:p w14:paraId="798BF4E8" w14:textId="41928F05" w:rsidR="00E05882" w:rsidRPr="00E05882" w:rsidRDefault="00E05882" w:rsidP="00E05882">
      <w:pPr>
        <w:pStyle w:val="ListParagraph"/>
        <w:numPr>
          <w:ilvl w:val="0"/>
          <w:numId w:val="131"/>
        </w:numPr>
        <w:ind w:left="720"/>
        <w:rPr>
          <w:b/>
        </w:rPr>
      </w:pPr>
      <w:r w:rsidRPr="00E05882">
        <w:rPr>
          <w:b/>
        </w:rPr>
        <w:t xml:space="preserve">What is considered </w:t>
      </w:r>
      <w:r w:rsidR="0091537A">
        <w:rPr>
          <w:b/>
        </w:rPr>
        <w:t xml:space="preserve">a </w:t>
      </w:r>
      <w:r w:rsidRPr="00E05882">
        <w:rPr>
          <w:b/>
        </w:rPr>
        <w:t>medical unit and what is considered a surgical unit?</w:t>
      </w:r>
    </w:p>
    <w:p w14:paraId="093F51A2" w14:textId="7E1391BE" w:rsidR="00E05882" w:rsidRPr="00E05882" w:rsidRDefault="00E05882" w:rsidP="00E05882">
      <w:pPr>
        <w:pStyle w:val="ListParagraph"/>
      </w:pPr>
      <w:r w:rsidRPr="00E05882">
        <w:t>An exact definition on which units would be included in general medical, surgical, or medical/surgical cannot be provided because each hos</w:t>
      </w:r>
      <w:r w:rsidR="002E165D">
        <w:t xml:space="preserve">pital is laid out differently. </w:t>
      </w:r>
      <w:r w:rsidRPr="00E05882">
        <w:t xml:space="preserve">For information about what is considered a general medical, surgical, or medical/surgical unit, please refer to the CDC’s definitions of Medical Ward, Medical/Surgical Ward, and Surgical Ward on p. 15-18 to 15-20 of the following link: </w:t>
      </w:r>
    </w:p>
    <w:p w14:paraId="5D2B7650" w14:textId="3CD50F88" w:rsidR="00E05882" w:rsidRPr="0091537A" w:rsidRDefault="0091537A" w:rsidP="00E05882">
      <w:pPr>
        <w:pStyle w:val="ListParagraph"/>
        <w:rPr>
          <w:rStyle w:val="Hyperlink"/>
        </w:rPr>
      </w:pPr>
      <w:r>
        <w:fldChar w:fldCharType="begin"/>
      </w:r>
      <w:r>
        <w:instrText xml:space="preserve"> HYPERLINK "http://www.cdc.gov/nhsn/PDFs/pscManual/15LocationsDescriptions_current.pdf" </w:instrText>
      </w:r>
      <w:r>
        <w:fldChar w:fldCharType="separate"/>
      </w:r>
      <w:r w:rsidR="00E05882" w:rsidRPr="0091537A">
        <w:rPr>
          <w:rStyle w:val="Hyperlink"/>
        </w:rPr>
        <w:t>http://www.cdc.gov/nhsn/PDFs/pscManual/15LocationsDescriptions_current.pdf</w:t>
      </w:r>
    </w:p>
    <w:p w14:paraId="6766B952" w14:textId="2368A561" w:rsidR="00E05882" w:rsidRPr="00E05882" w:rsidRDefault="0091537A" w:rsidP="00E05882">
      <w:pPr>
        <w:pStyle w:val="ListParagraph"/>
      </w:pPr>
      <w:r>
        <w:fldChar w:fldCharType="end"/>
      </w:r>
    </w:p>
    <w:p w14:paraId="6AE06BF5" w14:textId="77777777" w:rsidR="00E05882" w:rsidRPr="00E05882" w:rsidRDefault="00E05882" w:rsidP="00E05882">
      <w:pPr>
        <w:pStyle w:val="ListParagraph"/>
      </w:pPr>
      <w:r w:rsidRPr="00E05882">
        <w:lastRenderedPageBreak/>
        <w:t>The flowchart on p. 15-3 can also be used to help define units in your hospital.</w:t>
      </w:r>
    </w:p>
    <w:p w14:paraId="3E9A88CB" w14:textId="77777777" w:rsidR="00E05882" w:rsidRPr="00E05882" w:rsidRDefault="00E05882" w:rsidP="00E05882">
      <w:pPr>
        <w:pStyle w:val="ListParagraph"/>
      </w:pPr>
    </w:p>
    <w:p w14:paraId="6942BDBB" w14:textId="56EC7F80" w:rsidR="00EE4B91" w:rsidRDefault="00E05882" w:rsidP="00EE4B91">
      <w:pPr>
        <w:pStyle w:val="ListParagraph"/>
      </w:pPr>
      <w:r w:rsidRPr="00E05882">
        <w:t>Units for patients from a specific service type (e.g., burn, cardiac) should not be included</w:t>
      </w:r>
      <w:r>
        <w:t>.</w:t>
      </w:r>
    </w:p>
    <w:p w14:paraId="786DBA43" w14:textId="77777777" w:rsidR="00E05882" w:rsidRDefault="00E05882" w:rsidP="00E05882">
      <w:pPr>
        <w:pStyle w:val="ListParagraph"/>
      </w:pPr>
    </w:p>
    <w:p w14:paraId="7499734D" w14:textId="77777777" w:rsidR="00B974BF" w:rsidRPr="00B974BF" w:rsidRDefault="00B974BF" w:rsidP="00E05882">
      <w:pPr>
        <w:pStyle w:val="ListParagraph"/>
        <w:numPr>
          <w:ilvl w:val="0"/>
          <w:numId w:val="131"/>
        </w:numPr>
        <w:ind w:left="720"/>
      </w:pPr>
      <w:r w:rsidRPr="00B974BF">
        <w:rPr>
          <w:b/>
          <w:bCs/>
        </w:rPr>
        <w:t>Must a hospital establish a separate committee to meet solely to review data reports on BCMA system use?</w:t>
      </w:r>
    </w:p>
    <w:p w14:paraId="3DE950CD" w14:textId="77777777" w:rsidR="00B974BF" w:rsidRDefault="00B974BF" w:rsidP="00B974BF">
      <w:pPr>
        <w:pStyle w:val="ListParagraph"/>
      </w:pPr>
      <w:r>
        <w:t>While establishing a committee that has the sole purpose of reviewing data reports on BCMA system use is encouraged, it is not required to meet Leapfrog’s standard. At a minimum, a pre-existing standing committee that meets on a regular basis could be given the responsibility of reviewing these reports. The committee chosen to review the reports must include individuals whose roles reflect each part of the BCMA process (e.g., pharmacists, nurses, IT personnel, etc.).</w:t>
      </w:r>
    </w:p>
    <w:p w14:paraId="3ACD9DD1" w14:textId="77777777" w:rsidR="00B974BF" w:rsidRDefault="00B974BF" w:rsidP="00B974BF">
      <w:pPr>
        <w:pStyle w:val="ListParagraph"/>
      </w:pPr>
    </w:p>
    <w:p w14:paraId="7D2C307E" w14:textId="77777777" w:rsidR="00B974BF" w:rsidRPr="00B974BF" w:rsidRDefault="00B974BF" w:rsidP="00E05882">
      <w:pPr>
        <w:pStyle w:val="ListParagraph"/>
        <w:numPr>
          <w:ilvl w:val="0"/>
          <w:numId w:val="131"/>
        </w:numPr>
        <w:ind w:left="720"/>
      </w:pPr>
      <w:r w:rsidRPr="00B974BF">
        <w:rPr>
          <w:b/>
          <w:bCs/>
        </w:rPr>
        <w:t>What are some examples of “back-up systems” for hardware failures?</w:t>
      </w:r>
    </w:p>
    <w:p w14:paraId="234D3C40" w14:textId="77777777" w:rsidR="00B974BF" w:rsidRDefault="00B974BF" w:rsidP="00B974BF">
      <w:pPr>
        <w:pStyle w:val="ListParagraph"/>
      </w:pPr>
      <w:r>
        <w:t>Examples of “back-up systems” include extra BCMA scanners, portable computers, batteries, and mice that are easily accessible to nurses experiencing equipment malfunctions. Quickly replacing malfunctioning equipment is essential to preventing workarounds.</w:t>
      </w:r>
      <w:r>
        <w:rPr>
          <w:highlight w:val="yellow"/>
        </w:rPr>
        <w:t xml:space="preserve"> </w:t>
      </w:r>
    </w:p>
    <w:p w14:paraId="650D1B12" w14:textId="77777777" w:rsidR="00B974BF" w:rsidRDefault="00B974BF" w:rsidP="00B974BF">
      <w:pPr>
        <w:pStyle w:val="ListParagraph"/>
      </w:pPr>
    </w:p>
    <w:p w14:paraId="0BA153E4" w14:textId="13433B97" w:rsidR="00EE4B91" w:rsidRDefault="00B974BF" w:rsidP="00EE4B91">
      <w:pPr>
        <w:pStyle w:val="ListParagraph"/>
        <w:numPr>
          <w:ilvl w:val="0"/>
          <w:numId w:val="131"/>
        </w:numPr>
        <w:ind w:left="720"/>
      </w:pPr>
      <w:r w:rsidRPr="00ED2FDD">
        <w:rPr>
          <w:b/>
          <w:bCs/>
        </w:rPr>
        <w:t>What are some examples of “engaging nursing leadership at the unit level on BCMA use?”</w:t>
      </w:r>
    </w:p>
    <w:p w14:paraId="0D67E46D" w14:textId="77777777" w:rsidR="00EE4B91" w:rsidRDefault="00EE4B91" w:rsidP="00EE4B91">
      <w:pPr>
        <w:pStyle w:val="ListParagraph"/>
      </w:pPr>
      <w:r>
        <w:t>Engaging nursing leadership on BCMA use should be an active, ongoing process. An engaged leader would actively use BCMA data to coach staff towards safe or desired behaviors. Examples of activities in which nursing leadership could be engaged include, but are not limited to:</w:t>
      </w:r>
    </w:p>
    <w:p w14:paraId="65B2F1E7" w14:textId="77777777" w:rsidR="00EE4B91" w:rsidRDefault="00EE4B91" w:rsidP="00EE4B91">
      <w:pPr>
        <w:pStyle w:val="ListParagraph"/>
        <w:numPr>
          <w:ilvl w:val="1"/>
          <w:numId w:val="118"/>
        </w:numPr>
      </w:pPr>
      <w:r>
        <w:t>Education sessions in units</w:t>
      </w:r>
    </w:p>
    <w:p w14:paraId="1CF70FA0" w14:textId="77777777" w:rsidR="00EE4B91" w:rsidRDefault="00EE4B91" w:rsidP="00EE4B91">
      <w:pPr>
        <w:pStyle w:val="ListParagraph"/>
        <w:numPr>
          <w:ilvl w:val="1"/>
          <w:numId w:val="118"/>
        </w:numPr>
      </w:pPr>
      <w:r>
        <w:t>Review of policies regarding use and non-use of BCMA</w:t>
      </w:r>
    </w:p>
    <w:p w14:paraId="4D1F2565" w14:textId="77777777" w:rsidR="00EE4B91" w:rsidRDefault="00EE4B91" w:rsidP="00EE4B91">
      <w:pPr>
        <w:pStyle w:val="ListParagraph"/>
        <w:numPr>
          <w:ilvl w:val="1"/>
          <w:numId w:val="118"/>
        </w:numPr>
      </w:pPr>
      <w:r>
        <w:t>Investigating problems with BCMA specific to the unit</w:t>
      </w:r>
    </w:p>
    <w:p w14:paraId="3EEA7D57" w14:textId="77777777" w:rsidR="00EE4B91" w:rsidRDefault="00EE4B91" w:rsidP="00EE4B91">
      <w:pPr>
        <w:pStyle w:val="ListParagraph"/>
        <w:numPr>
          <w:ilvl w:val="1"/>
          <w:numId w:val="118"/>
        </w:numPr>
      </w:pPr>
      <w:r>
        <w:t>Providing a forum for users to report BCMA problems and reasons for workarounds</w:t>
      </w:r>
    </w:p>
    <w:p w14:paraId="44D750CA" w14:textId="77777777" w:rsidR="00EE4B91" w:rsidRPr="00EE4B91" w:rsidRDefault="00EE4B91" w:rsidP="00EE4B91">
      <w:pPr>
        <w:pStyle w:val="ListParagraph"/>
        <w:numPr>
          <w:ilvl w:val="1"/>
          <w:numId w:val="118"/>
        </w:numPr>
        <w:rPr>
          <w:rFonts w:cs="Arial"/>
        </w:rPr>
      </w:pPr>
      <w:r w:rsidRPr="00EE4B91">
        <w:rPr>
          <w:rFonts w:cs="Arial"/>
        </w:rPr>
        <w:t>Providing suggestions for improvements to both technology and process</w:t>
      </w:r>
    </w:p>
    <w:p w14:paraId="1727287B" w14:textId="77777777" w:rsidR="00EE4B91" w:rsidRPr="00EE4B91" w:rsidRDefault="00EE4B91" w:rsidP="00EE4B91"/>
    <w:p w14:paraId="5D0DC8BB" w14:textId="77777777" w:rsidR="00EE4B91" w:rsidRPr="00EE4B91" w:rsidRDefault="00EE4B91" w:rsidP="00EE4B91">
      <w:pPr>
        <w:pStyle w:val="ListParagraph"/>
        <w:numPr>
          <w:ilvl w:val="0"/>
          <w:numId w:val="131"/>
        </w:numPr>
        <w:ind w:left="720"/>
        <w:rPr>
          <w:b/>
        </w:rPr>
      </w:pPr>
      <w:r w:rsidRPr="00EE4B91">
        <w:rPr>
          <w:rFonts w:cs="Arial"/>
          <w:b/>
        </w:rPr>
        <w:t>In our hospital some medications are ordered and scheduled, but not administered. Should medications that are ordered and scheduled, but not administered be included when responding to Questions #9 and #10?</w:t>
      </w:r>
    </w:p>
    <w:p w14:paraId="31B103CF" w14:textId="0349128C" w:rsidR="00EE4B91" w:rsidRPr="00EE4B91" w:rsidRDefault="00EE4B91" w:rsidP="00EE4B91">
      <w:pPr>
        <w:pStyle w:val="ListParagraph"/>
        <w:rPr>
          <w:b/>
        </w:rPr>
      </w:pPr>
      <w:r>
        <w:rPr>
          <w:rFonts w:cs="Arial"/>
        </w:rPr>
        <w:t xml:space="preserve">No, medications that are not administered should not be included in Questions #9 and #10. </w:t>
      </w:r>
      <w:r w:rsidRPr="00EE4B91">
        <w:rPr>
          <w:rFonts w:cs="Arial"/>
          <w:b/>
        </w:rPr>
        <w:t xml:space="preserve"> </w:t>
      </w:r>
    </w:p>
    <w:p w14:paraId="2F7ED4B9" w14:textId="3D1B9651" w:rsidR="00920EF6" w:rsidRDefault="00920EF6" w:rsidP="00EE4B91">
      <w:pPr>
        <w:pStyle w:val="NormalWeb"/>
        <w:shd w:val="clear" w:color="auto" w:fill="FFFFFF"/>
        <w:spacing w:before="0" w:beforeAutospacing="0" w:after="240" w:afterAutospacing="0" w:line="270" w:lineRule="atLeast"/>
        <w:ind w:firstLine="360"/>
        <w:textAlignment w:val="baseline"/>
        <w:rPr>
          <w:rFonts w:ascii="Arial" w:hAnsi="Arial" w:cs="Arial"/>
          <w:sz w:val="20"/>
          <w:szCs w:val="20"/>
        </w:rPr>
      </w:pPr>
    </w:p>
    <w:p w14:paraId="3EDA702A" w14:textId="77777777" w:rsidR="00EE4B91" w:rsidRPr="00EE4B91" w:rsidRDefault="00EE4B91" w:rsidP="00EE4B91">
      <w:pPr>
        <w:pStyle w:val="NormalWeb"/>
        <w:shd w:val="clear" w:color="auto" w:fill="FFFFFF"/>
        <w:spacing w:before="0" w:beforeAutospacing="0" w:after="240" w:afterAutospacing="0" w:line="270" w:lineRule="atLeast"/>
        <w:ind w:firstLine="360"/>
        <w:textAlignment w:val="baseline"/>
        <w:rPr>
          <w:rFonts w:ascii="Arial" w:hAnsi="Arial" w:cs="Arial"/>
          <w:sz w:val="20"/>
          <w:szCs w:val="20"/>
        </w:rPr>
        <w:sectPr w:rsidR="00EE4B91" w:rsidRPr="00EE4B91" w:rsidSect="008733FC">
          <w:headerReference w:type="default" r:id="rId198"/>
          <w:endnotePr>
            <w:numFmt w:val="decimal"/>
          </w:endnotePr>
          <w:type w:val="continuous"/>
          <w:pgSz w:w="12240" w:h="15840"/>
          <w:pgMar w:top="1080" w:right="1440" w:bottom="1080" w:left="1440" w:header="720" w:footer="720" w:gutter="0"/>
          <w:cols w:space="720"/>
          <w:docGrid w:linePitch="272"/>
        </w:sectPr>
      </w:pPr>
    </w:p>
    <w:p w14:paraId="042AF11F" w14:textId="3801B348" w:rsidR="00954B73" w:rsidRPr="00954B73" w:rsidRDefault="00954B73" w:rsidP="00954B73">
      <w:pPr>
        <w:pStyle w:val="SectionHeader"/>
        <w:jc w:val="left"/>
        <w:rPr>
          <w:color w:val="A6A6A6" w:themeColor="background1" w:themeShade="A6"/>
        </w:rPr>
        <w:sectPr w:rsidR="00954B73" w:rsidRPr="00954B73" w:rsidSect="008733FC">
          <w:headerReference w:type="default" r:id="rId199"/>
          <w:endnotePr>
            <w:numFmt w:val="decimal"/>
          </w:endnotePr>
          <w:type w:val="continuous"/>
          <w:pgSz w:w="12240" w:h="15840"/>
          <w:pgMar w:top="1080" w:right="1440" w:bottom="1080" w:left="1440" w:header="720" w:footer="720" w:gutter="0"/>
          <w:cols w:space="720"/>
          <w:docGrid w:linePitch="272"/>
        </w:sectPr>
      </w:pPr>
    </w:p>
    <w:p w14:paraId="1C7B515D" w14:textId="39F4ECBD" w:rsidR="00275C5C" w:rsidRDefault="00275C5C" w:rsidP="00275C5C">
      <w:pPr>
        <w:pStyle w:val="SectionHeader"/>
      </w:pPr>
    </w:p>
    <w:p w14:paraId="41ED24F1" w14:textId="77777777" w:rsidR="00275C5C" w:rsidRDefault="00275C5C" w:rsidP="00275C5C">
      <w:pPr>
        <w:pStyle w:val="SectionHeader"/>
      </w:pPr>
    </w:p>
    <w:p w14:paraId="6745F3FE" w14:textId="41A1430B" w:rsidR="00954B73" w:rsidRPr="006770C2" w:rsidRDefault="00954B73" w:rsidP="00954B73">
      <w:pPr>
        <w:pStyle w:val="SectionHeader"/>
        <w:rPr>
          <w:color w:val="A6A6A6" w:themeColor="background1" w:themeShade="A6"/>
        </w:rPr>
      </w:pPr>
      <w:bookmarkStart w:id="323" w:name="_Toc447195085"/>
      <w:r>
        <w:rPr>
          <w:color w:val="A6A6A6" w:themeColor="background1" w:themeShade="A6"/>
        </w:rPr>
        <w:t>Page Intentionally Left Blank</w:t>
      </w:r>
      <w:bookmarkEnd w:id="323"/>
    </w:p>
    <w:p w14:paraId="41AF0851" w14:textId="4E6A838F" w:rsidR="00275C5C" w:rsidRDefault="00275C5C" w:rsidP="00954B73">
      <w:pPr>
        <w:pStyle w:val="SectionHeader"/>
        <w:tabs>
          <w:tab w:val="left" w:pos="4005"/>
        </w:tabs>
        <w:jc w:val="left"/>
      </w:pPr>
    </w:p>
    <w:p w14:paraId="72DEF24D" w14:textId="77777777" w:rsidR="00275C5C" w:rsidRDefault="00275C5C" w:rsidP="00275C5C">
      <w:pPr>
        <w:pStyle w:val="SectionHeader"/>
      </w:pPr>
    </w:p>
    <w:p w14:paraId="6E025CDF" w14:textId="77777777" w:rsidR="00275C5C" w:rsidRDefault="00275C5C" w:rsidP="00275C5C">
      <w:pPr>
        <w:pStyle w:val="SectionHeader"/>
      </w:pPr>
    </w:p>
    <w:p w14:paraId="6BB1BC3D" w14:textId="77777777" w:rsidR="00275C5C" w:rsidRDefault="00275C5C" w:rsidP="00275C5C">
      <w:pPr>
        <w:pStyle w:val="SectionHeader"/>
      </w:pPr>
    </w:p>
    <w:p w14:paraId="1C8F5949" w14:textId="77777777" w:rsidR="006770C2" w:rsidRDefault="006770C2">
      <w:pPr>
        <w:rPr>
          <w:b/>
          <w:snapToGrid w:val="0"/>
          <w:sz w:val="40"/>
          <w:szCs w:val="40"/>
          <w:lang w:eastAsia="ja-JP"/>
        </w:rPr>
      </w:pPr>
      <w:r>
        <w:br w:type="page"/>
      </w:r>
    </w:p>
    <w:p w14:paraId="4261195D" w14:textId="77777777" w:rsidR="00920EF6" w:rsidRDefault="00920EF6" w:rsidP="00275C5C">
      <w:pPr>
        <w:pStyle w:val="SectionHeader"/>
        <w:sectPr w:rsidR="00920EF6" w:rsidSect="00954B73">
          <w:headerReference w:type="default" r:id="rId200"/>
          <w:endnotePr>
            <w:numFmt w:val="decimal"/>
          </w:endnotePr>
          <w:pgSz w:w="12240" w:h="15840"/>
          <w:pgMar w:top="1080" w:right="1440" w:bottom="1080" w:left="1440" w:header="720" w:footer="720" w:gutter="0"/>
          <w:cols w:space="720"/>
          <w:docGrid w:linePitch="272"/>
        </w:sectPr>
      </w:pPr>
    </w:p>
    <w:p w14:paraId="2216E871" w14:textId="77777777" w:rsidR="00275C5C" w:rsidRDefault="00275C5C" w:rsidP="00275C5C">
      <w:pPr>
        <w:pStyle w:val="SectionHeader"/>
      </w:pPr>
    </w:p>
    <w:p w14:paraId="63E000DA" w14:textId="77777777" w:rsidR="006770C2" w:rsidRDefault="006770C2" w:rsidP="00275C5C">
      <w:pPr>
        <w:pStyle w:val="SectionHeader"/>
      </w:pPr>
    </w:p>
    <w:p w14:paraId="238DA82E" w14:textId="77777777" w:rsidR="006770C2" w:rsidRDefault="006770C2" w:rsidP="00275C5C">
      <w:pPr>
        <w:pStyle w:val="SectionHeader"/>
      </w:pPr>
    </w:p>
    <w:p w14:paraId="0C799F4A" w14:textId="77777777" w:rsidR="006770C2" w:rsidRDefault="006770C2" w:rsidP="00275C5C">
      <w:pPr>
        <w:pStyle w:val="SectionHeader"/>
      </w:pPr>
    </w:p>
    <w:p w14:paraId="30E0A4AA" w14:textId="77777777" w:rsidR="006770C2" w:rsidRDefault="006770C2" w:rsidP="00275C5C">
      <w:pPr>
        <w:pStyle w:val="SectionHeader"/>
      </w:pPr>
    </w:p>
    <w:p w14:paraId="3519CBE0" w14:textId="77777777" w:rsidR="006770C2" w:rsidRDefault="006770C2" w:rsidP="00275C5C">
      <w:pPr>
        <w:pStyle w:val="SectionHeader"/>
      </w:pPr>
    </w:p>
    <w:p w14:paraId="39AF1A1B" w14:textId="77777777" w:rsidR="006770C2" w:rsidRDefault="006770C2" w:rsidP="00275C5C">
      <w:pPr>
        <w:pStyle w:val="SectionHeader"/>
      </w:pPr>
    </w:p>
    <w:p w14:paraId="0D894D76" w14:textId="77777777" w:rsidR="006770C2" w:rsidRDefault="006770C2" w:rsidP="00275C5C">
      <w:pPr>
        <w:pStyle w:val="SectionHeader"/>
      </w:pPr>
    </w:p>
    <w:p w14:paraId="676D5E90" w14:textId="77777777" w:rsidR="006770C2" w:rsidRDefault="006770C2" w:rsidP="00275C5C">
      <w:pPr>
        <w:pStyle w:val="SectionHeader"/>
      </w:pPr>
    </w:p>
    <w:p w14:paraId="69D1AB14" w14:textId="77777777" w:rsidR="006770C2" w:rsidRDefault="006770C2" w:rsidP="00275C5C">
      <w:pPr>
        <w:pStyle w:val="SectionHeader"/>
      </w:pPr>
    </w:p>
    <w:p w14:paraId="2B9D0645" w14:textId="77777777" w:rsidR="006770C2" w:rsidRDefault="006770C2" w:rsidP="00275C5C">
      <w:pPr>
        <w:pStyle w:val="SectionHeader"/>
      </w:pPr>
    </w:p>
    <w:p w14:paraId="42063D0A" w14:textId="77777777" w:rsidR="00275C5C" w:rsidRDefault="0051125F" w:rsidP="00275C5C">
      <w:pPr>
        <w:pStyle w:val="SectionHeader"/>
      </w:pPr>
      <w:bookmarkStart w:id="324" w:name="_Toc447195086"/>
      <w:bookmarkStart w:id="325" w:name="Sect9"/>
      <w:r>
        <w:t>SECTION 9: READMISSION</w:t>
      </w:r>
      <w:r w:rsidR="003D16F0">
        <w:t xml:space="preserve"> FOR COMMON ACUTE CONDITIONS</w:t>
      </w:r>
      <w:r w:rsidR="003C27FD">
        <w:t xml:space="preserve"> AND PROCEDURES</w:t>
      </w:r>
      <w:bookmarkEnd w:id="324"/>
    </w:p>
    <w:bookmarkEnd w:id="325"/>
    <w:p w14:paraId="0460766A" w14:textId="77777777" w:rsidR="004B7F4F" w:rsidRDefault="004B7F4F" w:rsidP="00275C5C">
      <w:pPr>
        <w:pStyle w:val="SectionHeader"/>
      </w:pPr>
    </w:p>
    <w:p w14:paraId="03AB6274" w14:textId="77777777" w:rsidR="004B7F4F" w:rsidRDefault="004B7F4F" w:rsidP="004B7F4F">
      <w:r>
        <w:t xml:space="preserve">This section includes questions and reference information for Section 9 Resource Use for Common Acute Conditions. Please carefully review the questions, </w:t>
      </w:r>
      <w:r w:rsidR="00B94757">
        <w:t>endnotes</w:t>
      </w:r>
      <w:r>
        <w:t>, and reference information (e.g.</w:t>
      </w:r>
      <w:r w:rsidR="001D41B0">
        <w:t>,</w:t>
      </w:r>
      <w:r>
        <w:t xml:space="preserve"> measure specifications, notes, and frequen</w:t>
      </w:r>
      <w:r w:rsidR="00EC191D">
        <w:t>tl</w:t>
      </w:r>
      <w:r>
        <w:t xml:space="preserve">y asked questions) before you begin. Failure to review the reference information could result in inaccurate responses. </w:t>
      </w:r>
    </w:p>
    <w:p w14:paraId="60ECBA7B" w14:textId="77777777" w:rsidR="004B7F4F" w:rsidRDefault="004B7F4F" w:rsidP="00275C5C">
      <w:pPr>
        <w:pStyle w:val="SectionHeader"/>
      </w:pPr>
    </w:p>
    <w:p w14:paraId="74BADF51" w14:textId="77777777" w:rsidR="007F3F62" w:rsidRDefault="007F3F62">
      <w:r>
        <w:br w:type="page"/>
      </w:r>
    </w:p>
    <w:p w14:paraId="40161013" w14:textId="77777777" w:rsidR="008910AA" w:rsidRDefault="008910AA" w:rsidP="002C3E94">
      <w:pPr>
        <w:pStyle w:val="Title"/>
        <w:rPr>
          <w:snapToGrid w:val="0"/>
        </w:rPr>
      </w:pPr>
      <w:bookmarkStart w:id="326" w:name="_Toc447195087"/>
      <w:r>
        <w:rPr>
          <w:snapToGrid w:val="0"/>
        </w:rPr>
        <w:lastRenderedPageBreak/>
        <w:t>Section 9</w:t>
      </w:r>
      <w:r w:rsidR="002E05B5">
        <w:rPr>
          <w:snapToGrid w:val="0"/>
        </w:rPr>
        <w:t xml:space="preserve">: </w:t>
      </w:r>
      <w:r w:rsidR="004F68CC">
        <w:rPr>
          <w:snapToGrid w:val="0"/>
        </w:rPr>
        <w:t>2016</w:t>
      </w:r>
      <w:r w:rsidR="002644DA" w:rsidRPr="00654A66">
        <w:rPr>
          <w:snapToGrid w:val="0"/>
        </w:rPr>
        <w:t xml:space="preserve"> </w:t>
      </w:r>
      <w:r w:rsidR="0051125F">
        <w:rPr>
          <w:snapToGrid w:val="0"/>
        </w:rPr>
        <w:t>Readmissio</w:t>
      </w:r>
      <w:r w:rsidR="008118CF">
        <w:rPr>
          <w:snapToGrid w:val="0"/>
        </w:rPr>
        <w:t>n</w:t>
      </w:r>
      <w:r w:rsidR="00FE0E84">
        <w:rPr>
          <w:snapToGrid w:val="0"/>
        </w:rPr>
        <w:t xml:space="preserve"> for Common Acute Conditions</w:t>
      </w:r>
      <w:r w:rsidR="00F95795">
        <w:rPr>
          <w:snapToGrid w:val="0"/>
        </w:rPr>
        <w:t xml:space="preserve"> and Procedures</w:t>
      </w:r>
      <w:bookmarkEnd w:id="326"/>
    </w:p>
    <w:p w14:paraId="2973873D" w14:textId="77777777" w:rsidR="008910AA" w:rsidRDefault="008910AA">
      <w:pPr>
        <w:pStyle w:val="BodyText3"/>
        <w:rPr>
          <w:highlight w:val="yellow"/>
        </w:rPr>
      </w:pPr>
    </w:p>
    <w:p w14:paraId="5017FCEF" w14:textId="77777777" w:rsidR="00F95795" w:rsidRDefault="00220071" w:rsidP="006A3E69">
      <w:pPr>
        <w:pStyle w:val="BodyText3"/>
        <w:rPr>
          <w:b/>
          <w:color w:val="FF0000"/>
        </w:rPr>
      </w:pPr>
      <w:r w:rsidRPr="006A3E69">
        <w:rPr>
          <w:b/>
          <w:color w:val="FF0000"/>
        </w:rPr>
        <w:t xml:space="preserve">This section does not apply to Pediatric </w:t>
      </w:r>
      <w:r w:rsidR="00AC1A18">
        <w:rPr>
          <w:b/>
          <w:color w:val="FF0000"/>
        </w:rPr>
        <w:t>Hospitals.</w:t>
      </w:r>
    </w:p>
    <w:p w14:paraId="434F4B7E" w14:textId="77777777" w:rsidR="00F95795" w:rsidRDefault="00F95795" w:rsidP="006A3E69">
      <w:pPr>
        <w:pStyle w:val="BodyText3"/>
        <w:rPr>
          <w:b/>
          <w:color w:val="FF0000"/>
        </w:rPr>
      </w:pPr>
    </w:p>
    <w:p w14:paraId="5410057A" w14:textId="77777777" w:rsidR="006A3E69" w:rsidRPr="006A3E69" w:rsidRDefault="006A3E69" w:rsidP="006A3E69">
      <w:pPr>
        <w:pStyle w:val="BodyText3"/>
        <w:rPr>
          <w:b/>
          <w:snapToGrid w:val="0"/>
        </w:rPr>
      </w:pPr>
      <w:r w:rsidRPr="006A3E69">
        <w:rPr>
          <w:b/>
          <w:color w:val="FF0000"/>
        </w:rPr>
        <w:t xml:space="preserve">Critical Access Hospitals </w:t>
      </w:r>
      <w:r w:rsidR="0051125F">
        <w:rPr>
          <w:b/>
          <w:color w:val="FF0000"/>
        </w:rPr>
        <w:t xml:space="preserve">that voluntarily report to CMS are required to complete and submit this section or the hospital will be shown as ‘Declined to Respond.” Critical Access Hospitals </w:t>
      </w:r>
      <w:r w:rsidRPr="006A3E69">
        <w:rPr>
          <w:b/>
          <w:color w:val="FF0000"/>
        </w:rPr>
        <w:t xml:space="preserve">that do not voluntarily report to CMS </w:t>
      </w:r>
      <w:r w:rsidRPr="006A3E69">
        <w:rPr>
          <w:b/>
          <w:snapToGrid w:val="0"/>
          <w:color w:val="FF0000"/>
        </w:rPr>
        <w:t xml:space="preserve">should respond “No” to question </w:t>
      </w:r>
      <w:r w:rsidR="00035064">
        <w:rPr>
          <w:b/>
          <w:snapToGrid w:val="0"/>
          <w:color w:val="FF0000"/>
        </w:rPr>
        <w:t>#</w:t>
      </w:r>
      <w:r w:rsidRPr="006A3E69">
        <w:rPr>
          <w:b/>
          <w:snapToGrid w:val="0"/>
          <w:color w:val="FF0000"/>
        </w:rPr>
        <w:t>1, and then skip the remainder of the section. The hospital will be shown as “Does Not Apply.”</w:t>
      </w:r>
      <w:r>
        <w:rPr>
          <w:b/>
          <w:snapToGrid w:val="0"/>
          <w:color w:val="FF0000"/>
        </w:rPr>
        <w:t xml:space="preserve"> </w:t>
      </w:r>
    </w:p>
    <w:p w14:paraId="05AEF7F5" w14:textId="77777777" w:rsidR="00220071" w:rsidRDefault="00220071">
      <w:pPr>
        <w:pStyle w:val="BodyText3"/>
        <w:rPr>
          <w:highlight w:val="yellow"/>
        </w:rPr>
      </w:pPr>
    </w:p>
    <w:p w14:paraId="246B354B" w14:textId="77777777" w:rsidR="00532F58" w:rsidRDefault="0024058F" w:rsidP="00532F58">
      <w:r w:rsidRPr="00496241">
        <w:t xml:space="preserve">In </w:t>
      </w:r>
      <w:r w:rsidR="002A071A" w:rsidRPr="00496241">
        <w:t xml:space="preserve">Section 9, Leapfrog asks hospitals to report </w:t>
      </w:r>
      <w:r w:rsidRPr="00496241">
        <w:t xml:space="preserve">their 30-day </w:t>
      </w:r>
      <w:r w:rsidR="002A071A" w:rsidRPr="00496241">
        <w:t xml:space="preserve">readmission rates </w:t>
      </w:r>
      <w:r w:rsidRPr="00496241">
        <w:t xml:space="preserve">for Medicare patients </w:t>
      </w:r>
      <w:r w:rsidR="002A071A" w:rsidRPr="00496241">
        <w:t xml:space="preserve">that are collected and calculated by CMS for </w:t>
      </w:r>
      <w:r w:rsidR="00610A02">
        <w:t>six</w:t>
      </w:r>
      <w:r w:rsidR="00610A02" w:rsidRPr="00496241">
        <w:t xml:space="preserve"> </w:t>
      </w:r>
      <w:r w:rsidR="002A071A" w:rsidRPr="00496241">
        <w:t>common acute conditions</w:t>
      </w:r>
      <w:r w:rsidR="00F95795">
        <w:t xml:space="preserve"> and procedures</w:t>
      </w:r>
      <w:r w:rsidR="002A071A" w:rsidRPr="00496241">
        <w:t xml:space="preserve">: heart attack (acute myocardial </w:t>
      </w:r>
      <w:r w:rsidR="00E46983" w:rsidRPr="00496241">
        <w:t>infarction</w:t>
      </w:r>
      <w:r w:rsidR="00532F58">
        <w:t xml:space="preserve">), heart failure, </w:t>
      </w:r>
      <w:r w:rsidR="002A071A" w:rsidRPr="00496241">
        <w:t>pneumonia</w:t>
      </w:r>
      <w:r w:rsidR="00532F58">
        <w:t>, chronic obstructive pulmonary disease, coronary artery bypass graft, and tot</w:t>
      </w:r>
      <w:r w:rsidR="00F95795">
        <w:t>al hip/total knee arthroplasty.</w:t>
      </w:r>
    </w:p>
    <w:p w14:paraId="3FE83611" w14:textId="77777777" w:rsidR="00532F58" w:rsidRDefault="00532F58" w:rsidP="00532F58">
      <w:pPr>
        <w:pStyle w:val="ListParagraph"/>
      </w:pPr>
    </w:p>
    <w:p w14:paraId="4A6F1061" w14:textId="77777777" w:rsidR="002A071A" w:rsidRPr="00496241" w:rsidRDefault="00CD0B0C">
      <w:pPr>
        <w:pStyle w:val="BodyText3"/>
      </w:pPr>
      <w:r w:rsidRPr="00496241">
        <w:t>Leapfrog will calculate a composite readmission score u</w:t>
      </w:r>
      <w:r w:rsidR="002A071A" w:rsidRPr="00496241">
        <w:t xml:space="preserve">sing the readmission rates for </w:t>
      </w:r>
      <w:r w:rsidRPr="00496241">
        <w:t xml:space="preserve">those </w:t>
      </w:r>
      <w:r w:rsidR="002A071A" w:rsidRPr="00496241">
        <w:t>condition</w:t>
      </w:r>
      <w:r w:rsidRPr="00496241">
        <w:t>s</w:t>
      </w:r>
      <w:r w:rsidR="002A071A" w:rsidRPr="00496241">
        <w:t xml:space="preserve"> where more than 25 cases were</w:t>
      </w:r>
      <w:r w:rsidRPr="00496241">
        <w:t xml:space="preserve"> </w:t>
      </w:r>
      <w:r w:rsidR="002A071A" w:rsidRPr="00496241">
        <w:t>reporte</w:t>
      </w:r>
      <w:r w:rsidRPr="00496241">
        <w:t>d</w:t>
      </w:r>
      <w:r w:rsidR="002A071A" w:rsidRPr="00496241">
        <w:t xml:space="preserve">. The number of cases reported for each condition </w:t>
      </w:r>
      <w:r w:rsidRPr="00496241">
        <w:t xml:space="preserve">will be used </w:t>
      </w:r>
      <w:r w:rsidR="00B475F3">
        <w:t>for weighting</w:t>
      </w:r>
      <w:r w:rsidRPr="00496241">
        <w:t xml:space="preserve"> in the composite score.</w:t>
      </w:r>
    </w:p>
    <w:p w14:paraId="21D429CA" w14:textId="77777777" w:rsidR="002A071A" w:rsidRDefault="002A071A">
      <w:pPr>
        <w:pStyle w:val="BodyText3"/>
      </w:pPr>
    </w:p>
    <w:p w14:paraId="6353E7F9" w14:textId="77777777" w:rsidR="00B17C9D" w:rsidRDefault="00B17C9D">
      <w:pPr>
        <w:pStyle w:val="BodyText3"/>
        <w:rPr>
          <w:b/>
        </w:rPr>
      </w:pPr>
      <w:r w:rsidRPr="006D003E">
        <w:rPr>
          <w:b/>
        </w:rPr>
        <w:t>Each hospital fully meeting the standa</w:t>
      </w:r>
      <w:r w:rsidR="005454CA">
        <w:rPr>
          <w:b/>
        </w:rPr>
        <w:t>rd</w:t>
      </w:r>
      <w:r w:rsidRPr="006D003E">
        <w:rPr>
          <w:b/>
        </w:rPr>
        <w:t>:</w:t>
      </w:r>
    </w:p>
    <w:p w14:paraId="24F72123" w14:textId="77777777" w:rsidR="006D003E" w:rsidRPr="006D003E" w:rsidRDefault="006D003E">
      <w:pPr>
        <w:pStyle w:val="BodyText3"/>
        <w:rPr>
          <w:b/>
        </w:rPr>
      </w:pPr>
    </w:p>
    <w:p w14:paraId="37BF01D9" w14:textId="77777777" w:rsidR="00AC1A18" w:rsidRDefault="005454CA" w:rsidP="00ED58C1">
      <w:pPr>
        <w:pStyle w:val="BodyText3"/>
        <w:numPr>
          <w:ilvl w:val="0"/>
          <w:numId w:val="22"/>
        </w:numPr>
      </w:pPr>
      <w:r>
        <w:t xml:space="preserve">Is in the best </w:t>
      </w:r>
      <w:r w:rsidR="00640950">
        <w:t>performance category</w:t>
      </w:r>
      <w:r w:rsidR="00306B65">
        <w:t xml:space="preserve"> (lowest </w:t>
      </w:r>
      <w:r w:rsidR="003F24AD">
        <w:t>readmission rates</w:t>
      </w:r>
      <w:r w:rsidR="00306B65">
        <w:t>)</w:t>
      </w:r>
      <w:r w:rsidR="00640950">
        <w:t xml:space="preserve"> for </w:t>
      </w:r>
      <w:r w:rsidR="00610A02">
        <w:t xml:space="preserve">the </w:t>
      </w:r>
      <w:r w:rsidR="009A35CF">
        <w:t xml:space="preserve">overall </w:t>
      </w:r>
      <w:r w:rsidR="00B17C9D">
        <w:t>Readmission</w:t>
      </w:r>
      <w:r w:rsidR="00640950">
        <w:t xml:space="preserve"> </w:t>
      </w:r>
      <w:r w:rsidR="009A35CF">
        <w:t>composite</w:t>
      </w:r>
      <w:r w:rsidR="00AC1A18">
        <w:t>.</w:t>
      </w:r>
    </w:p>
    <w:p w14:paraId="35B6BC45" w14:textId="77777777" w:rsidR="00AC1A18" w:rsidRDefault="00AC1A18" w:rsidP="00AC1A18">
      <w:pPr>
        <w:pStyle w:val="BodyText3"/>
      </w:pPr>
    </w:p>
    <w:p w14:paraId="3E61861F" w14:textId="77777777" w:rsidR="00AC1A18" w:rsidRDefault="00AC1A18" w:rsidP="00AC1A18">
      <w:pPr>
        <w:rPr>
          <w:b/>
        </w:rPr>
      </w:pPr>
      <w:r w:rsidRPr="009D4EAF">
        <w:rPr>
          <w:b/>
        </w:rPr>
        <w:t xml:space="preserve">More information about the 2016 Leapfrog Hospital Survey Scoring Algorithms is available at: </w:t>
      </w:r>
      <w:hyperlink r:id="rId201" w:history="1">
        <w:r w:rsidR="005C7985" w:rsidRPr="00300CF7">
          <w:rPr>
            <w:rStyle w:val="Hyperlink"/>
          </w:rPr>
          <w:t>http://leapfroggroup.org/survey-materials/survey-and-cpoe-materials</w:t>
        </w:r>
      </w:hyperlink>
    </w:p>
    <w:p w14:paraId="3E63320C" w14:textId="77777777" w:rsidR="005454CA" w:rsidRDefault="005454CA" w:rsidP="00AC1A18">
      <w:pPr>
        <w:rPr>
          <w:b/>
        </w:rPr>
      </w:pPr>
    </w:p>
    <w:p w14:paraId="7E83C794" w14:textId="77777777" w:rsidR="005454CA" w:rsidRDefault="005454CA" w:rsidP="00AC1A18">
      <w:pPr>
        <w:rPr>
          <w:b/>
        </w:rPr>
      </w:pPr>
    </w:p>
    <w:p w14:paraId="208C7513" w14:textId="77777777" w:rsidR="004F3AC5" w:rsidRDefault="005454CA" w:rsidP="005454CA">
      <w:pPr>
        <w:rPr>
          <w:snapToGrid w:val="0"/>
          <w:color w:val="FF0000"/>
        </w:rPr>
      </w:pPr>
      <w:r w:rsidRPr="00EF776D">
        <w:rPr>
          <w:b/>
          <w:snapToGrid w:val="0"/>
          <w:color w:val="FF0000"/>
        </w:rPr>
        <w:t>Important Note</w:t>
      </w:r>
      <w:r w:rsidR="004F3AC5">
        <w:rPr>
          <w:b/>
          <w:snapToGrid w:val="0"/>
          <w:color w:val="FF0000"/>
        </w:rPr>
        <w:t>s</w:t>
      </w:r>
      <w:r w:rsidRPr="00EF776D">
        <w:rPr>
          <w:b/>
          <w:snapToGrid w:val="0"/>
          <w:color w:val="FF0000"/>
        </w:rPr>
        <w:t>:</w:t>
      </w:r>
      <w:r w:rsidRPr="00EF776D">
        <w:rPr>
          <w:snapToGrid w:val="0"/>
          <w:color w:val="FF0000"/>
        </w:rPr>
        <w:t xml:space="preserve"> </w:t>
      </w:r>
    </w:p>
    <w:p w14:paraId="47741A91" w14:textId="77777777" w:rsidR="004F3AC5" w:rsidRDefault="004F3AC5" w:rsidP="005454CA">
      <w:pPr>
        <w:rPr>
          <w:snapToGrid w:val="0"/>
          <w:color w:val="FF0000"/>
        </w:rPr>
      </w:pPr>
    </w:p>
    <w:p w14:paraId="4C2BFD26" w14:textId="77777777" w:rsidR="001C79C0" w:rsidRDefault="001C79C0" w:rsidP="001C79C0">
      <w:pPr>
        <w:rPr>
          <w:snapToGrid w:val="0"/>
        </w:rPr>
      </w:pPr>
      <w:r w:rsidRPr="00A15EC6">
        <w:rPr>
          <w:snapToGrid w:val="0"/>
        </w:rPr>
        <w:t>Note 1:</w:t>
      </w:r>
      <w:r>
        <w:rPr>
          <w:snapToGrid w:val="0"/>
        </w:rPr>
        <w:t xml:space="preserve"> </w:t>
      </w:r>
      <w:r w:rsidRPr="00EF776D">
        <w:rPr>
          <w:snapToGrid w:val="0"/>
        </w:rPr>
        <w:t>Responses</w:t>
      </w:r>
      <w:r w:rsidR="004C2D6D">
        <w:rPr>
          <w:snapToGrid w:val="0"/>
        </w:rPr>
        <w:t xml:space="preserve"> to Section 9B</w:t>
      </w:r>
      <w:r w:rsidRPr="00EF776D">
        <w:rPr>
          <w:snapToGrid w:val="0"/>
        </w:rPr>
        <w:t xml:space="preserve"> are pre-populated in the online survey tool based on information published by CMS on the Hospital Compare Website</w:t>
      </w:r>
      <w:r>
        <w:rPr>
          <w:snapToGrid w:val="0"/>
        </w:rPr>
        <w:t xml:space="preserve"> for your hospital’s Medicare Provider Number</w:t>
      </w:r>
      <w:r w:rsidRPr="00EF776D">
        <w:rPr>
          <w:snapToGrid w:val="0"/>
        </w:rPr>
        <w:t>.</w:t>
      </w:r>
      <w:r>
        <w:rPr>
          <w:snapToGrid w:val="0"/>
        </w:rPr>
        <w:t xml:space="preserve"> If the Medicare Provider Number displayed in the Hospital Profile has changed or is not correct, please contact the Help Desk immediately at </w:t>
      </w:r>
      <w:hyperlink r:id="rId202" w:history="1">
        <w:r w:rsidRPr="00981B4A">
          <w:rPr>
            <w:rStyle w:val="Hyperlink"/>
            <w:snapToGrid w:val="0"/>
          </w:rPr>
          <w:t>https://leapfroghospitalsurvey.zendesk.com</w:t>
        </w:r>
      </w:hyperlink>
      <w:r>
        <w:rPr>
          <w:snapToGrid w:val="0"/>
        </w:rPr>
        <w:t xml:space="preserve">.  </w:t>
      </w:r>
      <w:r w:rsidRPr="00EF776D">
        <w:rPr>
          <w:snapToGrid w:val="0"/>
        </w:rPr>
        <w:t xml:space="preserve"> </w:t>
      </w:r>
    </w:p>
    <w:p w14:paraId="4E9B77CA" w14:textId="77777777" w:rsidR="001C79C0" w:rsidRDefault="001C79C0" w:rsidP="001C79C0">
      <w:pPr>
        <w:rPr>
          <w:snapToGrid w:val="0"/>
        </w:rPr>
      </w:pPr>
    </w:p>
    <w:p w14:paraId="3D4F6A2F" w14:textId="77777777" w:rsidR="001C79C0" w:rsidRPr="00EF776D" w:rsidRDefault="001C79C0" w:rsidP="001C79C0">
      <w:pPr>
        <w:rPr>
          <w:snapToGrid w:val="0"/>
        </w:rPr>
      </w:pPr>
      <w:r>
        <w:rPr>
          <w:snapToGrid w:val="0"/>
        </w:rPr>
        <w:t xml:space="preserve">Note 2: Even though the responses to Section 9B are pre-populated, Section 9 must still be </w:t>
      </w:r>
      <w:r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Respond.”</w:t>
      </w:r>
    </w:p>
    <w:p w14:paraId="2AA952D6" w14:textId="77777777" w:rsidR="001C79C0" w:rsidRPr="00EF776D" w:rsidRDefault="001C79C0" w:rsidP="001C79C0">
      <w:pPr>
        <w:rPr>
          <w:snapToGrid w:val="0"/>
        </w:rPr>
      </w:pPr>
    </w:p>
    <w:p w14:paraId="3CDB9357" w14:textId="77777777" w:rsidR="001C79C0" w:rsidRDefault="001C79C0" w:rsidP="001C79C0">
      <w:pPr>
        <w:rPr>
          <w:b/>
          <w:snapToGrid w:val="0"/>
        </w:rPr>
      </w:pPr>
      <w:r w:rsidRPr="00A15EC6">
        <w:rPr>
          <w:snapToGrid w:val="0"/>
        </w:rPr>
        <w:t>Note 2</w:t>
      </w:r>
      <w:r>
        <w:rPr>
          <w:snapToGrid w:val="0"/>
        </w:rPr>
        <w:t>:</w:t>
      </w:r>
      <w:r>
        <w:rPr>
          <w:snapToGrid w:val="0"/>
          <w:color w:val="FF0000"/>
        </w:rPr>
        <w:t xml:space="preserve"> </w:t>
      </w:r>
      <w:r w:rsidRPr="00EF776D">
        <w:rPr>
          <w:snapToGrid w:val="0"/>
        </w:rPr>
        <w:t>Responses to this section will be automatically updated in July</w:t>
      </w:r>
      <w:r>
        <w:rPr>
          <w:snapToGrid w:val="0"/>
        </w:rPr>
        <w:t>,</w:t>
      </w:r>
      <w:r w:rsidRPr="00EF776D">
        <w:rPr>
          <w:snapToGrid w:val="0"/>
        </w:rPr>
        <w:t xml:space="preserve"> if and when CMS updates the Hospital Compare Website. Leapfrog will notify hospitals via email when the update occurs. </w:t>
      </w:r>
      <w:r w:rsidRPr="00632F96">
        <w:rPr>
          <w:b/>
          <w:snapToGrid w:val="0"/>
        </w:rPr>
        <w:t xml:space="preserve">Hospitals will need to log back into their survey, re-affirm this section, and re-submit their survey in order for these results to continue to be publicly reported and used in LHRP and for the purposes of determining Top Hospital. </w:t>
      </w:r>
    </w:p>
    <w:p w14:paraId="4EB041E7" w14:textId="77777777" w:rsidR="005454CA" w:rsidRPr="009D4EAF" w:rsidRDefault="005454CA" w:rsidP="00AC1A18">
      <w:pPr>
        <w:rPr>
          <w:b/>
        </w:rPr>
      </w:pPr>
    </w:p>
    <w:p w14:paraId="5ADD17D4" w14:textId="77777777" w:rsidR="009604C4" w:rsidRPr="005454CA" w:rsidRDefault="00AC1A18" w:rsidP="00AC1A18">
      <w:pPr>
        <w:rPr>
          <w:rFonts w:cs="Arial"/>
          <w:b/>
        </w:rPr>
      </w:pPr>
      <w:r>
        <w:rPr>
          <w:rFonts w:cs="Arial"/>
          <w:b/>
        </w:rPr>
        <w:br w:type="page"/>
      </w:r>
    </w:p>
    <w:p w14:paraId="6EE802D8" w14:textId="77777777" w:rsidR="004B2891" w:rsidRDefault="004B2891" w:rsidP="0028154C">
      <w:pPr>
        <w:pStyle w:val="BodyText3"/>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7200"/>
        <w:gridCol w:w="1804"/>
      </w:tblGrid>
      <w:tr w:rsidR="00954B73" w14:paraId="49FD1601" w14:textId="77777777" w:rsidTr="00C31AC3">
        <w:tc>
          <w:tcPr>
            <w:tcW w:w="9562" w:type="dxa"/>
            <w:gridSpan w:val="3"/>
            <w:tcBorders>
              <w:top w:val="single" w:sz="18" w:space="0" w:color="auto"/>
              <w:left w:val="nil"/>
              <w:right w:val="nil"/>
            </w:tcBorders>
          </w:tcPr>
          <w:p w14:paraId="033C0AEF" w14:textId="77777777" w:rsidR="00954B73" w:rsidRDefault="00954B73" w:rsidP="00954B73">
            <w:pPr>
              <w:pStyle w:val="Heading2"/>
              <w:ind w:left="-36"/>
            </w:pPr>
          </w:p>
          <w:p w14:paraId="7B348CF3" w14:textId="77777777" w:rsidR="00954B73" w:rsidRDefault="00954B73" w:rsidP="00954B73">
            <w:pPr>
              <w:pStyle w:val="Heading2"/>
              <w:ind w:left="-36"/>
            </w:pPr>
            <w:bookmarkStart w:id="327" w:name="_Toc447195088"/>
            <w:r>
              <w:t>9A CMS Participation</w:t>
            </w:r>
            <w:bookmarkEnd w:id="327"/>
            <w:r>
              <w:t xml:space="preserve"> </w:t>
            </w:r>
          </w:p>
          <w:p w14:paraId="2A102F8E" w14:textId="77777777" w:rsidR="00954B73" w:rsidRDefault="00954B73" w:rsidP="00954B73">
            <w:pPr>
              <w:pStyle w:val="Heading2"/>
              <w:ind w:left="-36"/>
            </w:pPr>
          </w:p>
        </w:tc>
      </w:tr>
      <w:tr w:rsidR="001E7469" w14:paraId="2F86DE92" w14:textId="77777777" w:rsidTr="00EB11FE">
        <w:tc>
          <w:tcPr>
            <w:tcW w:w="7758" w:type="dxa"/>
            <w:gridSpan w:val="2"/>
            <w:tcBorders>
              <w:top w:val="single" w:sz="4" w:space="0" w:color="auto"/>
            </w:tcBorders>
          </w:tcPr>
          <w:p w14:paraId="0D41FFC7" w14:textId="77777777" w:rsidR="001E7469" w:rsidRPr="00834F22" w:rsidRDefault="001E7469" w:rsidP="00ED58C1">
            <w:pPr>
              <w:pStyle w:val="ListParagraph"/>
              <w:numPr>
                <w:ilvl w:val="0"/>
                <w:numId w:val="23"/>
              </w:numPr>
              <w:spacing w:before="120"/>
              <w:rPr>
                <w:snapToGrid w:val="0"/>
                <w:color w:val="000000"/>
              </w:rPr>
            </w:pPr>
            <w:r w:rsidRPr="00834F22">
              <w:t xml:space="preserve">Does your hospital participate in the CMS Hospital Inpatient Quality Reporting Program or voluntarily participate in the CMS Readmissions Reduction Program? </w:t>
            </w:r>
            <w:r w:rsidRPr="00834F22">
              <w:br/>
            </w:r>
          </w:p>
          <w:p w14:paraId="37FE3FD9" w14:textId="77777777" w:rsidR="001E7469" w:rsidRPr="00834F22" w:rsidRDefault="001E7469" w:rsidP="008109A0">
            <w:pPr>
              <w:pStyle w:val="ListParagraph"/>
              <w:ind w:left="360"/>
              <w:rPr>
                <w:snapToGrid w:val="0"/>
                <w:color w:val="000000"/>
              </w:rPr>
            </w:pPr>
            <w:r w:rsidRPr="00834F22">
              <w:rPr>
                <w:i/>
              </w:rPr>
              <w:t xml:space="preserve">If </w:t>
            </w:r>
            <w:r w:rsidR="006F7407">
              <w:rPr>
                <w:i/>
              </w:rPr>
              <w:t>‘</w:t>
            </w:r>
            <w:r w:rsidRPr="00834F22">
              <w:rPr>
                <w:i/>
              </w:rPr>
              <w:t>no,</w:t>
            </w:r>
            <w:r w:rsidR="006F7407">
              <w:rPr>
                <w:i/>
              </w:rPr>
              <w:t>’</w:t>
            </w:r>
            <w:r w:rsidRPr="00834F22">
              <w:rPr>
                <w:i/>
              </w:rPr>
              <w:t xml:space="preserve"> skip remaining questions in Section 9; the hospital will be shown as “Does Not Apply.”</w:t>
            </w:r>
          </w:p>
          <w:p w14:paraId="2FE43768" w14:textId="77777777" w:rsidR="001E7469" w:rsidRPr="00834F22" w:rsidRDefault="001E7469" w:rsidP="00FE0E84">
            <w:pPr>
              <w:pStyle w:val="ListParagraph"/>
              <w:ind w:left="360"/>
              <w:rPr>
                <w:i/>
              </w:rPr>
            </w:pPr>
          </w:p>
          <w:p w14:paraId="612E66DF" w14:textId="77777777" w:rsidR="001E7469" w:rsidRPr="007534B3" w:rsidRDefault="001E7469" w:rsidP="00C7520B">
            <w:pPr>
              <w:pStyle w:val="ListParagraph"/>
              <w:spacing w:after="120"/>
              <w:ind w:left="360"/>
              <w:rPr>
                <w:snapToGrid w:val="0"/>
                <w:color w:val="000000"/>
              </w:rPr>
            </w:pPr>
            <w:r w:rsidRPr="00834F22">
              <w:rPr>
                <w:i/>
              </w:rPr>
              <w:t>Otherwise continue with question #2.</w:t>
            </w:r>
          </w:p>
        </w:tc>
        <w:tc>
          <w:tcPr>
            <w:tcW w:w="1804" w:type="dxa"/>
            <w:tcBorders>
              <w:top w:val="single" w:sz="4" w:space="0" w:color="auto"/>
              <w:left w:val="nil"/>
            </w:tcBorders>
            <w:vAlign w:val="center"/>
          </w:tcPr>
          <w:p w14:paraId="4C2D6DE6" w14:textId="77777777" w:rsidR="001E7469" w:rsidRDefault="001E7469" w:rsidP="00306B65">
            <w:pPr>
              <w:jc w:val="center"/>
              <w:rPr>
                <w:i/>
              </w:rPr>
            </w:pPr>
            <w:r>
              <w:rPr>
                <w:i/>
              </w:rPr>
              <w:t>Yes</w:t>
            </w:r>
          </w:p>
          <w:p w14:paraId="05DDF82F" w14:textId="77777777" w:rsidR="001E7469" w:rsidRDefault="001E7469" w:rsidP="000525C5">
            <w:pPr>
              <w:jc w:val="center"/>
              <w:rPr>
                <w:i/>
              </w:rPr>
            </w:pPr>
            <w:r>
              <w:rPr>
                <w:i/>
              </w:rPr>
              <w:t>No</w:t>
            </w:r>
          </w:p>
        </w:tc>
      </w:tr>
      <w:tr w:rsidR="001E7469" w14:paraId="23439C49" w14:textId="77777777" w:rsidTr="00EB11FE">
        <w:tc>
          <w:tcPr>
            <w:tcW w:w="7758" w:type="dxa"/>
            <w:gridSpan w:val="2"/>
          </w:tcPr>
          <w:p w14:paraId="6415430E" w14:textId="77777777" w:rsidR="001E7469" w:rsidRDefault="001E7469" w:rsidP="00ED58C1">
            <w:pPr>
              <w:numPr>
                <w:ilvl w:val="0"/>
                <w:numId w:val="23"/>
              </w:numPr>
              <w:spacing w:before="120"/>
            </w:pPr>
            <w:r>
              <w:t>Does your hospital share a Medicare Provider Number (MPN) with another facility, and therefore the data submitted and reported by CMS represents combined results for more than one facility?</w:t>
            </w:r>
          </w:p>
          <w:p w14:paraId="1EBA5CE2" w14:textId="77777777" w:rsidR="001E7469" w:rsidRDefault="001E7469" w:rsidP="00FE0E84">
            <w:pPr>
              <w:ind w:left="360"/>
            </w:pPr>
          </w:p>
          <w:p w14:paraId="6E8A1A0C" w14:textId="77777777" w:rsidR="001E7469" w:rsidRPr="00FE0E84" w:rsidRDefault="00C7520B" w:rsidP="00C7520B">
            <w:pPr>
              <w:spacing w:before="120" w:after="120"/>
              <w:ind w:left="360"/>
              <w:rPr>
                <w:i/>
              </w:rPr>
            </w:pPr>
            <w:r>
              <w:rPr>
                <w:i/>
              </w:rPr>
              <w:t>If “yes,” continue to question #3. If “no,” continue to the next section.</w:t>
            </w:r>
          </w:p>
        </w:tc>
        <w:tc>
          <w:tcPr>
            <w:tcW w:w="1804" w:type="dxa"/>
            <w:tcBorders>
              <w:left w:val="nil"/>
            </w:tcBorders>
            <w:vAlign w:val="center"/>
          </w:tcPr>
          <w:p w14:paraId="4316374B" w14:textId="77777777" w:rsidR="001E7469" w:rsidRDefault="001E7469" w:rsidP="00306B65">
            <w:pPr>
              <w:jc w:val="center"/>
              <w:rPr>
                <w:i/>
              </w:rPr>
            </w:pPr>
            <w:r>
              <w:rPr>
                <w:i/>
              </w:rPr>
              <w:t>Yes</w:t>
            </w:r>
          </w:p>
          <w:p w14:paraId="465418AE" w14:textId="77777777" w:rsidR="001E7469" w:rsidRDefault="001E7469" w:rsidP="000525C5">
            <w:pPr>
              <w:jc w:val="center"/>
              <w:rPr>
                <w:i/>
              </w:rPr>
            </w:pPr>
            <w:r>
              <w:rPr>
                <w:i/>
              </w:rPr>
              <w:t>No</w:t>
            </w:r>
          </w:p>
        </w:tc>
      </w:tr>
      <w:tr w:rsidR="001E7469" w:rsidRPr="00EF776D" w14:paraId="7A93DB36" w14:textId="77777777" w:rsidTr="00EB11FE">
        <w:tc>
          <w:tcPr>
            <w:tcW w:w="7758" w:type="dxa"/>
            <w:gridSpan w:val="2"/>
          </w:tcPr>
          <w:p w14:paraId="73CF6486" w14:textId="77777777" w:rsidR="00EB11FE" w:rsidRPr="00EF776D" w:rsidRDefault="00EB11FE" w:rsidP="00ED58C1">
            <w:pPr>
              <w:pStyle w:val="ListParagraph"/>
              <w:numPr>
                <w:ilvl w:val="0"/>
                <w:numId w:val="106"/>
              </w:numPr>
              <w:spacing w:before="120"/>
              <w:rPr>
                <w:rFonts w:cs="Arial"/>
                <w:color w:val="000000"/>
              </w:rPr>
            </w:pPr>
            <w:r w:rsidRPr="00EF776D">
              <w:rPr>
                <w:rFonts w:cs="Arial"/>
                <w:color w:val="000000"/>
              </w:rPr>
              <w:t xml:space="preserve">If you answered “yes,” to question #2 above to indicate that you share a Medicare Provider Number with another hospital, please indicate which conditions your hospital cares for and which procedures your hospital performs: </w:t>
            </w:r>
          </w:p>
          <w:p w14:paraId="765057DF" w14:textId="77777777" w:rsidR="00EB11FE" w:rsidRPr="00EF776D" w:rsidRDefault="00EB11FE" w:rsidP="00EB11FE">
            <w:pPr>
              <w:rPr>
                <w:rFonts w:cs="Arial"/>
                <w:color w:val="000000"/>
              </w:rPr>
            </w:pPr>
          </w:p>
        </w:tc>
        <w:tc>
          <w:tcPr>
            <w:tcW w:w="1804" w:type="dxa"/>
            <w:tcBorders>
              <w:left w:val="nil"/>
            </w:tcBorders>
            <w:vAlign w:val="center"/>
          </w:tcPr>
          <w:p w14:paraId="0347F522" w14:textId="77777777" w:rsidR="001E7469" w:rsidRPr="00EF776D" w:rsidRDefault="001E7469" w:rsidP="00306B65">
            <w:pPr>
              <w:jc w:val="center"/>
              <w:rPr>
                <w:i/>
              </w:rPr>
            </w:pPr>
          </w:p>
        </w:tc>
      </w:tr>
      <w:tr w:rsidR="001E7469" w:rsidRPr="00EF776D" w14:paraId="3336F1D6" w14:textId="77777777" w:rsidTr="00EB11FE">
        <w:tc>
          <w:tcPr>
            <w:tcW w:w="558" w:type="dxa"/>
          </w:tcPr>
          <w:p w14:paraId="154D99DD" w14:textId="6AA10B93" w:rsidR="001E7469" w:rsidRPr="00EF776D" w:rsidRDefault="00D40B73" w:rsidP="00361325">
            <w:pPr>
              <w:rPr>
                <w:rFonts w:cs="Arial"/>
                <w:color w:val="000000"/>
              </w:rPr>
            </w:pPr>
            <w:r>
              <w:rPr>
                <w:rFonts w:cs="Arial"/>
                <w:color w:val="000000"/>
              </w:rPr>
              <w:t>a)</w:t>
            </w:r>
          </w:p>
        </w:tc>
        <w:tc>
          <w:tcPr>
            <w:tcW w:w="7200" w:type="dxa"/>
          </w:tcPr>
          <w:p w14:paraId="5D146569" w14:textId="77777777" w:rsidR="001E7469" w:rsidRPr="00EF776D" w:rsidRDefault="00EB11FE" w:rsidP="00361325">
            <w:pPr>
              <w:rPr>
                <w:rFonts w:cs="Arial"/>
                <w:color w:val="000000"/>
              </w:rPr>
            </w:pPr>
            <w:r w:rsidRPr="00EF776D">
              <w:rPr>
                <w:rFonts w:cs="Arial"/>
                <w:color w:val="000000"/>
              </w:rPr>
              <w:t>Acute Myocardial Infarction (</w:t>
            </w:r>
            <w:r w:rsidR="001E7469" w:rsidRPr="00EF776D">
              <w:rPr>
                <w:rFonts w:cs="Arial"/>
                <w:color w:val="000000"/>
              </w:rPr>
              <w:t>AMI</w:t>
            </w:r>
            <w:r w:rsidRPr="00EF776D">
              <w:rPr>
                <w:rFonts w:cs="Arial"/>
                <w:color w:val="000000"/>
              </w:rPr>
              <w:t>)</w:t>
            </w:r>
            <w:r w:rsidR="001E7469" w:rsidRPr="00EF776D">
              <w:rPr>
                <w:rFonts w:cs="Arial"/>
                <w:color w:val="000000"/>
              </w:rPr>
              <w:t xml:space="preserve"> </w:t>
            </w:r>
          </w:p>
        </w:tc>
        <w:tc>
          <w:tcPr>
            <w:tcW w:w="1804" w:type="dxa"/>
            <w:tcBorders>
              <w:left w:val="nil"/>
            </w:tcBorders>
            <w:vAlign w:val="center"/>
          </w:tcPr>
          <w:p w14:paraId="72835AD6" w14:textId="77777777" w:rsidR="001E7469" w:rsidRPr="00EF776D" w:rsidRDefault="00EB11FE" w:rsidP="00306B65">
            <w:pPr>
              <w:jc w:val="center"/>
              <w:rPr>
                <w:i/>
              </w:rPr>
            </w:pPr>
            <w:r w:rsidRPr="00EF776D">
              <w:rPr>
                <w:i/>
              </w:rPr>
              <w:t>Yes</w:t>
            </w:r>
          </w:p>
          <w:p w14:paraId="3440C0F3" w14:textId="77777777" w:rsidR="00EB11FE" w:rsidRPr="00EF776D" w:rsidRDefault="00EB11FE" w:rsidP="00306B65">
            <w:pPr>
              <w:jc w:val="center"/>
              <w:rPr>
                <w:i/>
              </w:rPr>
            </w:pPr>
            <w:r w:rsidRPr="00EF776D">
              <w:rPr>
                <w:i/>
              </w:rPr>
              <w:t>No</w:t>
            </w:r>
          </w:p>
        </w:tc>
      </w:tr>
      <w:tr w:rsidR="001E7469" w:rsidRPr="00EF776D" w14:paraId="173D07AF" w14:textId="77777777" w:rsidTr="00EB11FE">
        <w:tc>
          <w:tcPr>
            <w:tcW w:w="558" w:type="dxa"/>
          </w:tcPr>
          <w:p w14:paraId="5DE86420" w14:textId="79E037DA" w:rsidR="001E7469" w:rsidRPr="00EF776D" w:rsidRDefault="00D40B73" w:rsidP="00361325">
            <w:pPr>
              <w:rPr>
                <w:rFonts w:cs="Arial"/>
                <w:color w:val="000000"/>
              </w:rPr>
            </w:pPr>
            <w:r>
              <w:rPr>
                <w:rFonts w:cs="Arial"/>
                <w:color w:val="000000"/>
              </w:rPr>
              <w:t>b)</w:t>
            </w:r>
            <w:r w:rsidR="001E7469" w:rsidRPr="00EF776D">
              <w:rPr>
                <w:rFonts w:cs="Arial"/>
                <w:color w:val="000000"/>
              </w:rPr>
              <w:t xml:space="preserve"> </w:t>
            </w:r>
          </w:p>
        </w:tc>
        <w:tc>
          <w:tcPr>
            <w:tcW w:w="7200" w:type="dxa"/>
          </w:tcPr>
          <w:p w14:paraId="3756011C" w14:textId="77777777" w:rsidR="001E7469" w:rsidRPr="00EF776D" w:rsidRDefault="001E7469" w:rsidP="00361325">
            <w:pPr>
              <w:rPr>
                <w:rFonts w:cs="Arial"/>
                <w:color w:val="000000"/>
              </w:rPr>
            </w:pPr>
            <w:r w:rsidRPr="00EF776D">
              <w:rPr>
                <w:rFonts w:cs="Arial"/>
                <w:color w:val="000000"/>
              </w:rPr>
              <w:t xml:space="preserve">Heart Failure </w:t>
            </w:r>
          </w:p>
        </w:tc>
        <w:tc>
          <w:tcPr>
            <w:tcW w:w="1804" w:type="dxa"/>
            <w:tcBorders>
              <w:left w:val="nil"/>
            </w:tcBorders>
            <w:vAlign w:val="center"/>
          </w:tcPr>
          <w:p w14:paraId="79754EB5" w14:textId="77777777" w:rsidR="00EB11FE" w:rsidRPr="00EF776D" w:rsidRDefault="00EB11FE" w:rsidP="00EB11FE">
            <w:pPr>
              <w:jc w:val="center"/>
              <w:rPr>
                <w:i/>
              </w:rPr>
            </w:pPr>
            <w:r w:rsidRPr="00EF776D">
              <w:rPr>
                <w:i/>
              </w:rPr>
              <w:t>Yes</w:t>
            </w:r>
          </w:p>
          <w:p w14:paraId="24597728" w14:textId="77777777" w:rsidR="001E7469" w:rsidRPr="00EF776D" w:rsidRDefault="00EB11FE" w:rsidP="00EB11FE">
            <w:pPr>
              <w:jc w:val="center"/>
              <w:rPr>
                <w:i/>
              </w:rPr>
            </w:pPr>
            <w:r w:rsidRPr="00EF776D">
              <w:rPr>
                <w:i/>
              </w:rPr>
              <w:t>No</w:t>
            </w:r>
          </w:p>
        </w:tc>
      </w:tr>
      <w:tr w:rsidR="001E7469" w:rsidRPr="00EF776D" w14:paraId="6661E28C" w14:textId="77777777" w:rsidTr="00EB11FE">
        <w:tc>
          <w:tcPr>
            <w:tcW w:w="558" w:type="dxa"/>
          </w:tcPr>
          <w:p w14:paraId="1B5C895C" w14:textId="22EB79BF" w:rsidR="001E7469" w:rsidRPr="00EF776D" w:rsidRDefault="00D40B73" w:rsidP="00361325">
            <w:pPr>
              <w:rPr>
                <w:rFonts w:cs="Arial"/>
                <w:color w:val="000000"/>
              </w:rPr>
            </w:pPr>
            <w:r>
              <w:rPr>
                <w:rFonts w:cs="Arial"/>
                <w:color w:val="000000"/>
              </w:rPr>
              <w:t>c)</w:t>
            </w:r>
          </w:p>
        </w:tc>
        <w:tc>
          <w:tcPr>
            <w:tcW w:w="7200" w:type="dxa"/>
          </w:tcPr>
          <w:p w14:paraId="480E5E85" w14:textId="77777777" w:rsidR="001E7469" w:rsidRPr="00EF776D" w:rsidRDefault="001E7469" w:rsidP="00361325">
            <w:pPr>
              <w:rPr>
                <w:rFonts w:cs="Arial"/>
                <w:color w:val="000000"/>
              </w:rPr>
            </w:pPr>
            <w:r w:rsidRPr="00EF776D">
              <w:rPr>
                <w:rFonts w:cs="Arial"/>
                <w:color w:val="000000"/>
              </w:rPr>
              <w:t>Pneumonia</w:t>
            </w:r>
          </w:p>
        </w:tc>
        <w:tc>
          <w:tcPr>
            <w:tcW w:w="1804" w:type="dxa"/>
            <w:tcBorders>
              <w:left w:val="nil"/>
            </w:tcBorders>
            <w:vAlign w:val="center"/>
          </w:tcPr>
          <w:p w14:paraId="6A4CF4D2" w14:textId="77777777" w:rsidR="00EB11FE" w:rsidRPr="00EF776D" w:rsidRDefault="00EB11FE" w:rsidP="00EB11FE">
            <w:pPr>
              <w:jc w:val="center"/>
              <w:rPr>
                <w:i/>
              </w:rPr>
            </w:pPr>
            <w:r w:rsidRPr="00EF776D">
              <w:rPr>
                <w:i/>
              </w:rPr>
              <w:t>Yes</w:t>
            </w:r>
          </w:p>
          <w:p w14:paraId="25591AB2" w14:textId="77777777" w:rsidR="001E7469" w:rsidRPr="00EF776D" w:rsidRDefault="00EB11FE" w:rsidP="00EB11FE">
            <w:pPr>
              <w:jc w:val="center"/>
              <w:rPr>
                <w:i/>
              </w:rPr>
            </w:pPr>
            <w:r w:rsidRPr="00EF776D">
              <w:rPr>
                <w:i/>
              </w:rPr>
              <w:t>No</w:t>
            </w:r>
          </w:p>
        </w:tc>
      </w:tr>
      <w:tr w:rsidR="001E7469" w:rsidRPr="00EF776D" w14:paraId="64312CFE" w14:textId="77777777" w:rsidTr="00EB11FE">
        <w:tc>
          <w:tcPr>
            <w:tcW w:w="558" w:type="dxa"/>
          </w:tcPr>
          <w:p w14:paraId="543D046D" w14:textId="286DDA1C" w:rsidR="001E7469" w:rsidRPr="00EF776D" w:rsidRDefault="00D40B73" w:rsidP="00F46997">
            <w:pPr>
              <w:rPr>
                <w:rFonts w:cs="Arial"/>
                <w:color w:val="000000"/>
              </w:rPr>
            </w:pPr>
            <w:r>
              <w:rPr>
                <w:rFonts w:cs="Arial"/>
                <w:color w:val="000000"/>
              </w:rPr>
              <w:t>d)</w:t>
            </w:r>
            <w:r w:rsidR="001E7469" w:rsidRPr="00EF776D">
              <w:rPr>
                <w:rFonts w:cs="Arial"/>
                <w:color w:val="000000"/>
              </w:rPr>
              <w:t xml:space="preserve"> </w:t>
            </w:r>
          </w:p>
        </w:tc>
        <w:tc>
          <w:tcPr>
            <w:tcW w:w="7200" w:type="dxa"/>
          </w:tcPr>
          <w:p w14:paraId="43DFB532" w14:textId="77777777" w:rsidR="001E7469" w:rsidRPr="00EF776D" w:rsidRDefault="00EB11FE" w:rsidP="00F46997">
            <w:pPr>
              <w:rPr>
                <w:rFonts w:cs="Arial"/>
                <w:color w:val="000000"/>
              </w:rPr>
            </w:pPr>
            <w:r w:rsidRPr="00EF776D">
              <w:rPr>
                <w:rFonts w:cs="Arial"/>
                <w:color w:val="000000"/>
              </w:rPr>
              <w:t>Chronic Obstructive Pulmonary Disease (</w:t>
            </w:r>
            <w:r w:rsidR="001E7469" w:rsidRPr="00EF776D">
              <w:rPr>
                <w:rFonts w:cs="Arial"/>
                <w:color w:val="000000"/>
              </w:rPr>
              <w:t>COPD</w:t>
            </w:r>
            <w:r w:rsidRPr="00EF776D">
              <w:rPr>
                <w:rFonts w:cs="Arial"/>
                <w:color w:val="000000"/>
              </w:rPr>
              <w:t>)</w:t>
            </w:r>
          </w:p>
        </w:tc>
        <w:tc>
          <w:tcPr>
            <w:tcW w:w="1804" w:type="dxa"/>
            <w:tcBorders>
              <w:left w:val="nil"/>
            </w:tcBorders>
            <w:vAlign w:val="center"/>
          </w:tcPr>
          <w:p w14:paraId="783712B5" w14:textId="77777777" w:rsidR="00EB11FE" w:rsidRPr="00EF776D" w:rsidRDefault="00EB11FE" w:rsidP="00EB11FE">
            <w:pPr>
              <w:jc w:val="center"/>
              <w:rPr>
                <w:i/>
              </w:rPr>
            </w:pPr>
            <w:r w:rsidRPr="00EF776D">
              <w:rPr>
                <w:i/>
              </w:rPr>
              <w:t>Yes</w:t>
            </w:r>
          </w:p>
          <w:p w14:paraId="73D597E5" w14:textId="77777777" w:rsidR="001E7469" w:rsidRPr="00EF776D" w:rsidRDefault="00EB11FE" w:rsidP="00EB11FE">
            <w:pPr>
              <w:jc w:val="center"/>
              <w:rPr>
                <w:i/>
              </w:rPr>
            </w:pPr>
            <w:r w:rsidRPr="00EF776D">
              <w:rPr>
                <w:i/>
              </w:rPr>
              <w:t>No</w:t>
            </w:r>
          </w:p>
        </w:tc>
      </w:tr>
      <w:tr w:rsidR="001E7469" w:rsidRPr="00EF776D" w14:paraId="56F52921" w14:textId="77777777" w:rsidTr="00EB11FE">
        <w:tc>
          <w:tcPr>
            <w:tcW w:w="558" w:type="dxa"/>
          </w:tcPr>
          <w:p w14:paraId="4D97EF67" w14:textId="7483DE6B" w:rsidR="001E7469" w:rsidRPr="00EF776D" w:rsidRDefault="00D40B73" w:rsidP="00F46997">
            <w:pPr>
              <w:rPr>
                <w:rFonts w:cs="Arial"/>
                <w:color w:val="000000"/>
              </w:rPr>
            </w:pPr>
            <w:r>
              <w:rPr>
                <w:rFonts w:cs="Arial"/>
                <w:color w:val="000000"/>
              </w:rPr>
              <w:t>e)</w:t>
            </w:r>
            <w:r w:rsidR="001E7469" w:rsidRPr="00EF776D">
              <w:rPr>
                <w:rFonts w:cs="Arial"/>
                <w:color w:val="000000"/>
              </w:rPr>
              <w:t xml:space="preserve"> </w:t>
            </w:r>
          </w:p>
        </w:tc>
        <w:tc>
          <w:tcPr>
            <w:tcW w:w="7200" w:type="dxa"/>
          </w:tcPr>
          <w:p w14:paraId="58C8282B" w14:textId="77777777" w:rsidR="001E7469" w:rsidRPr="00EF776D" w:rsidRDefault="001E7469" w:rsidP="00F46997">
            <w:pPr>
              <w:rPr>
                <w:rFonts w:cs="Arial"/>
                <w:color w:val="000000"/>
              </w:rPr>
            </w:pPr>
            <w:r w:rsidRPr="00EF776D">
              <w:rPr>
                <w:rFonts w:cs="Arial"/>
                <w:color w:val="000000"/>
              </w:rPr>
              <w:t xml:space="preserve">Hip/Knee </w:t>
            </w:r>
            <w:r w:rsidR="00EB11FE" w:rsidRPr="00EF776D">
              <w:rPr>
                <w:rFonts w:cs="Arial"/>
                <w:color w:val="000000"/>
              </w:rPr>
              <w:t>Arthroplasty</w:t>
            </w:r>
          </w:p>
        </w:tc>
        <w:tc>
          <w:tcPr>
            <w:tcW w:w="1804" w:type="dxa"/>
            <w:tcBorders>
              <w:left w:val="nil"/>
            </w:tcBorders>
            <w:vAlign w:val="center"/>
          </w:tcPr>
          <w:p w14:paraId="11B9ED17" w14:textId="77777777" w:rsidR="00EB11FE" w:rsidRPr="00EF776D" w:rsidRDefault="00EB11FE" w:rsidP="00EB11FE">
            <w:pPr>
              <w:jc w:val="center"/>
              <w:rPr>
                <w:i/>
              </w:rPr>
            </w:pPr>
            <w:r w:rsidRPr="00EF776D">
              <w:rPr>
                <w:i/>
              </w:rPr>
              <w:t>Yes</w:t>
            </w:r>
          </w:p>
          <w:p w14:paraId="24C93B50" w14:textId="77777777" w:rsidR="001E7469" w:rsidRPr="00EF776D" w:rsidRDefault="00EB11FE" w:rsidP="00EB11FE">
            <w:pPr>
              <w:jc w:val="center"/>
              <w:rPr>
                <w:i/>
              </w:rPr>
            </w:pPr>
            <w:r w:rsidRPr="00EF776D">
              <w:rPr>
                <w:i/>
              </w:rPr>
              <w:t>No</w:t>
            </w:r>
          </w:p>
        </w:tc>
      </w:tr>
      <w:tr w:rsidR="001E7469" w14:paraId="0E60F3CA" w14:textId="77777777" w:rsidTr="00EB11FE">
        <w:tc>
          <w:tcPr>
            <w:tcW w:w="558" w:type="dxa"/>
          </w:tcPr>
          <w:p w14:paraId="5019481F" w14:textId="77777777" w:rsidR="001E7469" w:rsidRDefault="00D40B73" w:rsidP="00361325">
            <w:pPr>
              <w:rPr>
                <w:rFonts w:cs="Arial"/>
                <w:color w:val="000000"/>
              </w:rPr>
            </w:pPr>
            <w:r>
              <w:rPr>
                <w:rFonts w:cs="Arial"/>
                <w:color w:val="000000"/>
              </w:rPr>
              <w:t>f)</w:t>
            </w:r>
          </w:p>
          <w:p w14:paraId="1637B241" w14:textId="354223EF" w:rsidR="00624D83" w:rsidRPr="00EF776D" w:rsidRDefault="00624D83" w:rsidP="00361325">
            <w:pPr>
              <w:rPr>
                <w:rFonts w:cs="Arial"/>
                <w:color w:val="000000"/>
              </w:rPr>
            </w:pPr>
          </w:p>
        </w:tc>
        <w:tc>
          <w:tcPr>
            <w:tcW w:w="7200" w:type="dxa"/>
          </w:tcPr>
          <w:p w14:paraId="71BE243A" w14:textId="77777777" w:rsidR="001E7469" w:rsidRPr="00EF776D" w:rsidRDefault="00EB11FE" w:rsidP="00361325">
            <w:pPr>
              <w:rPr>
                <w:rFonts w:cs="Arial"/>
                <w:color w:val="000000"/>
              </w:rPr>
            </w:pPr>
            <w:r w:rsidRPr="00EF776D">
              <w:rPr>
                <w:rFonts w:cs="Arial"/>
                <w:color w:val="000000"/>
              </w:rPr>
              <w:t>Coronary Artery Bypass Graft (</w:t>
            </w:r>
            <w:r w:rsidR="001E7469" w:rsidRPr="00EF776D">
              <w:rPr>
                <w:rFonts w:cs="Arial"/>
                <w:color w:val="000000"/>
              </w:rPr>
              <w:t>CABG</w:t>
            </w:r>
            <w:r w:rsidRPr="00EF776D">
              <w:rPr>
                <w:rFonts w:cs="Arial"/>
                <w:color w:val="000000"/>
              </w:rPr>
              <w:t>)</w:t>
            </w:r>
            <w:r w:rsidR="001E7469" w:rsidRPr="00EF776D">
              <w:rPr>
                <w:rFonts w:cs="Arial"/>
                <w:color w:val="000000"/>
              </w:rPr>
              <w:t xml:space="preserve"> </w:t>
            </w:r>
          </w:p>
        </w:tc>
        <w:tc>
          <w:tcPr>
            <w:tcW w:w="1804" w:type="dxa"/>
            <w:tcBorders>
              <w:left w:val="nil"/>
            </w:tcBorders>
            <w:vAlign w:val="center"/>
          </w:tcPr>
          <w:p w14:paraId="2680C340" w14:textId="77777777" w:rsidR="00EB11FE" w:rsidRPr="00EF776D" w:rsidRDefault="00EB11FE" w:rsidP="00EB11FE">
            <w:pPr>
              <w:jc w:val="center"/>
              <w:rPr>
                <w:i/>
              </w:rPr>
            </w:pPr>
            <w:r w:rsidRPr="00EF776D">
              <w:rPr>
                <w:i/>
              </w:rPr>
              <w:t>Yes</w:t>
            </w:r>
          </w:p>
          <w:p w14:paraId="34CF4398" w14:textId="77777777" w:rsidR="001E7469" w:rsidRPr="00EF776D" w:rsidRDefault="00EB11FE" w:rsidP="00EB11FE">
            <w:pPr>
              <w:jc w:val="center"/>
              <w:rPr>
                <w:i/>
              </w:rPr>
            </w:pPr>
            <w:r w:rsidRPr="00EF776D">
              <w:rPr>
                <w:i/>
              </w:rPr>
              <w:t>No</w:t>
            </w:r>
          </w:p>
        </w:tc>
      </w:tr>
    </w:tbl>
    <w:p w14:paraId="3875507E" w14:textId="77777777" w:rsidR="004B2891" w:rsidRDefault="004B2891" w:rsidP="0028154C">
      <w:pPr>
        <w:pStyle w:val="BodyText3"/>
      </w:pPr>
    </w:p>
    <w:p w14:paraId="079DCFE3" w14:textId="77777777" w:rsidR="007F3F62" w:rsidRDefault="007F3F62">
      <w:pPr>
        <w:rPr>
          <w:color w:val="000000"/>
        </w:rPr>
      </w:pPr>
      <w:r>
        <w:br w:type="page"/>
      </w:r>
    </w:p>
    <w:tbl>
      <w:tblPr>
        <w:tblStyle w:val="TableGrid"/>
        <w:tblW w:w="0" w:type="auto"/>
        <w:tblLook w:val="04A0" w:firstRow="1" w:lastRow="0" w:firstColumn="1" w:lastColumn="0" w:noHBand="0" w:noVBand="1"/>
      </w:tblPr>
      <w:tblGrid>
        <w:gridCol w:w="7252"/>
        <w:gridCol w:w="2108"/>
      </w:tblGrid>
      <w:tr w:rsidR="00C8556D" w14:paraId="2DB9B93A" w14:textId="77777777" w:rsidTr="004403B5">
        <w:tc>
          <w:tcPr>
            <w:tcW w:w="9360" w:type="dxa"/>
            <w:gridSpan w:val="2"/>
            <w:tcBorders>
              <w:top w:val="nil"/>
              <w:left w:val="nil"/>
              <w:bottom w:val="nil"/>
              <w:right w:val="nil"/>
            </w:tcBorders>
          </w:tcPr>
          <w:p w14:paraId="4C3CF056" w14:textId="77777777" w:rsidR="00C8556D" w:rsidRPr="00B90584" w:rsidRDefault="00B90584" w:rsidP="00954B73">
            <w:pPr>
              <w:pStyle w:val="Heading2"/>
            </w:pPr>
            <w:bookmarkStart w:id="328" w:name="_9B_Readmission_for"/>
            <w:bookmarkStart w:id="329" w:name="_Toc447195089"/>
            <w:bookmarkEnd w:id="328"/>
            <w:r w:rsidRPr="00F449DF">
              <w:lastRenderedPageBreak/>
              <w:t xml:space="preserve">9B </w:t>
            </w:r>
            <w:r w:rsidR="005C01D6" w:rsidRPr="00F449DF">
              <w:t>Readmission</w:t>
            </w:r>
            <w:r w:rsidR="00CB7522" w:rsidRPr="00F449DF">
              <w:t xml:space="preserve"> for Common Acute Conditions</w:t>
            </w:r>
            <w:r w:rsidR="005C01D6" w:rsidRPr="00F449DF">
              <w:t xml:space="preserve"> and Procedures</w:t>
            </w:r>
            <w:bookmarkEnd w:id="329"/>
          </w:p>
          <w:p w14:paraId="58DCE7E9" w14:textId="77777777" w:rsidR="00C8556D" w:rsidRPr="00C8556D" w:rsidRDefault="00C8556D" w:rsidP="00954B73">
            <w:pPr>
              <w:pStyle w:val="Heading2"/>
            </w:pPr>
          </w:p>
        </w:tc>
      </w:tr>
      <w:tr w:rsidR="002B39A7" w14:paraId="41903144" w14:textId="77777777" w:rsidTr="004403B5">
        <w:tc>
          <w:tcPr>
            <w:tcW w:w="9360" w:type="dxa"/>
            <w:gridSpan w:val="2"/>
            <w:tcBorders>
              <w:top w:val="nil"/>
              <w:left w:val="nil"/>
              <w:right w:val="nil"/>
            </w:tcBorders>
          </w:tcPr>
          <w:p w14:paraId="4903A8E8" w14:textId="77777777" w:rsidR="004F3AC5" w:rsidRDefault="005C01D6" w:rsidP="00CB7522">
            <w:pPr>
              <w:rPr>
                <w:snapToGrid w:val="0"/>
                <w:color w:val="FF0000"/>
              </w:rPr>
            </w:pPr>
            <w:r w:rsidRPr="00EF776D">
              <w:rPr>
                <w:b/>
                <w:snapToGrid w:val="0"/>
                <w:color w:val="FF0000"/>
              </w:rPr>
              <w:t xml:space="preserve">Important </w:t>
            </w:r>
            <w:r w:rsidR="002B39A7" w:rsidRPr="00EF776D">
              <w:rPr>
                <w:b/>
                <w:snapToGrid w:val="0"/>
                <w:color w:val="FF0000"/>
              </w:rPr>
              <w:t>Note</w:t>
            </w:r>
            <w:r w:rsidR="004F3AC5">
              <w:rPr>
                <w:b/>
                <w:snapToGrid w:val="0"/>
                <w:color w:val="FF0000"/>
              </w:rPr>
              <w:t>s</w:t>
            </w:r>
            <w:r w:rsidR="002B39A7" w:rsidRPr="00EF776D">
              <w:rPr>
                <w:b/>
                <w:snapToGrid w:val="0"/>
                <w:color w:val="FF0000"/>
              </w:rPr>
              <w:t>:</w:t>
            </w:r>
            <w:r w:rsidR="002B39A7" w:rsidRPr="00EF776D">
              <w:rPr>
                <w:snapToGrid w:val="0"/>
                <w:color w:val="FF0000"/>
              </w:rPr>
              <w:t xml:space="preserve"> </w:t>
            </w:r>
          </w:p>
          <w:p w14:paraId="2C73A705" w14:textId="77777777" w:rsidR="004F3AC5" w:rsidRDefault="004F3AC5" w:rsidP="00CB7522">
            <w:pPr>
              <w:rPr>
                <w:snapToGrid w:val="0"/>
                <w:color w:val="FF0000"/>
              </w:rPr>
            </w:pPr>
          </w:p>
          <w:p w14:paraId="6BDB4361" w14:textId="77777777" w:rsidR="001C79C0" w:rsidRDefault="004F3AC5" w:rsidP="00CB7522">
            <w:pPr>
              <w:rPr>
                <w:snapToGrid w:val="0"/>
              </w:rPr>
            </w:pPr>
            <w:r w:rsidRPr="00A15EC6">
              <w:rPr>
                <w:snapToGrid w:val="0"/>
              </w:rPr>
              <w:t>Note 1:</w:t>
            </w:r>
            <w:r>
              <w:rPr>
                <w:snapToGrid w:val="0"/>
              </w:rPr>
              <w:t xml:space="preserve"> </w:t>
            </w:r>
            <w:r w:rsidR="005C01D6" w:rsidRPr="00EF776D">
              <w:rPr>
                <w:snapToGrid w:val="0"/>
              </w:rPr>
              <w:t>Responses</w:t>
            </w:r>
            <w:r w:rsidR="004C2D6D">
              <w:rPr>
                <w:snapToGrid w:val="0"/>
              </w:rPr>
              <w:t xml:space="preserve"> to Section 9B</w:t>
            </w:r>
            <w:r w:rsidR="00CB7522" w:rsidRPr="00EF776D">
              <w:rPr>
                <w:snapToGrid w:val="0"/>
              </w:rPr>
              <w:t xml:space="preserve"> are pre-populated </w:t>
            </w:r>
            <w:r w:rsidR="005C01D6" w:rsidRPr="00EF776D">
              <w:rPr>
                <w:snapToGrid w:val="0"/>
              </w:rPr>
              <w:t xml:space="preserve">in the online survey tool </w:t>
            </w:r>
            <w:r w:rsidR="00CB7522" w:rsidRPr="00EF776D">
              <w:rPr>
                <w:snapToGrid w:val="0"/>
              </w:rPr>
              <w:t xml:space="preserve">based on information published by CMS on the </w:t>
            </w:r>
            <w:r w:rsidR="00E47528" w:rsidRPr="00EF776D">
              <w:rPr>
                <w:snapToGrid w:val="0"/>
              </w:rPr>
              <w:t>Hospital</w:t>
            </w:r>
            <w:r w:rsidR="00CB7522" w:rsidRPr="00EF776D">
              <w:rPr>
                <w:snapToGrid w:val="0"/>
              </w:rPr>
              <w:t xml:space="preserve"> Compare Website</w:t>
            </w:r>
            <w:r w:rsidR="004604C1">
              <w:rPr>
                <w:snapToGrid w:val="0"/>
              </w:rPr>
              <w:t xml:space="preserve"> for your hospital’s Medicare Provider Number</w:t>
            </w:r>
            <w:r w:rsidR="00CB7522" w:rsidRPr="00EF776D">
              <w:rPr>
                <w:snapToGrid w:val="0"/>
              </w:rPr>
              <w:t>.</w:t>
            </w:r>
            <w:r w:rsidR="001C79C0">
              <w:rPr>
                <w:snapToGrid w:val="0"/>
              </w:rPr>
              <w:t xml:space="preserve"> If the Medicare Provider Number displayed in the Hospital Profile has changed or is not correct, please contact the Help Desk immediately. </w:t>
            </w:r>
            <w:r w:rsidR="00CB7522" w:rsidRPr="00EF776D">
              <w:rPr>
                <w:snapToGrid w:val="0"/>
              </w:rPr>
              <w:t xml:space="preserve"> </w:t>
            </w:r>
          </w:p>
          <w:p w14:paraId="55B4D4E7" w14:textId="77777777" w:rsidR="001C79C0" w:rsidRDefault="001C79C0" w:rsidP="00CB7522">
            <w:pPr>
              <w:rPr>
                <w:snapToGrid w:val="0"/>
              </w:rPr>
            </w:pPr>
          </w:p>
          <w:p w14:paraId="155874B7" w14:textId="77777777" w:rsidR="002B39A7" w:rsidRPr="00EF776D" w:rsidRDefault="001C79C0" w:rsidP="00CB7522">
            <w:pPr>
              <w:rPr>
                <w:snapToGrid w:val="0"/>
              </w:rPr>
            </w:pPr>
            <w:r>
              <w:rPr>
                <w:snapToGrid w:val="0"/>
              </w:rPr>
              <w:t xml:space="preserve">Note 2: Even though the responses to Section 9B are pre-populated, Section 9 must still be </w:t>
            </w:r>
            <w:r w:rsidR="00CB7522"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Respond.”</w:t>
            </w:r>
          </w:p>
          <w:p w14:paraId="7D825F4D" w14:textId="77777777" w:rsidR="00CB7522" w:rsidRPr="00EF776D" w:rsidRDefault="00CB7522" w:rsidP="00CB7522">
            <w:pPr>
              <w:rPr>
                <w:snapToGrid w:val="0"/>
              </w:rPr>
            </w:pPr>
          </w:p>
          <w:p w14:paraId="0D8F107A" w14:textId="77777777" w:rsidR="001C79C0" w:rsidRDefault="004F3AC5" w:rsidP="00CB7522">
            <w:pPr>
              <w:rPr>
                <w:b/>
                <w:snapToGrid w:val="0"/>
              </w:rPr>
            </w:pPr>
            <w:r w:rsidRPr="00A15EC6">
              <w:rPr>
                <w:snapToGrid w:val="0"/>
              </w:rPr>
              <w:t>Note 2</w:t>
            </w:r>
            <w:r w:rsidR="00E70F03">
              <w:rPr>
                <w:snapToGrid w:val="0"/>
              </w:rPr>
              <w:t>:</w:t>
            </w:r>
            <w:r>
              <w:rPr>
                <w:snapToGrid w:val="0"/>
                <w:color w:val="FF0000"/>
              </w:rPr>
              <w:t xml:space="preserve"> </w:t>
            </w:r>
            <w:r w:rsidR="00CB7522" w:rsidRPr="00EF776D">
              <w:rPr>
                <w:snapToGrid w:val="0"/>
              </w:rPr>
              <w:t>Responses to this section will be automatically updated in July</w:t>
            </w:r>
            <w:r w:rsidR="001C79C0">
              <w:rPr>
                <w:snapToGrid w:val="0"/>
              </w:rPr>
              <w:t>,</w:t>
            </w:r>
            <w:r w:rsidR="00CB7522" w:rsidRPr="00EF776D">
              <w:rPr>
                <w:snapToGrid w:val="0"/>
              </w:rPr>
              <w:t xml:space="preserve"> </w:t>
            </w:r>
            <w:r w:rsidR="004A33D4" w:rsidRPr="00EF776D">
              <w:rPr>
                <w:snapToGrid w:val="0"/>
              </w:rPr>
              <w:t xml:space="preserve">if and </w:t>
            </w:r>
            <w:r w:rsidR="00CB7522" w:rsidRPr="00EF776D">
              <w:rPr>
                <w:snapToGrid w:val="0"/>
              </w:rPr>
              <w:t>when CMS updates the Hospital Compare Website.</w:t>
            </w:r>
            <w:r w:rsidR="005C01D6" w:rsidRPr="00EF776D">
              <w:rPr>
                <w:snapToGrid w:val="0"/>
              </w:rPr>
              <w:t xml:space="preserve"> Leapfrog will notify hospitals via email when the update occurs. </w:t>
            </w:r>
            <w:r w:rsidR="005C01D6" w:rsidRPr="00632F96">
              <w:rPr>
                <w:b/>
                <w:snapToGrid w:val="0"/>
              </w:rPr>
              <w:t>Hospitals will need to log back into their survey, re-affirm this section, and re-submit their survey in order for these results to continue to be publicly reported and used in LHRP</w:t>
            </w:r>
            <w:r w:rsidR="004A33D4" w:rsidRPr="00632F96">
              <w:rPr>
                <w:b/>
                <w:snapToGrid w:val="0"/>
              </w:rPr>
              <w:t xml:space="preserve"> and for the purposes of determining Top Hospital</w:t>
            </w:r>
            <w:r w:rsidR="005C01D6" w:rsidRPr="00632F96">
              <w:rPr>
                <w:b/>
                <w:snapToGrid w:val="0"/>
              </w:rPr>
              <w:t xml:space="preserve">. </w:t>
            </w:r>
          </w:p>
          <w:p w14:paraId="4477C367" w14:textId="77777777" w:rsidR="001C79C0" w:rsidRPr="00EF776D" w:rsidRDefault="001C79C0" w:rsidP="001C79C0">
            <w:pPr>
              <w:rPr>
                <w:b/>
                <w:sz w:val="24"/>
                <w:szCs w:val="24"/>
              </w:rPr>
            </w:pPr>
          </w:p>
        </w:tc>
      </w:tr>
      <w:tr w:rsidR="00CB7522" w14:paraId="271CD80B" w14:textId="77777777" w:rsidTr="0029713D">
        <w:tc>
          <w:tcPr>
            <w:tcW w:w="7252" w:type="dxa"/>
            <w:vAlign w:val="center"/>
          </w:tcPr>
          <w:p w14:paraId="53BED84A" w14:textId="77777777" w:rsidR="00CB7522" w:rsidRDefault="00CB7522" w:rsidP="00ED58C1">
            <w:pPr>
              <w:pStyle w:val="BodyText3"/>
              <w:numPr>
                <w:ilvl w:val="0"/>
                <w:numId w:val="24"/>
              </w:numPr>
            </w:pPr>
            <w:r>
              <w:t>T</w:t>
            </w:r>
            <w:r w:rsidRPr="00117814">
              <w:t>he latest 36-month repor</w:t>
            </w:r>
            <w:r>
              <w:t>ting period for CMS ending</w:t>
            </w:r>
            <w:r w:rsidR="007252FC">
              <w:t>:</w:t>
            </w:r>
          </w:p>
          <w:p w14:paraId="5B7C7FE0" w14:textId="77777777" w:rsidR="00CB7522" w:rsidRDefault="00CB7522" w:rsidP="00614016">
            <w:pPr>
              <w:pStyle w:val="BodyText3"/>
              <w:ind w:left="360"/>
            </w:pPr>
          </w:p>
          <w:p w14:paraId="52428AEB" w14:textId="77777777" w:rsidR="00CB7522" w:rsidRPr="00681B89" w:rsidRDefault="00CB7522" w:rsidP="00614016">
            <w:pPr>
              <w:pStyle w:val="BodyText3"/>
              <w:ind w:left="360"/>
              <w:rPr>
                <w:i/>
              </w:rPr>
            </w:pPr>
            <w:r w:rsidRPr="00681B89">
              <w:rPr>
                <w:i/>
              </w:rPr>
              <w:t>(Reporting periods for measure</w:t>
            </w:r>
            <w:r>
              <w:rPr>
                <w:i/>
              </w:rPr>
              <w:t>s</w:t>
            </w:r>
            <w:r w:rsidRPr="00681B89">
              <w:rPr>
                <w:i/>
              </w:rPr>
              <w:t xml:space="preserve"> published on Hospital Compare can be found at: </w:t>
            </w:r>
            <w:hyperlink r:id="rId203" w:history="1">
              <w:r w:rsidRPr="00681B89">
                <w:rPr>
                  <w:rStyle w:val="Hyperlink"/>
                  <w:i/>
                </w:rPr>
                <w:t>http://www.medicare.gov/hospitalcompare/Data/Data-Updated.html</w:t>
              </w:r>
            </w:hyperlink>
            <w:r w:rsidRPr="00681B89">
              <w:rPr>
                <w:i/>
              </w:rPr>
              <w:t xml:space="preserve">). </w:t>
            </w:r>
          </w:p>
        </w:tc>
        <w:tc>
          <w:tcPr>
            <w:tcW w:w="2108" w:type="dxa"/>
            <w:shd w:val="clear" w:color="auto" w:fill="D9D9D9" w:themeFill="background1" w:themeFillShade="D9"/>
          </w:tcPr>
          <w:p w14:paraId="5DD82B57" w14:textId="77777777" w:rsidR="00CB7522" w:rsidRDefault="00CB7522" w:rsidP="00614016">
            <w:pPr>
              <w:pStyle w:val="BodyText3"/>
            </w:pPr>
          </w:p>
          <w:p w14:paraId="49039DDE" w14:textId="77777777" w:rsidR="00CB7522" w:rsidRDefault="00CB7522" w:rsidP="0029713D">
            <w:pPr>
              <w:pStyle w:val="BodyText3"/>
              <w:shd w:val="clear" w:color="auto" w:fill="D9D9D9" w:themeFill="background1" w:themeFillShade="D9"/>
            </w:pPr>
          </w:p>
          <w:p w14:paraId="2ACC31C1" w14:textId="77777777" w:rsidR="00CB7522" w:rsidRDefault="00CB7522" w:rsidP="0029713D">
            <w:pPr>
              <w:pStyle w:val="BodyText3"/>
              <w:shd w:val="clear" w:color="auto" w:fill="D9D9D9" w:themeFill="background1" w:themeFillShade="D9"/>
              <w:jc w:val="center"/>
            </w:pPr>
            <w:r>
              <w:t>_ _/_ _/_ _ _ _</w:t>
            </w:r>
          </w:p>
          <w:p w14:paraId="769D865D" w14:textId="77777777" w:rsidR="0029713D" w:rsidRPr="0029713D" w:rsidRDefault="0029713D" w:rsidP="0029713D">
            <w:pPr>
              <w:pStyle w:val="BodyText3"/>
              <w:shd w:val="clear" w:color="auto" w:fill="D9D9D9" w:themeFill="background1" w:themeFillShade="D9"/>
              <w:jc w:val="center"/>
              <w:rPr>
                <w:i/>
                <w:sz w:val="16"/>
                <w:szCs w:val="16"/>
              </w:rPr>
            </w:pPr>
            <w:r>
              <w:rPr>
                <w:i/>
                <w:sz w:val="16"/>
                <w:szCs w:val="16"/>
              </w:rPr>
              <w:t>Format: MM/DD/YYYY</w:t>
            </w:r>
          </w:p>
          <w:p w14:paraId="1438820B" w14:textId="77777777" w:rsidR="0029713D" w:rsidRPr="0029713D" w:rsidRDefault="0029713D" w:rsidP="0029713D">
            <w:pPr>
              <w:pStyle w:val="BodyText3"/>
              <w:shd w:val="clear" w:color="auto" w:fill="D9D9D9" w:themeFill="background1" w:themeFillShade="D9"/>
              <w:jc w:val="center"/>
              <w:rPr>
                <w:i/>
                <w:sz w:val="16"/>
                <w:szCs w:val="16"/>
              </w:rPr>
            </w:pPr>
            <w:r w:rsidRPr="0029713D">
              <w:rPr>
                <w:i/>
                <w:sz w:val="16"/>
                <w:szCs w:val="16"/>
              </w:rPr>
              <w:t>(Will be populated in online survey tool)</w:t>
            </w:r>
          </w:p>
          <w:p w14:paraId="56E194F8" w14:textId="77777777" w:rsidR="00CB7522" w:rsidRDefault="00CB7522" w:rsidP="00614016">
            <w:pPr>
              <w:pStyle w:val="BodyText3"/>
              <w:jc w:val="center"/>
            </w:pPr>
          </w:p>
        </w:tc>
      </w:tr>
      <w:tr w:rsidR="00E114CB" w14:paraId="590436DD" w14:textId="77777777" w:rsidTr="004403B5">
        <w:tc>
          <w:tcPr>
            <w:tcW w:w="7252" w:type="dxa"/>
            <w:vAlign w:val="center"/>
          </w:tcPr>
          <w:p w14:paraId="1898F1B2" w14:textId="77777777" w:rsidR="00E114CB" w:rsidRPr="00E114CB" w:rsidRDefault="00E114CB" w:rsidP="00E114CB">
            <w:pPr>
              <w:pStyle w:val="BodyText3"/>
              <w:rPr>
                <w:b/>
              </w:rPr>
            </w:pPr>
            <w:r w:rsidRPr="00E114CB">
              <w:rPr>
                <w:b/>
              </w:rPr>
              <w:t>A</w:t>
            </w:r>
            <w:r w:rsidR="00D51805">
              <w:rPr>
                <w:b/>
              </w:rPr>
              <w:t xml:space="preserve">cute </w:t>
            </w:r>
            <w:r w:rsidRPr="00E114CB">
              <w:rPr>
                <w:b/>
              </w:rPr>
              <w:t>M</w:t>
            </w:r>
            <w:r w:rsidR="00D51805">
              <w:rPr>
                <w:b/>
              </w:rPr>
              <w:t xml:space="preserve">yocardial </w:t>
            </w:r>
            <w:r w:rsidRPr="00E114CB">
              <w:rPr>
                <w:b/>
              </w:rPr>
              <w:t>I</w:t>
            </w:r>
            <w:r w:rsidR="00D51805">
              <w:rPr>
                <w:b/>
              </w:rPr>
              <w:t>nfarction (AMI)</w:t>
            </w:r>
          </w:p>
        </w:tc>
        <w:tc>
          <w:tcPr>
            <w:tcW w:w="2108" w:type="dxa"/>
          </w:tcPr>
          <w:p w14:paraId="3E7CE905" w14:textId="77777777" w:rsidR="00E114CB" w:rsidRDefault="00E114CB" w:rsidP="00614016">
            <w:pPr>
              <w:pStyle w:val="BodyText3"/>
            </w:pPr>
          </w:p>
        </w:tc>
      </w:tr>
      <w:tr w:rsidR="00CB7522" w14:paraId="38F22844" w14:textId="77777777" w:rsidTr="004403B5">
        <w:tc>
          <w:tcPr>
            <w:tcW w:w="7252" w:type="dxa"/>
          </w:tcPr>
          <w:p w14:paraId="11B99228" w14:textId="77777777" w:rsidR="009C53AC" w:rsidRPr="009C53AC" w:rsidRDefault="00CB7522" w:rsidP="00ED58C1">
            <w:pPr>
              <w:pStyle w:val="BodyText3"/>
              <w:numPr>
                <w:ilvl w:val="0"/>
                <w:numId w:val="24"/>
              </w:numPr>
              <w:rPr>
                <w:b/>
              </w:rPr>
            </w:pPr>
            <w:r>
              <w:t xml:space="preserve">Number of AMI cases reported </w:t>
            </w:r>
            <w:r w:rsidRPr="00EB4839">
              <w:t xml:space="preserve">by CMS </w:t>
            </w:r>
            <w:r>
              <w:t>for your hospital</w:t>
            </w:r>
            <w:r w:rsidR="009C53AC">
              <w:t>.</w:t>
            </w:r>
            <w:r>
              <w:t xml:space="preserve"> </w:t>
            </w:r>
            <w:r>
              <w:rPr>
                <w:i/>
              </w:rPr>
              <w:br/>
            </w:r>
          </w:p>
          <w:p w14:paraId="1728C227" w14:textId="77777777" w:rsidR="00CB7522" w:rsidRPr="001853EA" w:rsidRDefault="00CB7522" w:rsidP="009C53AC">
            <w:pPr>
              <w:pStyle w:val="BodyText3"/>
              <w:ind w:left="360"/>
              <w:rPr>
                <w:b/>
              </w:rPr>
            </w:pPr>
            <w:r>
              <w:rPr>
                <w:i/>
              </w:rPr>
              <w:t xml:space="preserve">If the number of cases reported by CMS is less than 25, </w:t>
            </w:r>
            <w:r w:rsidR="009C53AC">
              <w:rPr>
                <w:i/>
              </w:rPr>
              <w:t>this condition will not be used to calculate the readmission composite score.</w:t>
            </w:r>
          </w:p>
        </w:tc>
        <w:tc>
          <w:tcPr>
            <w:tcW w:w="2108" w:type="dxa"/>
            <w:shd w:val="clear" w:color="auto" w:fill="D9D9D9" w:themeFill="background1" w:themeFillShade="D9"/>
          </w:tcPr>
          <w:p w14:paraId="11AD1FCC" w14:textId="77777777" w:rsidR="00CB7522" w:rsidRPr="004403B5" w:rsidRDefault="00CB7522" w:rsidP="0024058F">
            <w:pPr>
              <w:pStyle w:val="BodyText3"/>
              <w:jc w:val="center"/>
            </w:pPr>
          </w:p>
          <w:p w14:paraId="39A98F7B" w14:textId="77777777" w:rsidR="00CB7522" w:rsidRPr="004403B5" w:rsidRDefault="004403B5" w:rsidP="004403B5">
            <w:pPr>
              <w:pStyle w:val="BodyText3"/>
              <w:jc w:val="center"/>
              <w:rPr>
                <w:i/>
              </w:rPr>
            </w:pPr>
            <w:r w:rsidRPr="004403B5">
              <w:rPr>
                <w:i/>
              </w:rPr>
              <w:t>Will be populated in online survey tool</w:t>
            </w:r>
          </w:p>
        </w:tc>
      </w:tr>
      <w:tr w:rsidR="00CB7522" w14:paraId="30519B44" w14:textId="77777777" w:rsidTr="004403B5">
        <w:tc>
          <w:tcPr>
            <w:tcW w:w="7252" w:type="dxa"/>
          </w:tcPr>
          <w:p w14:paraId="3CFF9697" w14:textId="77777777" w:rsidR="00CB7522" w:rsidRDefault="00CB7522" w:rsidP="00ED58C1">
            <w:pPr>
              <w:pStyle w:val="BodyText3"/>
              <w:numPr>
                <w:ilvl w:val="0"/>
                <w:numId w:val="24"/>
              </w:numPr>
            </w:pPr>
            <w:r w:rsidRPr="00EB4839">
              <w:t xml:space="preserve">30-day Risk Standardized Readmission Rate </w:t>
            </w:r>
            <w:r>
              <w:t xml:space="preserve">for AMI </w:t>
            </w:r>
            <w:r w:rsidRPr="00EB4839">
              <w:t xml:space="preserve">reported by CMS </w:t>
            </w:r>
            <w:r>
              <w:t>for your hospital</w:t>
            </w:r>
            <w:r w:rsidR="009C53AC">
              <w:t>.</w:t>
            </w:r>
            <w:r>
              <w:t xml:space="preserve"> </w:t>
            </w:r>
          </w:p>
        </w:tc>
        <w:tc>
          <w:tcPr>
            <w:tcW w:w="2108" w:type="dxa"/>
            <w:shd w:val="clear" w:color="auto" w:fill="D9D9D9" w:themeFill="background1" w:themeFillShade="D9"/>
            <w:vAlign w:val="center"/>
          </w:tcPr>
          <w:p w14:paraId="3440E92F" w14:textId="77777777" w:rsidR="00CB7522" w:rsidRPr="004403B5" w:rsidRDefault="004403B5" w:rsidP="004403B5">
            <w:pPr>
              <w:pStyle w:val="BodyText3"/>
              <w:spacing w:before="120"/>
            </w:pPr>
            <w:r w:rsidRPr="004403B5">
              <w:rPr>
                <w:i/>
              </w:rPr>
              <w:t>Will be populated in online survey tool</w:t>
            </w:r>
          </w:p>
          <w:p w14:paraId="393E911B" w14:textId="77777777" w:rsidR="00CB7522" w:rsidRPr="004403B5" w:rsidRDefault="00CB7522" w:rsidP="004403B5">
            <w:pPr>
              <w:pStyle w:val="BodyText3"/>
              <w:jc w:val="center"/>
            </w:pPr>
          </w:p>
        </w:tc>
      </w:tr>
      <w:tr w:rsidR="00E114CB" w14:paraId="2470D02A" w14:textId="77777777" w:rsidTr="004403B5">
        <w:tc>
          <w:tcPr>
            <w:tcW w:w="7252" w:type="dxa"/>
          </w:tcPr>
          <w:p w14:paraId="45BE4D1B" w14:textId="77777777" w:rsidR="00E114CB" w:rsidRPr="00E114CB" w:rsidRDefault="00E114CB" w:rsidP="00E114CB">
            <w:pPr>
              <w:pStyle w:val="BodyText3"/>
              <w:rPr>
                <w:b/>
              </w:rPr>
            </w:pPr>
            <w:r w:rsidRPr="00E114CB">
              <w:rPr>
                <w:b/>
              </w:rPr>
              <w:t>Heart Failure</w:t>
            </w:r>
          </w:p>
        </w:tc>
        <w:tc>
          <w:tcPr>
            <w:tcW w:w="2108" w:type="dxa"/>
          </w:tcPr>
          <w:p w14:paraId="30A0D0A3" w14:textId="77777777" w:rsidR="00E114CB" w:rsidRPr="004403B5" w:rsidRDefault="00E114CB" w:rsidP="0024058F">
            <w:pPr>
              <w:pStyle w:val="BodyText3"/>
            </w:pPr>
          </w:p>
        </w:tc>
      </w:tr>
      <w:tr w:rsidR="00E114CB" w14:paraId="2C8549A6" w14:textId="77777777" w:rsidTr="004403B5">
        <w:tc>
          <w:tcPr>
            <w:tcW w:w="7252" w:type="dxa"/>
          </w:tcPr>
          <w:p w14:paraId="16EE91A9" w14:textId="77777777" w:rsidR="009C53AC" w:rsidRPr="009C53AC" w:rsidRDefault="00E114CB" w:rsidP="00ED58C1">
            <w:pPr>
              <w:pStyle w:val="BodyText3"/>
              <w:numPr>
                <w:ilvl w:val="0"/>
                <w:numId w:val="24"/>
              </w:numPr>
              <w:rPr>
                <w:b/>
              </w:rPr>
            </w:pPr>
            <w:r>
              <w:t xml:space="preserve">Number of heart failure cases reported </w:t>
            </w:r>
            <w:r w:rsidRPr="00EB4839">
              <w:t xml:space="preserve">by CMS </w:t>
            </w:r>
            <w:r>
              <w:t>for your hospital</w:t>
            </w:r>
            <w:r w:rsidR="009C53AC">
              <w:t>.</w:t>
            </w:r>
            <w:r>
              <w:t xml:space="preserve"> </w:t>
            </w:r>
          </w:p>
          <w:p w14:paraId="5956AEEC" w14:textId="77777777" w:rsidR="00E114CB" w:rsidRPr="001853EA" w:rsidRDefault="00E114CB" w:rsidP="009C53AC">
            <w:pPr>
              <w:pStyle w:val="BodyText3"/>
              <w:ind w:left="360"/>
              <w:rPr>
                <w:b/>
              </w:rPr>
            </w:pPr>
            <w:r>
              <w:rPr>
                <w:i/>
              </w:rPr>
              <w:br/>
            </w:r>
            <w:r w:rsidR="009C53AC">
              <w:rPr>
                <w:i/>
              </w:rPr>
              <w:t>If the number of cases reported by CMS is less than 25, this condition will not be used to calculate the readmission composite score.</w:t>
            </w:r>
          </w:p>
        </w:tc>
        <w:tc>
          <w:tcPr>
            <w:tcW w:w="2108" w:type="dxa"/>
            <w:shd w:val="clear" w:color="auto" w:fill="D9D9D9" w:themeFill="background1" w:themeFillShade="D9"/>
          </w:tcPr>
          <w:p w14:paraId="6D818C37" w14:textId="77777777" w:rsidR="00E114CB" w:rsidRPr="004403B5" w:rsidRDefault="00E114CB" w:rsidP="00614016">
            <w:pPr>
              <w:pStyle w:val="BodyText3"/>
              <w:jc w:val="center"/>
            </w:pPr>
          </w:p>
          <w:p w14:paraId="1DED1D2F" w14:textId="77777777" w:rsidR="00E114CB" w:rsidRPr="004403B5" w:rsidRDefault="004403B5" w:rsidP="004403B5">
            <w:pPr>
              <w:pStyle w:val="BodyText3"/>
              <w:jc w:val="center"/>
            </w:pPr>
            <w:r w:rsidRPr="004403B5">
              <w:rPr>
                <w:i/>
              </w:rPr>
              <w:t>Will be populated in online survey tool</w:t>
            </w:r>
          </w:p>
        </w:tc>
      </w:tr>
      <w:tr w:rsidR="00E114CB" w14:paraId="463D8F08" w14:textId="77777777" w:rsidTr="004403B5">
        <w:tc>
          <w:tcPr>
            <w:tcW w:w="7252" w:type="dxa"/>
          </w:tcPr>
          <w:p w14:paraId="10673A47" w14:textId="77777777" w:rsidR="00E114CB" w:rsidRDefault="00E114CB" w:rsidP="00ED58C1">
            <w:pPr>
              <w:pStyle w:val="BodyText3"/>
              <w:numPr>
                <w:ilvl w:val="0"/>
                <w:numId w:val="24"/>
              </w:numPr>
            </w:pPr>
            <w:r w:rsidRPr="00EB4839">
              <w:t xml:space="preserve">30-day Risk Standardized Readmission Rate </w:t>
            </w:r>
            <w:r>
              <w:t xml:space="preserve">for heart failure </w:t>
            </w:r>
            <w:r w:rsidRPr="00EB4839">
              <w:t xml:space="preserve">reported by CMS </w:t>
            </w:r>
            <w:r>
              <w:t>for your hospital</w:t>
            </w:r>
            <w:r w:rsidR="009C53AC">
              <w:t>.</w:t>
            </w:r>
            <w:r>
              <w:t xml:space="preserve"> </w:t>
            </w:r>
            <w:r>
              <w:br/>
            </w:r>
          </w:p>
        </w:tc>
        <w:tc>
          <w:tcPr>
            <w:tcW w:w="2108" w:type="dxa"/>
            <w:shd w:val="clear" w:color="auto" w:fill="D9D9D9" w:themeFill="background1" w:themeFillShade="D9"/>
            <w:vAlign w:val="center"/>
          </w:tcPr>
          <w:p w14:paraId="63336885" w14:textId="77777777" w:rsidR="00E114CB" w:rsidRPr="004403B5" w:rsidRDefault="004403B5" w:rsidP="004403B5">
            <w:pPr>
              <w:pStyle w:val="BodyText3"/>
              <w:jc w:val="center"/>
            </w:pPr>
            <w:r w:rsidRPr="004403B5">
              <w:rPr>
                <w:i/>
              </w:rPr>
              <w:t>Will be populated in online survey tool</w:t>
            </w:r>
          </w:p>
        </w:tc>
      </w:tr>
      <w:tr w:rsidR="00E114CB" w14:paraId="4D7F9957" w14:textId="77777777" w:rsidTr="004403B5">
        <w:tc>
          <w:tcPr>
            <w:tcW w:w="7252" w:type="dxa"/>
          </w:tcPr>
          <w:p w14:paraId="42A50225" w14:textId="77777777" w:rsidR="00E114CB" w:rsidRPr="00E114CB" w:rsidRDefault="00E114CB" w:rsidP="00E114CB">
            <w:pPr>
              <w:pStyle w:val="BodyText3"/>
              <w:rPr>
                <w:b/>
              </w:rPr>
            </w:pPr>
            <w:r>
              <w:rPr>
                <w:b/>
              </w:rPr>
              <w:t xml:space="preserve">Pneumonia </w:t>
            </w:r>
          </w:p>
        </w:tc>
        <w:tc>
          <w:tcPr>
            <w:tcW w:w="2108" w:type="dxa"/>
          </w:tcPr>
          <w:p w14:paraId="4F500FEB" w14:textId="77777777" w:rsidR="00E114CB" w:rsidRPr="004403B5" w:rsidRDefault="00E114CB" w:rsidP="0024058F">
            <w:pPr>
              <w:pStyle w:val="BodyText3"/>
            </w:pPr>
          </w:p>
        </w:tc>
      </w:tr>
      <w:tr w:rsidR="004403B5" w14:paraId="14E0765B" w14:textId="77777777" w:rsidTr="004403B5">
        <w:tc>
          <w:tcPr>
            <w:tcW w:w="7252" w:type="dxa"/>
          </w:tcPr>
          <w:p w14:paraId="332A78D2" w14:textId="77777777" w:rsidR="004403B5" w:rsidRPr="009C53AC" w:rsidRDefault="004403B5" w:rsidP="00ED58C1">
            <w:pPr>
              <w:pStyle w:val="BodyText3"/>
              <w:numPr>
                <w:ilvl w:val="0"/>
                <w:numId w:val="24"/>
              </w:numPr>
              <w:rPr>
                <w:b/>
              </w:rPr>
            </w:pPr>
            <w:r>
              <w:t xml:space="preserve">Number of pneumonia cases reported </w:t>
            </w:r>
            <w:r w:rsidRPr="00EB4839">
              <w:t xml:space="preserve">by CMS </w:t>
            </w:r>
            <w:r>
              <w:t xml:space="preserve">for your hospital. </w:t>
            </w:r>
          </w:p>
          <w:p w14:paraId="7F69DE70" w14:textId="77777777" w:rsidR="004403B5" w:rsidRDefault="004403B5" w:rsidP="004403B5">
            <w:pPr>
              <w:pStyle w:val="BodyText3"/>
              <w:ind w:left="360"/>
              <w:rPr>
                <w:b/>
              </w:rPr>
            </w:pPr>
          </w:p>
          <w:p w14:paraId="1B8759D6" w14:textId="77777777" w:rsidR="004403B5" w:rsidRPr="009C53AC" w:rsidRDefault="004403B5" w:rsidP="004403B5">
            <w:pPr>
              <w:pStyle w:val="BodyText3"/>
              <w:ind w:left="360"/>
              <w:rPr>
                <w:b/>
              </w:rPr>
            </w:pPr>
            <w:r>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328E36FE" w14:textId="77777777" w:rsidR="004403B5" w:rsidRPr="004403B5" w:rsidRDefault="004403B5" w:rsidP="004403B5">
            <w:pPr>
              <w:pStyle w:val="BodyText3"/>
              <w:jc w:val="center"/>
            </w:pPr>
            <w:r w:rsidRPr="004403B5">
              <w:rPr>
                <w:i/>
              </w:rPr>
              <w:t>Will be populated in online survey tool</w:t>
            </w:r>
          </w:p>
        </w:tc>
      </w:tr>
      <w:tr w:rsidR="004403B5" w14:paraId="299FCDEB" w14:textId="77777777" w:rsidTr="004403B5">
        <w:tc>
          <w:tcPr>
            <w:tcW w:w="7252" w:type="dxa"/>
          </w:tcPr>
          <w:p w14:paraId="022950DC" w14:textId="77777777" w:rsidR="004403B5" w:rsidRDefault="004403B5" w:rsidP="00ED58C1">
            <w:pPr>
              <w:pStyle w:val="BodyText3"/>
              <w:numPr>
                <w:ilvl w:val="0"/>
                <w:numId w:val="24"/>
              </w:numPr>
            </w:pPr>
            <w:r w:rsidRPr="00EB4839">
              <w:t xml:space="preserve">30-day Risk Standardized Readmission Rate </w:t>
            </w:r>
            <w:r>
              <w:t xml:space="preserve">for pneumonia </w:t>
            </w:r>
            <w:r w:rsidRPr="00EB4839">
              <w:t xml:space="preserve">reported by CMS </w:t>
            </w:r>
            <w:r>
              <w:t xml:space="preserve">for your hospital. </w:t>
            </w:r>
          </w:p>
          <w:p w14:paraId="060FCC8F" w14:textId="77777777" w:rsidR="00F440F1" w:rsidRDefault="00F440F1" w:rsidP="00F440F1">
            <w:pPr>
              <w:pStyle w:val="BodyText3"/>
            </w:pPr>
          </w:p>
        </w:tc>
        <w:tc>
          <w:tcPr>
            <w:tcW w:w="2108" w:type="dxa"/>
            <w:shd w:val="clear" w:color="auto" w:fill="D9D9D9" w:themeFill="background1" w:themeFillShade="D9"/>
            <w:vAlign w:val="center"/>
          </w:tcPr>
          <w:p w14:paraId="27274C1D" w14:textId="77777777" w:rsidR="004403B5" w:rsidRPr="004403B5" w:rsidRDefault="004403B5" w:rsidP="004403B5">
            <w:pPr>
              <w:pStyle w:val="BodyText3"/>
              <w:jc w:val="center"/>
            </w:pPr>
            <w:r w:rsidRPr="004403B5">
              <w:rPr>
                <w:i/>
              </w:rPr>
              <w:t>Will be populated in online survey tool</w:t>
            </w:r>
          </w:p>
        </w:tc>
      </w:tr>
    </w:tbl>
    <w:p w14:paraId="72AB6F58" w14:textId="77777777" w:rsidR="00F440F1" w:rsidRDefault="00F440F1">
      <w:r>
        <w:br w:type="page"/>
      </w:r>
    </w:p>
    <w:tbl>
      <w:tblPr>
        <w:tblStyle w:val="TableGrid"/>
        <w:tblW w:w="9360" w:type="dxa"/>
        <w:tblInd w:w="-5" w:type="dxa"/>
        <w:tblLook w:val="04A0" w:firstRow="1" w:lastRow="0" w:firstColumn="1" w:lastColumn="0" w:noHBand="0" w:noVBand="1"/>
      </w:tblPr>
      <w:tblGrid>
        <w:gridCol w:w="7252"/>
        <w:gridCol w:w="2108"/>
      </w:tblGrid>
      <w:tr w:rsidR="00551079" w14:paraId="2BA63DE6" w14:textId="77777777" w:rsidTr="00F440F1">
        <w:tc>
          <w:tcPr>
            <w:tcW w:w="7252" w:type="dxa"/>
          </w:tcPr>
          <w:p w14:paraId="35DB89A7" w14:textId="77777777" w:rsidR="00551079" w:rsidRPr="00551079" w:rsidRDefault="00551079" w:rsidP="00551079">
            <w:pPr>
              <w:pStyle w:val="BodyText3"/>
              <w:rPr>
                <w:b/>
              </w:rPr>
            </w:pPr>
            <w:r w:rsidRPr="00551079">
              <w:rPr>
                <w:b/>
              </w:rPr>
              <w:lastRenderedPageBreak/>
              <w:t xml:space="preserve">Chronic Obstructive Pulmonary Disease (COPD) </w:t>
            </w:r>
          </w:p>
        </w:tc>
        <w:tc>
          <w:tcPr>
            <w:tcW w:w="2108" w:type="dxa"/>
          </w:tcPr>
          <w:p w14:paraId="423CA582" w14:textId="77777777" w:rsidR="00551079" w:rsidRPr="004403B5" w:rsidRDefault="00551079" w:rsidP="00614016">
            <w:pPr>
              <w:pStyle w:val="BodyText3"/>
            </w:pPr>
          </w:p>
        </w:tc>
      </w:tr>
      <w:tr w:rsidR="004403B5" w14:paraId="7EC2D1F0" w14:textId="77777777" w:rsidTr="00F440F1">
        <w:tc>
          <w:tcPr>
            <w:tcW w:w="7252" w:type="dxa"/>
          </w:tcPr>
          <w:p w14:paraId="23A179F2" w14:textId="77777777" w:rsidR="004403B5" w:rsidRDefault="004403B5" w:rsidP="00ED58C1">
            <w:pPr>
              <w:pStyle w:val="BodyText3"/>
              <w:numPr>
                <w:ilvl w:val="0"/>
                <w:numId w:val="24"/>
              </w:numPr>
            </w:pPr>
            <w:r>
              <w:t xml:space="preserve">Number of COPD cases reported </w:t>
            </w:r>
            <w:r w:rsidRPr="00EB4839">
              <w:t xml:space="preserve">by CMS </w:t>
            </w:r>
            <w:r>
              <w:t>for your hospital.</w:t>
            </w:r>
          </w:p>
          <w:p w14:paraId="04D00725" w14:textId="77777777" w:rsidR="004403B5" w:rsidRDefault="004403B5" w:rsidP="004403B5">
            <w:pPr>
              <w:pStyle w:val="BodyText3"/>
              <w:ind w:left="360"/>
            </w:pPr>
          </w:p>
          <w:p w14:paraId="3BAEBBD5" w14:textId="77777777" w:rsidR="004403B5" w:rsidRDefault="004403B5" w:rsidP="004403B5">
            <w:pPr>
              <w:pStyle w:val="BodyText3"/>
              <w:ind w:left="360"/>
            </w:pPr>
            <w:r>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3968A65B" w14:textId="77777777" w:rsidR="004403B5" w:rsidRPr="004403B5" w:rsidRDefault="004403B5" w:rsidP="004403B5">
            <w:pPr>
              <w:pStyle w:val="BodyText3"/>
            </w:pPr>
            <w:r w:rsidRPr="004403B5">
              <w:rPr>
                <w:i/>
              </w:rPr>
              <w:t>Will be populated in online survey tool</w:t>
            </w:r>
          </w:p>
        </w:tc>
      </w:tr>
      <w:tr w:rsidR="004403B5" w14:paraId="4BCD9328" w14:textId="77777777" w:rsidTr="00F440F1">
        <w:tc>
          <w:tcPr>
            <w:tcW w:w="7252" w:type="dxa"/>
          </w:tcPr>
          <w:p w14:paraId="12FCDF13" w14:textId="77777777" w:rsidR="004403B5" w:rsidRDefault="004403B5" w:rsidP="00ED58C1">
            <w:pPr>
              <w:pStyle w:val="BodyText3"/>
              <w:numPr>
                <w:ilvl w:val="0"/>
                <w:numId w:val="24"/>
              </w:numPr>
            </w:pPr>
            <w:r w:rsidRPr="00EB4839">
              <w:t xml:space="preserve">30-day Risk Standardized Readmission Rate </w:t>
            </w:r>
            <w:r>
              <w:t xml:space="preserve">for COPD </w:t>
            </w:r>
            <w:r w:rsidRPr="00EB4839">
              <w:t xml:space="preserve">reported by CMS </w:t>
            </w:r>
            <w:r>
              <w:t xml:space="preserve">for your hospital. </w:t>
            </w:r>
          </w:p>
          <w:p w14:paraId="0A068B30" w14:textId="77777777" w:rsidR="004403B5" w:rsidRDefault="004403B5" w:rsidP="004403B5">
            <w:pPr>
              <w:pStyle w:val="BodyText3"/>
              <w:ind w:left="360"/>
            </w:pPr>
          </w:p>
        </w:tc>
        <w:tc>
          <w:tcPr>
            <w:tcW w:w="2108" w:type="dxa"/>
            <w:shd w:val="clear" w:color="auto" w:fill="D9D9D9" w:themeFill="background1" w:themeFillShade="D9"/>
            <w:vAlign w:val="center"/>
          </w:tcPr>
          <w:p w14:paraId="38165527" w14:textId="77777777" w:rsidR="004403B5" w:rsidRPr="004403B5" w:rsidRDefault="004403B5" w:rsidP="004403B5">
            <w:pPr>
              <w:pStyle w:val="BodyText3"/>
            </w:pPr>
            <w:r w:rsidRPr="004403B5">
              <w:rPr>
                <w:i/>
              </w:rPr>
              <w:t>Will be populated in online survey tool</w:t>
            </w:r>
          </w:p>
        </w:tc>
      </w:tr>
      <w:tr w:rsidR="00551079" w14:paraId="35494B0C" w14:textId="77777777" w:rsidTr="00F440F1">
        <w:tc>
          <w:tcPr>
            <w:tcW w:w="7252" w:type="dxa"/>
          </w:tcPr>
          <w:p w14:paraId="28934524" w14:textId="77777777" w:rsidR="00551079" w:rsidRPr="001C5679" w:rsidRDefault="00551079" w:rsidP="00551079">
            <w:pPr>
              <w:pStyle w:val="BodyText3"/>
              <w:rPr>
                <w:b/>
              </w:rPr>
            </w:pPr>
            <w:r w:rsidRPr="001C5679">
              <w:rPr>
                <w:b/>
              </w:rPr>
              <w:t>Total Hip Arthroplasty/Total Knee Arthroplasty (THA/TKA)</w:t>
            </w:r>
          </w:p>
        </w:tc>
        <w:tc>
          <w:tcPr>
            <w:tcW w:w="2108" w:type="dxa"/>
          </w:tcPr>
          <w:p w14:paraId="34D0473A" w14:textId="77777777" w:rsidR="00551079" w:rsidRPr="004403B5" w:rsidRDefault="00551079" w:rsidP="00551079">
            <w:pPr>
              <w:pStyle w:val="BodyText3"/>
            </w:pPr>
          </w:p>
        </w:tc>
      </w:tr>
      <w:tr w:rsidR="004403B5" w14:paraId="6B4A346A" w14:textId="77777777" w:rsidTr="00F440F1">
        <w:tc>
          <w:tcPr>
            <w:tcW w:w="7252" w:type="dxa"/>
          </w:tcPr>
          <w:p w14:paraId="57D0D011" w14:textId="77777777" w:rsidR="004403B5" w:rsidRDefault="004403B5" w:rsidP="00ED58C1">
            <w:pPr>
              <w:pStyle w:val="BodyText3"/>
              <w:numPr>
                <w:ilvl w:val="0"/>
                <w:numId w:val="24"/>
              </w:numPr>
            </w:pPr>
            <w:r>
              <w:t xml:space="preserve">Number of THA/TKA cases reported </w:t>
            </w:r>
            <w:r w:rsidRPr="00EB4839">
              <w:t xml:space="preserve">by CMS </w:t>
            </w:r>
            <w:r>
              <w:t xml:space="preserve">for your hospital. </w:t>
            </w:r>
            <w:r>
              <w:br/>
            </w:r>
          </w:p>
          <w:p w14:paraId="00CB0BAC" w14:textId="77777777" w:rsidR="004403B5" w:rsidRDefault="004403B5" w:rsidP="004403B5">
            <w:pPr>
              <w:pStyle w:val="BodyText3"/>
              <w:ind w:left="360"/>
            </w:pPr>
            <w:r w:rsidRPr="000D3209">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088B83C1" w14:textId="77777777" w:rsidR="004403B5" w:rsidRPr="004403B5" w:rsidRDefault="004403B5" w:rsidP="004403B5">
            <w:pPr>
              <w:pStyle w:val="BodyText3"/>
            </w:pPr>
            <w:r w:rsidRPr="004403B5">
              <w:rPr>
                <w:i/>
              </w:rPr>
              <w:t>Will be populated in online survey tool</w:t>
            </w:r>
          </w:p>
        </w:tc>
      </w:tr>
      <w:tr w:rsidR="004403B5" w14:paraId="3B52FCB1" w14:textId="77777777" w:rsidTr="00F440F1">
        <w:tc>
          <w:tcPr>
            <w:tcW w:w="7252" w:type="dxa"/>
          </w:tcPr>
          <w:p w14:paraId="18C9BFC8" w14:textId="77777777" w:rsidR="004403B5" w:rsidRDefault="004403B5" w:rsidP="00ED58C1">
            <w:pPr>
              <w:pStyle w:val="BodyText3"/>
              <w:numPr>
                <w:ilvl w:val="0"/>
                <w:numId w:val="24"/>
              </w:numPr>
            </w:pPr>
            <w:r w:rsidRPr="00EB4839">
              <w:t xml:space="preserve">30-day Risk Standardized Readmission Rate </w:t>
            </w:r>
            <w:r>
              <w:t xml:space="preserve">for THA/TKA </w:t>
            </w:r>
            <w:r w:rsidRPr="00EB4839">
              <w:t xml:space="preserve">reported by CMS </w:t>
            </w:r>
            <w:r>
              <w:t>for your hospital.</w:t>
            </w:r>
          </w:p>
        </w:tc>
        <w:tc>
          <w:tcPr>
            <w:tcW w:w="2108" w:type="dxa"/>
            <w:shd w:val="clear" w:color="auto" w:fill="D9D9D9" w:themeFill="background1" w:themeFillShade="D9"/>
            <w:vAlign w:val="center"/>
          </w:tcPr>
          <w:p w14:paraId="0ECF21DE" w14:textId="77777777" w:rsidR="004403B5" w:rsidRPr="004403B5" w:rsidRDefault="004403B5" w:rsidP="004403B5">
            <w:pPr>
              <w:pStyle w:val="BodyText3"/>
            </w:pPr>
            <w:r w:rsidRPr="004403B5">
              <w:rPr>
                <w:i/>
              </w:rPr>
              <w:t>Will be populated in online survey tool</w:t>
            </w:r>
          </w:p>
        </w:tc>
      </w:tr>
      <w:tr w:rsidR="00551079" w14:paraId="24C8A9DB" w14:textId="77777777" w:rsidTr="00F440F1">
        <w:tc>
          <w:tcPr>
            <w:tcW w:w="7252" w:type="dxa"/>
          </w:tcPr>
          <w:p w14:paraId="79B4F13B" w14:textId="77777777" w:rsidR="00551079" w:rsidRPr="001C5679" w:rsidRDefault="001C5679" w:rsidP="00551079">
            <w:pPr>
              <w:pStyle w:val="BodyText3"/>
              <w:rPr>
                <w:b/>
              </w:rPr>
            </w:pPr>
            <w:r w:rsidRPr="001C5679">
              <w:rPr>
                <w:b/>
              </w:rPr>
              <w:t>Coronary Artery Bypass Graft (CABG)</w:t>
            </w:r>
          </w:p>
        </w:tc>
        <w:tc>
          <w:tcPr>
            <w:tcW w:w="2108" w:type="dxa"/>
          </w:tcPr>
          <w:p w14:paraId="2D9769F5" w14:textId="77777777" w:rsidR="00551079" w:rsidRDefault="00551079" w:rsidP="00551079">
            <w:pPr>
              <w:pStyle w:val="BodyText3"/>
            </w:pPr>
          </w:p>
        </w:tc>
      </w:tr>
      <w:tr w:rsidR="004403B5" w14:paraId="4D7F6860" w14:textId="77777777" w:rsidTr="00F440F1">
        <w:tc>
          <w:tcPr>
            <w:tcW w:w="7252" w:type="dxa"/>
          </w:tcPr>
          <w:p w14:paraId="412905D5" w14:textId="382C064B" w:rsidR="004403B5" w:rsidRPr="004403B5" w:rsidRDefault="004403B5" w:rsidP="00ED58C1">
            <w:pPr>
              <w:pStyle w:val="BodyText3"/>
              <w:numPr>
                <w:ilvl w:val="0"/>
                <w:numId w:val="109"/>
              </w:numPr>
              <w:rPr>
                <w:i/>
              </w:rPr>
            </w:pPr>
            <w:r>
              <w:t xml:space="preserve">Number of CABG cases reported </w:t>
            </w:r>
            <w:r w:rsidRPr="00EB4839">
              <w:t xml:space="preserve">by CMS </w:t>
            </w:r>
            <w:r w:rsidR="00AE6920">
              <w:t>for your hospital</w:t>
            </w:r>
            <w:r>
              <w:rPr>
                <w:i/>
              </w:rPr>
              <w:br/>
            </w:r>
            <w:r>
              <w:rPr>
                <w:i/>
              </w:rPr>
              <w:br/>
            </w:r>
            <w:r w:rsidRPr="004403B5">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5DD19CF6" w14:textId="77777777" w:rsidR="004403B5" w:rsidRPr="004403B5" w:rsidRDefault="004403B5" w:rsidP="004403B5">
            <w:pPr>
              <w:pStyle w:val="BodyText3"/>
            </w:pPr>
            <w:r w:rsidRPr="004403B5">
              <w:rPr>
                <w:i/>
              </w:rPr>
              <w:t>Will be populated in online survey tool</w:t>
            </w:r>
          </w:p>
        </w:tc>
      </w:tr>
      <w:tr w:rsidR="004403B5" w14:paraId="68B8AC6D" w14:textId="77777777" w:rsidTr="00F440F1">
        <w:tc>
          <w:tcPr>
            <w:tcW w:w="7252" w:type="dxa"/>
          </w:tcPr>
          <w:p w14:paraId="2BD41101" w14:textId="77777777" w:rsidR="004403B5" w:rsidRDefault="004403B5" w:rsidP="00ED58C1">
            <w:pPr>
              <w:pStyle w:val="BodyText3"/>
              <w:numPr>
                <w:ilvl w:val="0"/>
                <w:numId w:val="110"/>
              </w:numPr>
            </w:pPr>
            <w:r w:rsidRPr="00EB4839">
              <w:t xml:space="preserve">30-day Risk Standardized Readmission Rate </w:t>
            </w:r>
            <w:r>
              <w:t xml:space="preserve">for CABG </w:t>
            </w:r>
            <w:r w:rsidRPr="00EB4839">
              <w:t xml:space="preserve">reported by CMS </w:t>
            </w:r>
            <w:r>
              <w:t>for your hospital.</w:t>
            </w:r>
          </w:p>
          <w:p w14:paraId="019D1CF2" w14:textId="77777777" w:rsidR="004403B5" w:rsidRDefault="004403B5" w:rsidP="004403B5">
            <w:pPr>
              <w:pStyle w:val="BodyText3"/>
            </w:pPr>
          </w:p>
        </w:tc>
        <w:tc>
          <w:tcPr>
            <w:tcW w:w="2108" w:type="dxa"/>
            <w:shd w:val="clear" w:color="auto" w:fill="D9D9D9" w:themeFill="background1" w:themeFillShade="D9"/>
            <w:vAlign w:val="center"/>
          </w:tcPr>
          <w:p w14:paraId="036C31A1" w14:textId="77777777" w:rsidR="004403B5" w:rsidRPr="004403B5" w:rsidRDefault="004403B5" w:rsidP="004403B5">
            <w:pPr>
              <w:pStyle w:val="BodyText3"/>
            </w:pPr>
            <w:r w:rsidRPr="004403B5">
              <w:rPr>
                <w:i/>
              </w:rPr>
              <w:t>Will be populated in online survey tool</w:t>
            </w:r>
          </w:p>
        </w:tc>
      </w:tr>
    </w:tbl>
    <w:p w14:paraId="0FBBCD1E" w14:textId="77777777" w:rsidR="00412257" w:rsidRDefault="00412257" w:rsidP="007D6354">
      <w:pPr>
        <w:rPr>
          <w:b/>
          <w:snapToGrid w:val="0"/>
          <w:color w:val="000000"/>
          <w:sz w:val="24"/>
        </w:rPr>
      </w:pPr>
    </w:p>
    <w:p w14:paraId="32B8A143" w14:textId="77777777" w:rsidR="00412257" w:rsidRDefault="00412257">
      <w:pPr>
        <w:rPr>
          <w:b/>
          <w:snapToGrid w:val="0"/>
          <w:color w:val="000000"/>
          <w:sz w:val="24"/>
        </w:rPr>
      </w:pPr>
      <w:r>
        <w:rPr>
          <w:b/>
          <w:snapToGrid w:val="0"/>
          <w:color w:val="000000"/>
          <w:sz w:val="24"/>
        </w:rPr>
        <w:br w:type="page"/>
      </w:r>
    </w:p>
    <w:p w14:paraId="700F4501" w14:textId="77777777" w:rsidR="002B39A7" w:rsidRDefault="002B39A7" w:rsidP="007D6354">
      <w:pPr>
        <w:rPr>
          <w:b/>
          <w:snapToGrid w:val="0"/>
          <w:color w:val="000000"/>
          <w:sz w:val="24"/>
        </w:rPr>
      </w:pPr>
    </w:p>
    <w:p w14:paraId="14D72403" w14:textId="77777777" w:rsidR="008910AA" w:rsidRDefault="00B13271">
      <w:pPr>
        <w:rPr>
          <w:b/>
          <w:snapToGrid w:val="0"/>
          <w:color w:val="000000"/>
        </w:rPr>
      </w:pPr>
      <w:r>
        <w:rPr>
          <w:b/>
          <w:snapToGrid w:val="0"/>
          <w:color w:val="000000"/>
        </w:rPr>
        <w:t>Affirmation of Accuracy</w:t>
      </w:r>
    </w:p>
    <w:p w14:paraId="1C8D4941" w14:textId="77777777" w:rsidR="008910AA" w:rsidRDefault="008910AA">
      <w:pPr>
        <w:rPr>
          <w:snapToGrid w:val="0"/>
          <w:color w:val="000000"/>
        </w:rPr>
      </w:pPr>
    </w:p>
    <w:p w14:paraId="734004FF" w14:textId="77777777" w:rsidR="00912FBC" w:rsidRPr="00362B11" w:rsidRDefault="00912FBC" w:rsidP="00912FBC">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Readmissions for Common Acute Conditions and Procedures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7A0CA84A" w14:textId="77777777" w:rsidR="00912FBC" w:rsidRPr="00362B11" w:rsidRDefault="00912FBC" w:rsidP="00912FBC">
      <w:pPr>
        <w:rPr>
          <w:rFonts w:cs="Arial"/>
          <w:color w:val="000000"/>
        </w:rPr>
      </w:pPr>
    </w:p>
    <w:p w14:paraId="52A11040" w14:textId="77777777" w:rsidR="00912FBC" w:rsidRDefault="00912FBC" w:rsidP="00912FBC">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07F93A59" w14:textId="77777777" w:rsidR="008910AA" w:rsidRDefault="008910AA">
      <w:pPr>
        <w:rPr>
          <w:snapToGrid w:val="0"/>
          <w:color w:val="000000"/>
        </w:rPr>
      </w:pPr>
    </w:p>
    <w:p w14:paraId="7F402CAA" w14:textId="77777777" w:rsidR="00AE4409" w:rsidRDefault="00AE4409">
      <w:pPr>
        <w:rPr>
          <w:snapToGrid w:val="0"/>
          <w:color w:val="000000"/>
        </w:rPr>
      </w:pPr>
    </w:p>
    <w:p w14:paraId="5BFE68C5" w14:textId="77777777" w:rsidR="008910AA" w:rsidRDefault="008910AA">
      <w:pPr>
        <w:rPr>
          <w:snapToGrid w:val="0"/>
          <w:color w:val="000000"/>
        </w:rPr>
      </w:pPr>
      <w:r>
        <w:rPr>
          <w:snapToGrid w:val="0"/>
          <w:color w:val="000000"/>
        </w:rPr>
        <w:t>Affirmed by _____________________, the hospital’s ___________________________,</w:t>
      </w:r>
    </w:p>
    <w:p w14:paraId="4A0646E0" w14:textId="77777777" w:rsidR="008910AA" w:rsidRDefault="008910AA">
      <w:pPr>
        <w:pStyle w:val="BodyText2"/>
      </w:pPr>
      <w:r>
        <w:tab/>
      </w:r>
      <w:r>
        <w:tab/>
        <w:t xml:space="preserve">   (name)</w:t>
      </w:r>
      <w:r>
        <w:tab/>
      </w:r>
      <w:r>
        <w:tab/>
      </w:r>
      <w:r>
        <w:tab/>
      </w:r>
      <w:r>
        <w:tab/>
      </w:r>
      <w:r>
        <w:tab/>
      </w:r>
      <w:r>
        <w:tab/>
        <w:t>(title)</w:t>
      </w:r>
    </w:p>
    <w:p w14:paraId="6DD9DC22" w14:textId="77777777" w:rsidR="008910AA" w:rsidRDefault="008910AA">
      <w:pPr>
        <w:rPr>
          <w:snapToGrid w:val="0"/>
          <w:color w:val="000000"/>
        </w:rPr>
      </w:pPr>
      <w:r>
        <w:rPr>
          <w:snapToGrid w:val="0"/>
          <w:color w:val="000000"/>
        </w:rPr>
        <w:t>on _______________________.</w:t>
      </w:r>
    </w:p>
    <w:p w14:paraId="59DEFF9B" w14:textId="77777777" w:rsidR="006D003E" w:rsidRDefault="008910AA" w:rsidP="006D003E">
      <w:pPr>
        <w:pStyle w:val="BodyText2"/>
      </w:pPr>
      <w:r>
        <w:t xml:space="preserve">                    (date)</w:t>
      </w:r>
    </w:p>
    <w:p w14:paraId="5B00D5DE" w14:textId="77777777" w:rsidR="00DD50D1" w:rsidRDefault="00DD50D1">
      <w:pPr>
        <w:rPr>
          <w:i/>
          <w:color w:val="000000"/>
        </w:rPr>
      </w:pPr>
    </w:p>
    <w:p w14:paraId="4A198974" w14:textId="77777777" w:rsidR="00602272" w:rsidRDefault="00602272">
      <w:pPr>
        <w:rPr>
          <w:i/>
          <w:color w:val="000000"/>
        </w:rPr>
      </w:pPr>
      <w:r>
        <w:rPr>
          <w:i/>
          <w:color w:val="000000"/>
        </w:rPr>
        <w:br w:type="page"/>
      </w:r>
    </w:p>
    <w:p w14:paraId="50BAFEE2" w14:textId="77777777" w:rsidR="00561293" w:rsidRPr="00BC2D78" w:rsidRDefault="00561293" w:rsidP="002C3E94">
      <w:pPr>
        <w:pStyle w:val="Title"/>
        <w:rPr>
          <w:lang w:eastAsia="ja-JP"/>
        </w:rPr>
      </w:pPr>
      <w:bookmarkStart w:id="330" w:name="_Toc383775093"/>
      <w:bookmarkStart w:id="331" w:name="_Toc447195090"/>
      <w:r w:rsidRPr="00BC2D78">
        <w:lastRenderedPageBreak/>
        <w:t xml:space="preserve">Section 9: </w:t>
      </w:r>
      <w:r w:rsidR="004F68CC">
        <w:t>2016</w:t>
      </w:r>
      <w:r>
        <w:t xml:space="preserve"> Resource Use for Common Acute Conditions</w:t>
      </w:r>
      <w:bookmarkEnd w:id="330"/>
      <w:r w:rsidR="00254E42">
        <w:t xml:space="preserve"> Reference Information</w:t>
      </w:r>
      <w:bookmarkEnd w:id="331"/>
    </w:p>
    <w:p w14:paraId="30D0F27A" w14:textId="77777777" w:rsidR="00206912" w:rsidRDefault="00561293" w:rsidP="00206912">
      <w:pPr>
        <w:pStyle w:val="BodyText3"/>
        <w:rPr>
          <w:b/>
          <w:color w:val="FF0000"/>
        </w:rPr>
      </w:pPr>
      <w:r w:rsidRPr="00BC2D78">
        <w:rPr>
          <w:lang w:eastAsia="ja-JP"/>
        </w:rPr>
        <w:br/>
      </w:r>
      <w:r w:rsidR="00206912" w:rsidRPr="006A3E69">
        <w:rPr>
          <w:b/>
          <w:color w:val="FF0000"/>
        </w:rPr>
        <w:t xml:space="preserve">This section does not apply to Pediatric </w:t>
      </w:r>
      <w:r w:rsidR="00206912">
        <w:rPr>
          <w:b/>
          <w:color w:val="FF0000"/>
        </w:rPr>
        <w:t>Hospitals.</w:t>
      </w:r>
    </w:p>
    <w:p w14:paraId="5AF30C02" w14:textId="77777777" w:rsidR="00206912" w:rsidRDefault="00206912" w:rsidP="00206912">
      <w:pPr>
        <w:pStyle w:val="BodyText3"/>
        <w:rPr>
          <w:b/>
          <w:color w:val="FF0000"/>
        </w:rPr>
      </w:pPr>
    </w:p>
    <w:p w14:paraId="392092D3" w14:textId="77777777" w:rsidR="00206912" w:rsidRPr="006A3E69" w:rsidRDefault="00206912" w:rsidP="00206912">
      <w:pPr>
        <w:pStyle w:val="BodyText3"/>
        <w:rPr>
          <w:b/>
          <w:snapToGrid w:val="0"/>
        </w:rPr>
      </w:pPr>
      <w:r w:rsidRPr="006A3E69">
        <w:rPr>
          <w:b/>
          <w:color w:val="FF0000"/>
        </w:rPr>
        <w:t xml:space="preserve">Critical Access Hospitals </w:t>
      </w:r>
      <w:r>
        <w:rPr>
          <w:b/>
          <w:color w:val="FF0000"/>
        </w:rPr>
        <w:t xml:space="preserve">that voluntarily report to CMS are required to complete and submit this section or the hospital will be shown as ‘Declined to Respond.” Critical Access Hospitals </w:t>
      </w:r>
      <w:r w:rsidRPr="006A3E69">
        <w:rPr>
          <w:b/>
          <w:color w:val="FF0000"/>
        </w:rPr>
        <w:t xml:space="preserve">that do not voluntarily report to CMS </w:t>
      </w:r>
      <w:r w:rsidRPr="006A3E69">
        <w:rPr>
          <w:b/>
          <w:snapToGrid w:val="0"/>
          <w:color w:val="FF0000"/>
        </w:rPr>
        <w:t xml:space="preserve">should respond “No” to question </w:t>
      </w:r>
      <w:r>
        <w:rPr>
          <w:b/>
          <w:snapToGrid w:val="0"/>
          <w:color w:val="FF0000"/>
        </w:rPr>
        <w:t>#</w:t>
      </w:r>
      <w:r w:rsidRPr="006A3E69">
        <w:rPr>
          <w:b/>
          <w:snapToGrid w:val="0"/>
          <w:color w:val="FF0000"/>
        </w:rPr>
        <w:t>1, and then skip the remainder of the section. The hospital will be shown as “Does Not Apply.”</w:t>
      </w:r>
      <w:r>
        <w:rPr>
          <w:b/>
          <w:snapToGrid w:val="0"/>
          <w:color w:val="FF0000"/>
        </w:rPr>
        <w:t xml:space="preserve"> </w:t>
      </w:r>
    </w:p>
    <w:p w14:paraId="31AD8A49" w14:textId="77777777" w:rsidR="00561293" w:rsidRPr="006B064A" w:rsidRDefault="00561293" w:rsidP="00561293">
      <w:pPr>
        <w:pStyle w:val="BodyText3"/>
        <w:rPr>
          <w:color w:val="FF0000"/>
          <w:lang w:eastAsia="ja-JP"/>
        </w:rPr>
      </w:pPr>
    </w:p>
    <w:p w14:paraId="699EDFFE" w14:textId="77777777" w:rsidR="00561293" w:rsidRPr="00BC2D78" w:rsidRDefault="00561293" w:rsidP="007A44CB">
      <w:pPr>
        <w:pStyle w:val="Heading3"/>
      </w:pPr>
      <w:bookmarkStart w:id="332" w:name="_Toc383775094"/>
      <w:bookmarkStart w:id="333" w:name="_Toc447195091"/>
      <w:r w:rsidRPr="00BC2D78">
        <w:rPr>
          <w:rFonts w:hint="eastAsia"/>
        </w:rPr>
        <w:t>What</w:t>
      </w:r>
      <w:r w:rsidRPr="00BC2D78">
        <w:t>’</w:t>
      </w:r>
      <w:r w:rsidRPr="00BC2D78">
        <w:rPr>
          <w:rFonts w:hint="eastAsia"/>
        </w:rPr>
        <w:t xml:space="preserve">s New in the </w:t>
      </w:r>
      <w:bookmarkEnd w:id="332"/>
      <w:r w:rsidR="004F68CC">
        <w:t>2016 Survey</w:t>
      </w:r>
      <w:bookmarkEnd w:id="333"/>
    </w:p>
    <w:p w14:paraId="0F040C70" w14:textId="77777777" w:rsidR="00561293" w:rsidRPr="00BC2D78" w:rsidRDefault="00561293" w:rsidP="00561293">
      <w:pPr>
        <w:widowControl w:val="0"/>
        <w:tabs>
          <w:tab w:val="left" w:pos="360"/>
        </w:tabs>
        <w:autoSpaceDE w:val="0"/>
        <w:autoSpaceDN w:val="0"/>
        <w:adjustRightInd w:val="0"/>
        <w:ind w:left="360"/>
        <w:rPr>
          <w:lang w:eastAsia="ja-JP"/>
        </w:rPr>
      </w:pPr>
    </w:p>
    <w:p w14:paraId="295DCD27" w14:textId="77777777" w:rsidR="00862314" w:rsidRDefault="00862314" w:rsidP="00862314">
      <w:pPr>
        <w:shd w:val="clear" w:color="auto" w:fill="FFFFFF"/>
        <w:contextualSpacing/>
        <w:rPr>
          <w:rFonts w:cs="Arial"/>
          <w:bCs/>
          <w:color w:val="000000"/>
          <w:bdr w:val="none" w:sz="0" w:space="0" w:color="auto" w:frame="1"/>
        </w:rPr>
      </w:pPr>
      <w:r>
        <w:rPr>
          <w:rFonts w:cs="Arial"/>
          <w:bCs/>
          <w:color w:val="000000"/>
          <w:bdr w:val="none" w:sz="0" w:space="0" w:color="auto" w:frame="1"/>
        </w:rPr>
        <w:t>In 2015</w:t>
      </w:r>
      <w:r w:rsidRPr="004845CE">
        <w:rPr>
          <w:rFonts w:cs="Arial"/>
          <w:bCs/>
          <w:color w:val="000000"/>
          <w:bdr w:val="none" w:sz="0" w:space="0" w:color="auto" w:frame="1"/>
        </w:rPr>
        <w:t xml:space="preserve">, </w:t>
      </w:r>
      <w:r>
        <w:rPr>
          <w:rFonts w:cs="Arial"/>
          <w:bCs/>
          <w:color w:val="000000"/>
          <w:bdr w:val="none" w:sz="0" w:space="0" w:color="auto" w:frame="1"/>
        </w:rPr>
        <w:t>Leapfrog asked hospital to report on both risk-adjusted lengths of stay and readmission rates for three common acute conditions</w:t>
      </w:r>
      <w:r w:rsidRPr="004845CE">
        <w:rPr>
          <w:rFonts w:cs="Arial"/>
          <w:bCs/>
          <w:color w:val="000000"/>
          <w:bdr w:val="none" w:sz="0" w:space="0" w:color="auto" w:frame="1"/>
        </w:rPr>
        <w:t xml:space="preserve"> </w:t>
      </w:r>
      <w:r>
        <w:rPr>
          <w:rFonts w:cs="Arial"/>
          <w:bCs/>
          <w:color w:val="000000"/>
          <w:bdr w:val="none" w:sz="0" w:space="0" w:color="auto" w:frame="1"/>
        </w:rPr>
        <w:t>(</w:t>
      </w:r>
      <w:r w:rsidRPr="004845CE">
        <w:rPr>
          <w:rFonts w:cs="Arial"/>
          <w:bCs/>
          <w:color w:val="000000"/>
          <w:bdr w:val="none" w:sz="0" w:space="0" w:color="auto" w:frame="1"/>
        </w:rPr>
        <w:t>AMI, Heart Failure, and Pneumonia</w:t>
      </w:r>
      <w:r>
        <w:rPr>
          <w:rFonts w:cs="Arial"/>
          <w:bCs/>
          <w:color w:val="000000"/>
          <w:bdr w:val="none" w:sz="0" w:space="0" w:color="auto" w:frame="1"/>
        </w:rPr>
        <w:t>)</w:t>
      </w:r>
      <w:r w:rsidRPr="004845CE">
        <w:rPr>
          <w:rFonts w:cs="Arial"/>
          <w:bCs/>
          <w:color w:val="000000"/>
          <w:bdr w:val="none" w:sz="0" w:space="0" w:color="auto" w:frame="1"/>
        </w:rPr>
        <w:t>.</w:t>
      </w:r>
      <w:r>
        <w:rPr>
          <w:rFonts w:cs="Arial"/>
          <w:bCs/>
          <w:color w:val="000000"/>
          <w:bdr w:val="none" w:sz="0" w:space="0" w:color="auto" w:frame="1"/>
        </w:rPr>
        <w:t xml:space="preserve"> In 2016, due to the national transition to ICD-10 administrative coding and the challenges of updating the risk adjustment model given the scarcity of published ICD-10 administrative data sets, Leapfrog remove</w:t>
      </w:r>
      <w:r w:rsidR="00BB3F27">
        <w:rPr>
          <w:rFonts w:cs="Arial"/>
          <w:bCs/>
          <w:color w:val="000000"/>
          <w:bdr w:val="none" w:sz="0" w:space="0" w:color="auto" w:frame="1"/>
        </w:rPr>
        <w:t>d</w:t>
      </w:r>
      <w:r>
        <w:rPr>
          <w:rFonts w:cs="Arial"/>
          <w:bCs/>
          <w:color w:val="000000"/>
          <w:bdr w:val="none" w:sz="0" w:space="0" w:color="auto" w:frame="1"/>
        </w:rPr>
        <w:t xml:space="preserve"> the length of stay measures from this section of the survey.</w:t>
      </w:r>
    </w:p>
    <w:p w14:paraId="0E9407F2" w14:textId="77777777" w:rsidR="00862314" w:rsidRDefault="00862314" w:rsidP="00862314">
      <w:pPr>
        <w:shd w:val="clear" w:color="auto" w:fill="FFFFFF"/>
        <w:contextualSpacing/>
        <w:rPr>
          <w:rFonts w:cs="Arial"/>
          <w:bCs/>
          <w:color w:val="000000"/>
          <w:bdr w:val="none" w:sz="0" w:space="0" w:color="auto" w:frame="1"/>
        </w:rPr>
      </w:pPr>
    </w:p>
    <w:p w14:paraId="600179EC" w14:textId="77777777" w:rsidR="00561293" w:rsidRDefault="00862314" w:rsidP="00862314">
      <w:pPr>
        <w:rPr>
          <w:rFonts w:cs="Arial"/>
          <w:bCs/>
          <w:color w:val="000000"/>
          <w:bdr w:val="none" w:sz="0" w:space="0" w:color="auto" w:frame="1"/>
        </w:rPr>
      </w:pPr>
      <w:r w:rsidRPr="00843E8A">
        <w:rPr>
          <w:rFonts w:cs="Arial"/>
          <w:bCs/>
          <w:color w:val="000000"/>
          <w:bdr w:val="none" w:sz="0" w:space="0" w:color="auto" w:frame="1"/>
        </w:rPr>
        <w:t>We add</w:t>
      </w:r>
      <w:r w:rsidR="00BB3F27">
        <w:rPr>
          <w:rFonts w:cs="Arial"/>
          <w:bCs/>
          <w:color w:val="000000"/>
          <w:bdr w:val="none" w:sz="0" w:space="0" w:color="auto" w:frame="1"/>
        </w:rPr>
        <w:t>ed</w:t>
      </w:r>
      <w:r w:rsidRPr="00843E8A">
        <w:rPr>
          <w:rFonts w:cs="Arial"/>
          <w:bCs/>
          <w:color w:val="000000"/>
          <w:bdr w:val="none" w:sz="0" w:space="0" w:color="auto" w:frame="1"/>
        </w:rPr>
        <w:t xml:space="preserve"> three additional readmission measures to this section to better align with the CMS Readmission Reduction Program: CABG, COPD, and THA/TKA. Leapfrog will continue to calculate a volume-weighted composite score for hospital readmissions. The composite will be made up of six, rather than three measu</w:t>
      </w:r>
      <w:r>
        <w:rPr>
          <w:rFonts w:cs="Arial"/>
          <w:bCs/>
          <w:color w:val="000000"/>
          <w:bdr w:val="none" w:sz="0" w:space="0" w:color="auto" w:frame="1"/>
        </w:rPr>
        <w:t xml:space="preserve">res. </w:t>
      </w:r>
      <w:r w:rsidRPr="00843E8A">
        <w:rPr>
          <w:rFonts w:cs="Arial"/>
          <w:bCs/>
          <w:color w:val="000000"/>
          <w:bdr w:val="none" w:sz="0" w:space="0" w:color="auto" w:frame="1"/>
        </w:rPr>
        <w:t>Hospitals no longer need to look up the volume and readmission rate for each measure</w:t>
      </w:r>
      <w:r>
        <w:rPr>
          <w:rFonts w:cs="Arial"/>
          <w:bCs/>
          <w:color w:val="000000"/>
          <w:bdr w:val="none" w:sz="0" w:space="0" w:color="auto" w:frame="1"/>
        </w:rPr>
        <w:t xml:space="preserve"> on the CMS Hospital Compare Website</w:t>
      </w:r>
      <w:r w:rsidRPr="00843E8A">
        <w:rPr>
          <w:rFonts w:cs="Arial"/>
          <w:bCs/>
          <w:color w:val="000000"/>
          <w:bdr w:val="none" w:sz="0" w:space="0" w:color="auto" w:frame="1"/>
        </w:rPr>
        <w:t>. This information will be pre-populated in each survey based on the hospital’s Medicare P</w:t>
      </w:r>
      <w:r>
        <w:rPr>
          <w:rFonts w:cs="Arial"/>
          <w:bCs/>
          <w:color w:val="000000"/>
          <w:bdr w:val="none" w:sz="0" w:space="0" w:color="auto" w:frame="1"/>
        </w:rPr>
        <w:t>rovider Number.</w:t>
      </w:r>
    </w:p>
    <w:p w14:paraId="33AF369D" w14:textId="77777777" w:rsidR="004B4F94" w:rsidRDefault="004B4F94" w:rsidP="00862314">
      <w:pPr>
        <w:rPr>
          <w:rFonts w:cs="Arial"/>
          <w:bCs/>
          <w:color w:val="000000"/>
          <w:bdr w:val="none" w:sz="0" w:space="0" w:color="auto" w:frame="1"/>
        </w:rPr>
      </w:pPr>
    </w:p>
    <w:p w14:paraId="63CF03BE" w14:textId="77777777" w:rsidR="004C2D6D" w:rsidRPr="004C2D6D" w:rsidRDefault="004C2D6D" w:rsidP="004C2D6D">
      <w:pPr>
        <w:rPr>
          <w:b/>
          <w:snapToGrid w:val="0"/>
          <w:color w:val="FF0000"/>
        </w:rPr>
      </w:pPr>
      <w:r w:rsidRPr="004C2D6D">
        <w:rPr>
          <w:b/>
          <w:snapToGrid w:val="0"/>
          <w:color w:val="FF0000"/>
        </w:rPr>
        <w:t xml:space="preserve">Important Notes: </w:t>
      </w:r>
    </w:p>
    <w:p w14:paraId="17CF80A5" w14:textId="77777777" w:rsidR="004C2D6D" w:rsidRDefault="004C2D6D" w:rsidP="004C2D6D">
      <w:pPr>
        <w:rPr>
          <w:snapToGrid w:val="0"/>
        </w:rPr>
      </w:pPr>
    </w:p>
    <w:p w14:paraId="0E86EDA5" w14:textId="77777777" w:rsidR="004C2D6D" w:rsidRDefault="004C2D6D" w:rsidP="004C2D6D">
      <w:pPr>
        <w:rPr>
          <w:snapToGrid w:val="0"/>
        </w:rPr>
      </w:pPr>
      <w:r w:rsidRPr="00A15EC6">
        <w:rPr>
          <w:snapToGrid w:val="0"/>
        </w:rPr>
        <w:t>Note 1:</w:t>
      </w:r>
      <w:r>
        <w:rPr>
          <w:snapToGrid w:val="0"/>
        </w:rPr>
        <w:t xml:space="preserve"> </w:t>
      </w:r>
      <w:r w:rsidRPr="00EF776D">
        <w:rPr>
          <w:snapToGrid w:val="0"/>
        </w:rPr>
        <w:t>Responses</w:t>
      </w:r>
      <w:r>
        <w:rPr>
          <w:snapToGrid w:val="0"/>
        </w:rPr>
        <w:t xml:space="preserve"> to Section 9B </w:t>
      </w:r>
      <w:r w:rsidRPr="00EF776D">
        <w:rPr>
          <w:snapToGrid w:val="0"/>
        </w:rPr>
        <w:t>are pre-populated in the online survey tool based on information published by CMS on the Hospital Compare Website</w:t>
      </w:r>
      <w:r>
        <w:rPr>
          <w:snapToGrid w:val="0"/>
        </w:rPr>
        <w:t xml:space="preserve"> for your hospital’s Medicare Provider Number</w:t>
      </w:r>
      <w:r w:rsidRPr="00EF776D">
        <w:rPr>
          <w:snapToGrid w:val="0"/>
        </w:rPr>
        <w:t>.</w:t>
      </w:r>
      <w:r>
        <w:rPr>
          <w:snapToGrid w:val="0"/>
        </w:rPr>
        <w:t xml:space="preserve"> If the Medicare Provider Number displayed in the Hospital Profile has changed or is not correct, please contact the Help Desk immediately. </w:t>
      </w:r>
      <w:r w:rsidRPr="00EF776D">
        <w:rPr>
          <w:snapToGrid w:val="0"/>
        </w:rPr>
        <w:t xml:space="preserve"> </w:t>
      </w:r>
    </w:p>
    <w:p w14:paraId="69579327" w14:textId="77777777" w:rsidR="004C2D6D" w:rsidRDefault="004C2D6D" w:rsidP="004C2D6D">
      <w:pPr>
        <w:rPr>
          <w:snapToGrid w:val="0"/>
        </w:rPr>
      </w:pPr>
    </w:p>
    <w:p w14:paraId="5FB5328E" w14:textId="77777777" w:rsidR="004C2D6D" w:rsidRPr="00EF776D" w:rsidRDefault="004C2D6D" w:rsidP="004C2D6D">
      <w:pPr>
        <w:rPr>
          <w:snapToGrid w:val="0"/>
        </w:rPr>
      </w:pPr>
      <w:r>
        <w:rPr>
          <w:snapToGrid w:val="0"/>
        </w:rPr>
        <w:t xml:space="preserve">Note 2: Even though the responses to Section 9B are pre-populated, Section 9 must still be </w:t>
      </w:r>
      <w:r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Respond.”</w:t>
      </w:r>
    </w:p>
    <w:p w14:paraId="4561674C" w14:textId="77777777" w:rsidR="004C2D6D" w:rsidRPr="00EF776D" w:rsidRDefault="004C2D6D" w:rsidP="004C2D6D">
      <w:pPr>
        <w:rPr>
          <w:snapToGrid w:val="0"/>
        </w:rPr>
      </w:pPr>
    </w:p>
    <w:p w14:paraId="44C4B629" w14:textId="77777777" w:rsidR="004C2D6D" w:rsidRDefault="004C2D6D" w:rsidP="004C2D6D">
      <w:pPr>
        <w:rPr>
          <w:b/>
          <w:snapToGrid w:val="0"/>
        </w:rPr>
      </w:pPr>
      <w:r w:rsidRPr="00A15EC6">
        <w:rPr>
          <w:snapToGrid w:val="0"/>
        </w:rPr>
        <w:t>Note 2</w:t>
      </w:r>
      <w:r>
        <w:rPr>
          <w:snapToGrid w:val="0"/>
        </w:rPr>
        <w:t>:</w:t>
      </w:r>
      <w:r>
        <w:rPr>
          <w:snapToGrid w:val="0"/>
          <w:color w:val="FF0000"/>
        </w:rPr>
        <w:t xml:space="preserve"> </w:t>
      </w:r>
      <w:r w:rsidRPr="00EF776D">
        <w:rPr>
          <w:snapToGrid w:val="0"/>
        </w:rPr>
        <w:t>Responses to this section will be automatically updated in July</w:t>
      </w:r>
      <w:r>
        <w:rPr>
          <w:snapToGrid w:val="0"/>
        </w:rPr>
        <w:t>,</w:t>
      </w:r>
      <w:r w:rsidRPr="00EF776D">
        <w:rPr>
          <w:snapToGrid w:val="0"/>
        </w:rPr>
        <w:t xml:space="preserve"> if and when CMS updates the Hospital Compare Website. Leapfrog will notify hospitals via email when the update occurs. </w:t>
      </w:r>
      <w:r w:rsidRPr="00632F96">
        <w:rPr>
          <w:b/>
          <w:snapToGrid w:val="0"/>
        </w:rPr>
        <w:t xml:space="preserve">Hospitals will need to log back into their survey, re-affirm this section, and re-submit their survey in order for these results to continue to be publicly reported and used in LHRP and for the purposes of determining Top Hospital. </w:t>
      </w:r>
    </w:p>
    <w:p w14:paraId="498D1DC8" w14:textId="77777777" w:rsidR="00E54F14" w:rsidRPr="00E54F14" w:rsidRDefault="00E54F14" w:rsidP="00E54F14">
      <w:pPr>
        <w:rPr>
          <w:lang w:eastAsia="ja-JP"/>
        </w:rPr>
      </w:pPr>
    </w:p>
    <w:p w14:paraId="45BC6828" w14:textId="77777777" w:rsidR="00561293" w:rsidRPr="00BC2D78" w:rsidRDefault="00561293" w:rsidP="007A44CB">
      <w:pPr>
        <w:pStyle w:val="Heading3"/>
      </w:pPr>
      <w:bookmarkStart w:id="334" w:name="_Toc383775095"/>
      <w:bookmarkStart w:id="335" w:name="_Toc447195092"/>
      <w:r w:rsidRPr="00BC2D78">
        <w:rPr>
          <w:rFonts w:hint="eastAsia"/>
        </w:rPr>
        <w:t>Change Summary since Release</w:t>
      </w:r>
      <w:bookmarkEnd w:id="334"/>
      <w:bookmarkEnd w:id="335"/>
    </w:p>
    <w:p w14:paraId="67F4B2F3" w14:textId="77777777" w:rsidR="00561293" w:rsidRPr="00BC2D78" w:rsidRDefault="00561293" w:rsidP="00561293">
      <w:pPr>
        <w:rPr>
          <w:lang w:eastAsia="ja-JP"/>
        </w:rPr>
      </w:pPr>
    </w:p>
    <w:p w14:paraId="31820E1D" w14:textId="77777777" w:rsidR="00BB3F27" w:rsidRDefault="00BB3F27" w:rsidP="00BB3F27">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1, 2016,</w:t>
      </w:r>
      <w:r w:rsidRPr="00BC2D78">
        <w:rPr>
          <w:lang w:eastAsia="ja-JP"/>
        </w:rPr>
        <w:t xml:space="preserve"> they will be documented in this Change Summary section.</w:t>
      </w:r>
    </w:p>
    <w:p w14:paraId="65642F59" w14:textId="77777777" w:rsidR="00E47528" w:rsidRDefault="00E47528">
      <w:pPr>
        <w:rPr>
          <w:b/>
          <w:i/>
          <w:color w:val="000000"/>
          <w:sz w:val="28"/>
          <w:u w:val="single"/>
          <w:lang w:eastAsia="ja-JP"/>
        </w:rPr>
      </w:pPr>
      <w:r>
        <w:rPr>
          <w:i/>
          <w:color w:val="000000"/>
        </w:rPr>
        <w:br w:type="page"/>
      </w:r>
    </w:p>
    <w:p w14:paraId="4F7947BE" w14:textId="77777777" w:rsidR="00561293" w:rsidRPr="003D207A" w:rsidRDefault="00561293" w:rsidP="00954B73">
      <w:pPr>
        <w:pStyle w:val="Heading2"/>
      </w:pPr>
      <w:bookmarkStart w:id="336" w:name="_Toc383775113"/>
      <w:bookmarkStart w:id="337" w:name="_Toc447195093"/>
      <w:bookmarkStart w:id="338" w:name="ReadSpecs"/>
      <w:r w:rsidRPr="003D207A">
        <w:lastRenderedPageBreak/>
        <w:t>Readmissions Measure</w:t>
      </w:r>
      <w:bookmarkEnd w:id="336"/>
      <w:r w:rsidR="001B52AD" w:rsidRPr="003D207A">
        <w:t>s References</w:t>
      </w:r>
      <w:bookmarkEnd w:id="337"/>
      <w:r w:rsidR="001B52AD" w:rsidRPr="003D207A">
        <w:t xml:space="preserve"> </w:t>
      </w:r>
    </w:p>
    <w:bookmarkEnd w:id="338"/>
    <w:p w14:paraId="7AC218C4" w14:textId="77777777" w:rsidR="00561293" w:rsidRPr="003D207A" w:rsidRDefault="00561293" w:rsidP="00561293">
      <w:pPr>
        <w:rPr>
          <w:lang w:eastAsia="ja-JP"/>
        </w:rPr>
      </w:pPr>
    </w:p>
    <w:p w14:paraId="033D01C1" w14:textId="77777777" w:rsidR="00E47528" w:rsidRPr="003D207A" w:rsidRDefault="004C2D6D" w:rsidP="00561293">
      <w:pPr>
        <w:rPr>
          <w:lang w:eastAsia="ja-JP"/>
        </w:rPr>
      </w:pPr>
      <w:r>
        <w:rPr>
          <w:snapToGrid w:val="0"/>
        </w:rPr>
        <w:t>Responses to Section 9B</w:t>
      </w:r>
      <w:r w:rsidR="00E47528" w:rsidRPr="003D207A">
        <w:rPr>
          <w:snapToGrid w:val="0"/>
        </w:rPr>
        <w:t xml:space="preserve"> are pre-populated based on information published by CMS on the Hospital Compare Website</w:t>
      </w:r>
      <w:r w:rsidR="003D207A">
        <w:rPr>
          <w:snapToGrid w:val="0"/>
        </w:rPr>
        <w:t xml:space="preserve"> (</w:t>
      </w:r>
      <w:hyperlink r:id="rId204" w:history="1">
        <w:r w:rsidR="003D207A" w:rsidRPr="00E85B55">
          <w:rPr>
            <w:rStyle w:val="Hyperlink"/>
            <w:snapToGrid w:val="0"/>
          </w:rPr>
          <w:t>https://www.medicare.gov/hospitalcompare/search.html</w:t>
        </w:r>
      </w:hyperlink>
      <w:r w:rsidR="003D207A">
        <w:rPr>
          <w:snapToGrid w:val="0"/>
        </w:rPr>
        <w:t xml:space="preserve">). </w:t>
      </w:r>
      <w:r w:rsidR="00E47528" w:rsidRPr="003D207A">
        <w:rPr>
          <w:snapToGrid w:val="0"/>
        </w:rPr>
        <w:t>These responses need to be</w:t>
      </w:r>
      <w:r w:rsidR="00044001">
        <w:rPr>
          <w:snapToGrid w:val="0"/>
        </w:rPr>
        <w:t xml:space="preserve"> reviewed,</w:t>
      </w:r>
      <w:r w:rsidR="00E47528" w:rsidRPr="003D207A">
        <w:rPr>
          <w:snapToGrid w:val="0"/>
        </w:rPr>
        <w:t xml:space="preserve"> affirmed</w:t>
      </w:r>
      <w:r w:rsidR="00044001">
        <w:rPr>
          <w:snapToGrid w:val="0"/>
        </w:rPr>
        <w:t>,</w:t>
      </w:r>
      <w:r w:rsidR="00E47528" w:rsidRPr="003D207A">
        <w:rPr>
          <w:snapToGrid w:val="0"/>
        </w:rPr>
        <w:t xml:space="preserve"> and submitted. If you identify a discrepancy, please contact the Help Desk</w:t>
      </w:r>
      <w:r w:rsidR="00D1736C">
        <w:rPr>
          <w:snapToGrid w:val="0"/>
        </w:rPr>
        <w:t xml:space="preserve"> at </w:t>
      </w:r>
      <w:hyperlink r:id="rId205" w:history="1">
        <w:r w:rsidR="00D1736C" w:rsidRPr="00E85B55">
          <w:rPr>
            <w:rStyle w:val="Hyperlink"/>
            <w:snapToGrid w:val="0"/>
          </w:rPr>
          <w:t>https://leapfroghospitalsurvey.zendesk.com</w:t>
        </w:r>
      </w:hyperlink>
      <w:r w:rsidR="00E47528" w:rsidRPr="003D207A">
        <w:rPr>
          <w:snapToGrid w:val="0"/>
        </w:rPr>
        <w:t>.</w:t>
      </w:r>
      <w:r w:rsidR="00D1736C">
        <w:rPr>
          <w:snapToGrid w:val="0"/>
        </w:rPr>
        <w:t xml:space="preserve"> </w:t>
      </w:r>
    </w:p>
    <w:p w14:paraId="567907FA" w14:textId="77777777" w:rsidR="00E47528" w:rsidRPr="003D207A" w:rsidRDefault="00E47528" w:rsidP="00561293">
      <w:pPr>
        <w:rPr>
          <w:lang w:eastAsia="ja-JP"/>
        </w:rPr>
      </w:pPr>
    </w:p>
    <w:p w14:paraId="7C33EADE" w14:textId="77777777" w:rsidR="00561293" w:rsidRPr="003D207A" w:rsidRDefault="00561293" w:rsidP="00561293">
      <w:pPr>
        <w:rPr>
          <w:lang w:eastAsia="ja-JP"/>
        </w:rPr>
      </w:pPr>
      <w:r w:rsidRPr="003D207A">
        <w:rPr>
          <w:lang w:eastAsia="ja-JP"/>
        </w:rPr>
        <w:t xml:space="preserve">30-day risk standardized readmission rates are collected and calculated by CMS. To </w:t>
      </w:r>
      <w:r w:rsidR="006942DD">
        <w:rPr>
          <w:lang w:eastAsia="ja-JP"/>
        </w:rPr>
        <w:t>verify the values that Leapfrog has pre-populated into your online survey tool in this section of the survey</w:t>
      </w:r>
      <w:r w:rsidRPr="003D207A">
        <w:rPr>
          <w:lang w:eastAsia="ja-JP"/>
        </w:rPr>
        <w:t>, you will need to ac</w:t>
      </w:r>
      <w:r w:rsidR="00D04FFF" w:rsidRPr="003D207A">
        <w:rPr>
          <w:lang w:eastAsia="ja-JP"/>
        </w:rPr>
        <w:t>c</w:t>
      </w:r>
      <w:r w:rsidRPr="003D207A">
        <w:rPr>
          <w:lang w:eastAsia="ja-JP"/>
        </w:rPr>
        <w:t xml:space="preserve">ess your hospital’s publicly reported results on CMS Hospital Compare.  Please use the following instructions: </w:t>
      </w:r>
    </w:p>
    <w:p w14:paraId="6EC650D0" w14:textId="77777777" w:rsidR="00561293" w:rsidRPr="005B4265" w:rsidRDefault="00561293" w:rsidP="00561293">
      <w:pPr>
        <w:rPr>
          <w:lang w:eastAsia="ja-JP"/>
        </w:rPr>
      </w:pPr>
    </w:p>
    <w:p w14:paraId="491739AB" w14:textId="77777777" w:rsidR="004C2D6D" w:rsidRDefault="00561293" w:rsidP="00ED58C1">
      <w:pPr>
        <w:pStyle w:val="ListParagraph"/>
        <w:numPr>
          <w:ilvl w:val="0"/>
          <w:numId w:val="129"/>
        </w:numPr>
        <w:rPr>
          <w:noProof/>
        </w:rPr>
      </w:pPr>
      <w:r w:rsidRPr="005B4265">
        <w:rPr>
          <w:lang w:eastAsia="ja-JP"/>
        </w:rPr>
        <w:t xml:space="preserve">Search for your facility at </w:t>
      </w:r>
      <w:hyperlink r:id="rId206" w:history="1">
        <w:r w:rsidR="00CE20F8" w:rsidRPr="004C2D6D">
          <w:rPr>
            <w:rStyle w:val="Hyperlink"/>
            <w:snapToGrid w:val="0"/>
          </w:rPr>
          <w:t>https://www.medicare.gov/hospitalcompare/search.html</w:t>
        </w:r>
      </w:hyperlink>
      <w:r w:rsidR="004C2D6D">
        <w:rPr>
          <w:lang w:eastAsia="ja-JP"/>
        </w:rPr>
        <w:t xml:space="preserve">. </w:t>
      </w:r>
    </w:p>
    <w:p w14:paraId="1B0C2393" w14:textId="77777777" w:rsidR="004C2D6D" w:rsidRDefault="004C2D6D" w:rsidP="004C2D6D">
      <w:pPr>
        <w:ind w:left="360"/>
        <w:rPr>
          <w:noProof/>
        </w:rPr>
      </w:pPr>
    </w:p>
    <w:p w14:paraId="3BBD78B2" w14:textId="77777777" w:rsidR="004C2D6D" w:rsidRDefault="00561293" w:rsidP="00ED58C1">
      <w:pPr>
        <w:pStyle w:val="ListParagraph"/>
        <w:numPr>
          <w:ilvl w:val="0"/>
          <w:numId w:val="129"/>
        </w:numPr>
        <w:rPr>
          <w:noProof/>
        </w:rPr>
      </w:pPr>
      <w:r w:rsidRPr="005B4265">
        <w:rPr>
          <w:lang w:eastAsia="ja-JP"/>
        </w:rPr>
        <w:t>After you have found your hospital in the list of results, click on your hospital name to be brought to your “Hospital Profile.”</w:t>
      </w:r>
    </w:p>
    <w:p w14:paraId="6ECC2AA4" w14:textId="77777777" w:rsidR="004C2D6D" w:rsidRDefault="004C2D6D" w:rsidP="004C2D6D">
      <w:pPr>
        <w:pStyle w:val="ListParagraph"/>
        <w:rPr>
          <w:noProof/>
        </w:rPr>
      </w:pPr>
    </w:p>
    <w:p w14:paraId="298CB796" w14:textId="77777777" w:rsidR="00183FB6" w:rsidRPr="004C2D6D" w:rsidRDefault="00561293" w:rsidP="00ED58C1">
      <w:pPr>
        <w:pStyle w:val="ListParagraph"/>
        <w:numPr>
          <w:ilvl w:val="0"/>
          <w:numId w:val="129"/>
        </w:numPr>
        <w:rPr>
          <w:noProof/>
        </w:rPr>
      </w:pPr>
      <w:r w:rsidRPr="005B4265">
        <w:rPr>
          <w:lang w:eastAsia="ja-JP"/>
        </w:rPr>
        <w:t>Once on your “Hospital Profile” page, select the tab titled “Readmissions</w:t>
      </w:r>
      <w:r w:rsidR="00183FB6" w:rsidRPr="005B4265">
        <w:rPr>
          <w:lang w:eastAsia="ja-JP"/>
        </w:rPr>
        <w:t xml:space="preserve"> &amp;</w:t>
      </w:r>
      <w:r w:rsidR="005B4265" w:rsidRPr="005B4265">
        <w:rPr>
          <w:lang w:eastAsia="ja-JP"/>
        </w:rPr>
        <w:t xml:space="preserve"> </w:t>
      </w:r>
      <w:r w:rsidR="00650C64">
        <w:rPr>
          <w:lang w:eastAsia="ja-JP"/>
        </w:rPr>
        <w:t>d</w:t>
      </w:r>
      <w:r w:rsidRPr="005B4265">
        <w:rPr>
          <w:lang w:eastAsia="ja-JP"/>
        </w:rPr>
        <w:t>eaths”</w:t>
      </w:r>
      <w:r w:rsidR="00183FB6" w:rsidRPr="005B4265">
        <w:rPr>
          <w:lang w:eastAsia="ja-JP"/>
        </w:rPr>
        <w:t>:</w:t>
      </w:r>
      <w:r w:rsidR="00CE20F8">
        <w:rPr>
          <w:lang w:eastAsia="ja-JP"/>
        </w:rPr>
        <w:br/>
      </w:r>
    </w:p>
    <w:p w14:paraId="166BBF73" w14:textId="77777777" w:rsidR="00D04FFF" w:rsidRPr="005B4265" w:rsidRDefault="00183FB6" w:rsidP="004C2D6D">
      <w:pPr>
        <w:jc w:val="center"/>
        <w:rPr>
          <w:lang w:eastAsia="ja-JP"/>
        </w:rPr>
      </w:pPr>
      <w:r w:rsidRPr="005B4265">
        <w:rPr>
          <w:noProof/>
        </w:rPr>
        <w:drawing>
          <wp:inline distT="0" distB="0" distL="0" distR="0" wp14:anchorId="761A9F17" wp14:editId="76561BB4">
            <wp:extent cx="3934538" cy="3038475"/>
            <wp:effectExtent l="152400" t="152400" r="370840" b="3524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m.PNG"/>
                    <pic:cNvPicPr/>
                  </pic:nvPicPr>
                  <pic:blipFill rotWithShape="1">
                    <a:blip r:embed="rId207">
                      <a:extLst>
                        <a:ext uri="{28A0092B-C50C-407E-A947-70E740481C1C}">
                          <a14:useLocalDpi xmlns:a14="http://schemas.microsoft.com/office/drawing/2010/main" val="0"/>
                        </a:ext>
                      </a:extLst>
                    </a:blip>
                    <a:srcRect b="27237"/>
                    <a:stretch/>
                  </pic:blipFill>
                  <pic:spPr bwMode="auto">
                    <a:xfrm>
                      <a:off x="0" y="0"/>
                      <a:ext cx="3943926" cy="30457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E9C5CF8" w14:textId="77777777" w:rsidR="00183FB6" w:rsidRPr="005B4265" w:rsidRDefault="00183FB6" w:rsidP="0024006B">
      <w:pPr>
        <w:rPr>
          <w:b/>
          <w:u w:val="single"/>
          <w:lang w:eastAsia="ja-JP"/>
        </w:rPr>
      </w:pPr>
    </w:p>
    <w:p w14:paraId="0FA766CB" w14:textId="77777777" w:rsidR="00183FB6" w:rsidRPr="005B4265" w:rsidRDefault="00183FB6" w:rsidP="0024006B">
      <w:pPr>
        <w:rPr>
          <w:b/>
          <w:u w:val="single"/>
          <w:lang w:eastAsia="ja-JP"/>
        </w:rPr>
      </w:pPr>
    </w:p>
    <w:p w14:paraId="241F4547" w14:textId="77777777" w:rsidR="004C2D6D" w:rsidRDefault="00F50F1A" w:rsidP="00ED58C1">
      <w:pPr>
        <w:pStyle w:val="ListParagraph"/>
        <w:numPr>
          <w:ilvl w:val="0"/>
          <w:numId w:val="129"/>
        </w:numPr>
        <w:rPr>
          <w:lang w:eastAsia="ja-JP"/>
        </w:rPr>
      </w:pPr>
      <w:r w:rsidRPr="004C2D6D">
        <w:rPr>
          <w:lang w:eastAsia="ja-JP"/>
        </w:rPr>
        <w:t>Under the</w:t>
      </w:r>
      <w:r w:rsidRPr="000F55CE">
        <w:rPr>
          <w:lang w:eastAsia="ja-JP"/>
        </w:rPr>
        <w:t xml:space="preserve"> sub-heading titled “30-day unplanned readmissions &amp; deaths by m</w:t>
      </w:r>
      <w:r w:rsidR="004C2D6D">
        <w:rPr>
          <w:lang w:eastAsia="ja-JP"/>
        </w:rPr>
        <w:t>edical condition”, expand one</w:t>
      </w:r>
      <w:r w:rsidRPr="000F55CE">
        <w:rPr>
          <w:lang w:eastAsia="ja-JP"/>
        </w:rPr>
        <w:t xml:space="preserve"> the four conditions (Chronic </w:t>
      </w:r>
      <w:r w:rsidR="00650C64">
        <w:rPr>
          <w:lang w:eastAsia="ja-JP"/>
        </w:rPr>
        <w:t>o</w:t>
      </w:r>
      <w:r w:rsidRPr="000F55CE">
        <w:rPr>
          <w:lang w:eastAsia="ja-JP"/>
        </w:rPr>
        <w:t xml:space="preserve">bstructive </w:t>
      </w:r>
      <w:r w:rsidR="00650C64">
        <w:rPr>
          <w:lang w:eastAsia="ja-JP"/>
        </w:rPr>
        <w:t>p</w:t>
      </w:r>
      <w:r w:rsidRPr="000F55CE">
        <w:rPr>
          <w:lang w:eastAsia="ja-JP"/>
        </w:rPr>
        <w:t xml:space="preserve">ulmonary </w:t>
      </w:r>
      <w:r w:rsidR="00650C64">
        <w:rPr>
          <w:lang w:eastAsia="ja-JP"/>
        </w:rPr>
        <w:t>d</w:t>
      </w:r>
      <w:r w:rsidRPr="000F55CE">
        <w:rPr>
          <w:lang w:eastAsia="ja-JP"/>
        </w:rPr>
        <w:t>isease</w:t>
      </w:r>
      <w:r w:rsidR="00650C64">
        <w:rPr>
          <w:lang w:eastAsia="ja-JP"/>
        </w:rPr>
        <w:t xml:space="preserve"> (COPD)</w:t>
      </w:r>
      <w:r w:rsidRPr="000F55CE">
        <w:rPr>
          <w:lang w:eastAsia="ja-JP"/>
        </w:rPr>
        <w:t xml:space="preserve">, Heart attack, Heart </w:t>
      </w:r>
      <w:r w:rsidR="00650C64">
        <w:rPr>
          <w:lang w:eastAsia="ja-JP"/>
        </w:rPr>
        <w:t>f</w:t>
      </w:r>
      <w:r w:rsidRPr="000F55CE">
        <w:rPr>
          <w:lang w:eastAsia="ja-JP"/>
        </w:rPr>
        <w:t>ailure, and Pneumonia) and s</w:t>
      </w:r>
      <w:r w:rsidR="004C2D6D">
        <w:rPr>
          <w:lang w:eastAsia="ja-JP"/>
        </w:rPr>
        <w:t>elect the “Show Graphs” button.</w:t>
      </w:r>
    </w:p>
    <w:p w14:paraId="5EB16BDD" w14:textId="77777777" w:rsidR="004C2D6D" w:rsidRDefault="004C2D6D" w:rsidP="004C2D6D">
      <w:pPr>
        <w:pStyle w:val="ListParagraph"/>
        <w:rPr>
          <w:lang w:eastAsia="ja-JP"/>
        </w:rPr>
      </w:pPr>
    </w:p>
    <w:p w14:paraId="5783EA88" w14:textId="77777777" w:rsidR="00F50F1A" w:rsidRDefault="00F50F1A" w:rsidP="004C2D6D">
      <w:pPr>
        <w:pStyle w:val="ListParagraph"/>
        <w:rPr>
          <w:lang w:eastAsia="ja-JP"/>
        </w:rPr>
      </w:pPr>
      <w:r w:rsidRPr="000F55CE">
        <w:rPr>
          <w:lang w:eastAsia="ja-JP"/>
        </w:rPr>
        <w:t xml:space="preserve">Under the sub-heading titled “30-day unplanned readmissions &amp; deaths by surgical procedure”, expand one of the two conditions (Coronary </w:t>
      </w:r>
      <w:r w:rsidR="00650C64">
        <w:rPr>
          <w:lang w:eastAsia="ja-JP"/>
        </w:rPr>
        <w:t>a</w:t>
      </w:r>
      <w:r w:rsidRPr="000F55CE">
        <w:rPr>
          <w:lang w:eastAsia="ja-JP"/>
        </w:rPr>
        <w:t xml:space="preserve">rtery </w:t>
      </w:r>
      <w:r w:rsidR="00650C64">
        <w:rPr>
          <w:lang w:eastAsia="ja-JP"/>
        </w:rPr>
        <w:t>b</w:t>
      </w:r>
      <w:r w:rsidRPr="000F55CE">
        <w:rPr>
          <w:lang w:eastAsia="ja-JP"/>
        </w:rPr>
        <w:t xml:space="preserve">ypass </w:t>
      </w:r>
      <w:r w:rsidR="00650C64">
        <w:rPr>
          <w:lang w:eastAsia="ja-JP"/>
        </w:rPr>
        <w:t>g</w:t>
      </w:r>
      <w:r w:rsidRPr="000F55CE">
        <w:rPr>
          <w:lang w:eastAsia="ja-JP"/>
        </w:rPr>
        <w:t xml:space="preserve">raft </w:t>
      </w:r>
      <w:r w:rsidR="00650C64">
        <w:rPr>
          <w:lang w:eastAsia="ja-JP"/>
        </w:rPr>
        <w:t xml:space="preserve">(CABG) </w:t>
      </w:r>
      <w:r w:rsidRPr="000F55CE">
        <w:rPr>
          <w:lang w:eastAsia="ja-JP"/>
        </w:rPr>
        <w:t xml:space="preserve">and </w:t>
      </w:r>
      <w:r w:rsidR="00A67F56">
        <w:rPr>
          <w:lang w:eastAsia="ja-JP"/>
        </w:rPr>
        <w:t>h</w:t>
      </w:r>
      <w:r w:rsidRPr="000F55CE">
        <w:rPr>
          <w:lang w:eastAsia="ja-JP"/>
        </w:rPr>
        <w:t>ip/</w:t>
      </w:r>
      <w:r w:rsidR="00650C64">
        <w:rPr>
          <w:lang w:eastAsia="ja-JP"/>
        </w:rPr>
        <w:t>k</w:t>
      </w:r>
      <w:r w:rsidRPr="000F55CE">
        <w:rPr>
          <w:lang w:eastAsia="ja-JP"/>
        </w:rPr>
        <w:t xml:space="preserve">nee </w:t>
      </w:r>
      <w:r w:rsidR="00650C64">
        <w:rPr>
          <w:lang w:eastAsia="ja-JP"/>
        </w:rPr>
        <w:t>s</w:t>
      </w:r>
      <w:r w:rsidRPr="000F55CE">
        <w:rPr>
          <w:lang w:eastAsia="ja-JP"/>
        </w:rPr>
        <w:t>urgery) and select the “Show Graphs” button</w:t>
      </w:r>
      <w:r w:rsidR="004C2D6D">
        <w:rPr>
          <w:lang w:eastAsia="ja-JP"/>
        </w:rPr>
        <w:t>.</w:t>
      </w:r>
    </w:p>
    <w:p w14:paraId="316693BE" w14:textId="77777777" w:rsidR="00561293" w:rsidRDefault="00561293" w:rsidP="004C2D6D">
      <w:pPr>
        <w:jc w:val="center"/>
        <w:rPr>
          <w:lang w:eastAsia="ja-JP"/>
        </w:rPr>
      </w:pPr>
    </w:p>
    <w:p w14:paraId="74F0B5DC" w14:textId="77777777" w:rsidR="00624D83" w:rsidRDefault="00624D83" w:rsidP="004C2D6D">
      <w:pPr>
        <w:jc w:val="center"/>
        <w:rPr>
          <w:lang w:eastAsia="ja-JP"/>
        </w:rPr>
      </w:pPr>
    </w:p>
    <w:p w14:paraId="517DA8A4" w14:textId="77777777" w:rsidR="00624D83" w:rsidRDefault="00624D83" w:rsidP="004C2D6D">
      <w:pPr>
        <w:jc w:val="center"/>
        <w:rPr>
          <w:lang w:eastAsia="ja-JP"/>
        </w:rPr>
      </w:pPr>
    </w:p>
    <w:p w14:paraId="5CBB6ED2" w14:textId="77777777" w:rsidR="00624D83" w:rsidRPr="005B4265" w:rsidRDefault="00624D83" w:rsidP="004C2D6D">
      <w:pPr>
        <w:jc w:val="center"/>
        <w:rPr>
          <w:lang w:eastAsia="ja-JP"/>
        </w:rPr>
      </w:pPr>
    </w:p>
    <w:p w14:paraId="473EB465" w14:textId="77777777" w:rsidR="00F50F1A" w:rsidRPr="00451563" w:rsidRDefault="00F50F1A" w:rsidP="00ED58C1">
      <w:pPr>
        <w:pStyle w:val="ListParagraph"/>
        <w:numPr>
          <w:ilvl w:val="0"/>
          <w:numId w:val="129"/>
        </w:numPr>
        <w:rPr>
          <w:lang w:eastAsia="ja-JP"/>
        </w:rPr>
      </w:pPr>
      <w:r w:rsidRPr="00451563">
        <w:rPr>
          <w:lang w:eastAsia="ja-JP"/>
        </w:rPr>
        <w:lastRenderedPageBreak/>
        <w:t xml:space="preserve">For each condition applicable to your hospital, locate the </w:t>
      </w:r>
      <w:r w:rsidR="00E97DD3" w:rsidRPr="004C2D6D">
        <w:rPr>
          <w:b/>
          <w:lang w:eastAsia="ja-JP"/>
        </w:rPr>
        <w:t>number of included patients</w:t>
      </w:r>
      <w:r w:rsidRPr="00451563">
        <w:rPr>
          <w:lang w:eastAsia="ja-JP"/>
        </w:rPr>
        <w:t xml:space="preserve"> and the </w:t>
      </w:r>
      <w:r w:rsidRPr="004C2D6D">
        <w:rPr>
          <w:b/>
          <w:lang w:eastAsia="ja-JP"/>
        </w:rPr>
        <w:t xml:space="preserve">readmission rate </w:t>
      </w:r>
      <w:r w:rsidRPr="00451563">
        <w:rPr>
          <w:lang w:eastAsia="ja-JP"/>
        </w:rPr>
        <w:t>(listed above the bar in the graph</w:t>
      </w:r>
      <w:r w:rsidR="006942DD">
        <w:rPr>
          <w:lang w:eastAsia="ja-JP"/>
        </w:rPr>
        <w:t>). These are the values pre-</w:t>
      </w:r>
      <w:r w:rsidR="00EF776D">
        <w:rPr>
          <w:lang w:eastAsia="ja-JP"/>
        </w:rPr>
        <w:t>populated</w:t>
      </w:r>
      <w:r w:rsidRPr="00451563">
        <w:rPr>
          <w:lang w:eastAsia="ja-JP"/>
        </w:rPr>
        <w:t xml:space="preserve"> in Questions #2-3 (AMI), Questions #4-5 (heart failure),Questions #6-7 (pneumonia), Questions #8-9 (COPD), Questions #10-11 (THA/TKA), and Questions #12-13 (CABG). Refer to screenshot below:</w:t>
      </w:r>
    </w:p>
    <w:p w14:paraId="4B9B4E66" w14:textId="77777777" w:rsidR="00F50F1A" w:rsidRPr="005B4265" w:rsidRDefault="004C2D6D" w:rsidP="00F50F1A">
      <w:pPr>
        <w:rPr>
          <w:lang w:eastAsia="ja-JP"/>
        </w:rPr>
      </w:pPr>
      <w:r>
        <w:rPr>
          <w:noProof/>
        </w:rPr>
        <mc:AlternateContent>
          <mc:Choice Requires="wps">
            <w:drawing>
              <wp:anchor distT="0" distB="0" distL="114300" distR="114300" simplePos="0" relativeHeight="251680768" behindDoc="0" locked="0" layoutInCell="1" allowOverlap="1" wp14:anchorId="6071CD63" wp14:editId="08E138B1">
                <wp:simplePos x="0" y="0"/>
                <wp:positionH relativeFrom="column">
                  <wp:posOffset>552450</wp:posOffset>
                </wp:positionH>
                <wp:positionV relativeFrom="paragraph">
                  <wp:posOffset>107950</wp:posOffset>
                </wp:positionV>
                <wp:extent cx="2305050" cy="3143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305050" cy="314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F5AF306" id="Rectangle 20" o:spid="_x0000_s1026" style="position:absolute;margin-left:43.5pt;margin-top:8.5pt;width:181.5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" filled="f" strokecolor="red" strokeweight="2pt"/>
            </w:pict>
          </mc:Fallback>
        </mc:AlternateContent>
      </w:r>
    </w:p>
    <w:p w14:paraId="201B7261" w14:textId="77777777" w:rsidR="00561293" w:rsidRPr="005B4265" w:rsidRDefault="004C2D6D" w:rsidP="007A44CB">
      <w:pPr>
        <w:pStyle w:val="Heading3"/>
      </w:pPr>
      <w:bookmarkStart w:id="339" w:name="_Toc408833602"/>
      <w:bookmarkStart w:id="340" w:name="_Toc408834484"/>
      <w:bookmarkStart w:id="341" w:name="_Toc408834623"/>
      <w:bookmarkStart w:id="342" w:name="_Toc408834762"/>
      <w:bookmarkStart w:id="343" w:name="_Toc413159518"/>
      <w:bookmarkStart w:id="344" w:name="_Toc413921897"/>
      <w:bookmarkStart w:id="345" w:name="_Toc414006835"/>
      <w:bookmarkStart w:id="346" w:name="_Toc414267376"/>
      <w:bookmarkStart w:id="347" w:name="_Toc414629936"/>
      <w:bookmarkStart w:id="348" w:name="_Toc414632444"/>
      <w:bookmarkStart w:id="349" w:name="_Toc414632650"/>
      <w:bookmarkStart w:id="350" w:name="_Toc419979057"/>
      <w:bookmarkStart w:id="351" w:name="_Toc438553798"/>
      <w:bookmarkStart w:id="352" w:name="_Toc439849960"/>
      <w:bookmarkStart w:id="353" w:name="_Toc440456910"/>
      <w:bookmarkStart w:id="354" w:name="_Toc445801355"/>
      <w:bookmarkStart w:id="355" w:name="_Toc447098789"/>
      <w:bookmarkStart w:id="356" w:name="_Toc447114738"/>
      <w:bookmarkStart w:id="357" w:name="_Toc447194945"/>
      <w:bookmarkStart w:id="358" w:name="_Toc447195094"/>
      <w:r>
        <w:rPr>
          <w:noProof/>
          <w:lang w:eastAsia="en-US"/>
        </w:rPr>
        <w:drawing>
          <wp:anchor distT="0" distB="0" distL="114300" distR="114300" simplePos="0" relativeHeight="251668480" behindDoc="0" locked="0" layoutInCell="1" allowOverlap="1" wp14:anchorId="43489D17" wp14:editId="53BF5D70">
            <wp:simplePos x="0" y="0"/>
            <wp:positionH relativeFrom="column">
              <wp:posOffset>533400</wp:posOffset>
            </wp:positionH>
            <wp:positionV relativeFrom="paragraph">
              <wp:posOffset>9525</wp:posOffset>
            </wp:positionV>
            <wp:extent cx="5290338" cy="2057400"/>
            <wp:effectExtent l="0" t="0" r="571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rotWithShape="1">
                    <a:blip r:embed="rId208">
                      <a:extLst>
                        <a:ext uri="{28A0092B-C50C-407E-A947-70E740481C1C}">
                          <a14:useLocalDpi xmlns:a14="http://schemas.microsoft.com/office/drawing/2010/main" val="0"/>
                        </a:ext>
                      </a:extLst>
                    </a:blip>
                    <a:srcRect l="1139" t="3283" r="994" b="1862"/>
                    <a:stretch/>
                  </pic:blipFill>
                  <pic:spPr bwMode="auto">
                    <a:xfrm>
                      <a:off x="0" y="0"/>
                      <a:ext cx="5290338" cy="2057400"/>
                    </a:xfrm>
                    <a:prstGeom prst="rect">
                      <a:avLst/>
                    </a:prstGeom>
                    <a:ln>
                      <a:noFill/>
                    </a:ln>
                    <a:extLst>
                      <a:ext uri="{53640926-AAD7-44D8-BBD7-CCE9431645EC}">
                        <a14:shadowObscured xmlns:a14="http://schemas.microsoft.com/office/drawing/2010/main"/>
                      </a:ext>
                    </a:extLst>
                  </pic:spPr>
                </pic:pic>
              </a:graphicData>
            </a:graphic>
          </wp:anchor>
        </w:drawing>
      </w:r>
      <w:r w:rsidR="00561293" w:rsidRPr="005B4265">
        <w:rPr>
          <w:noProof/>
          <w:lang w:eastAsia="en-US"/>
        </w:rPr>
        <mc:AlternateContent>
          <mc:Choice Requires="wps">
            <w:drawing>
              <wp:anchor distT="0" distB="0" distL="114300" distR="114300" simplePos="0" relativeHeight="251653120" behindDoc="0" locked="0" layoutInCell="1" allowOverlap="1" wp14:anchorId="6F70629C" wp14:editId="4583DB1B">
                <wp:simplePos x="0" y="0"/>
                <wp:positionH relativeFrom="column">
                  <wp:posOffset>571500</wp:posOffset>
                </wp:positionH>
                <wp:positionV relativeFrom="paragraph">
                  <wp:posOffset>1414780</wp:posOffset>
                </wp:positionV>
                <wp:extent cx="825500" cy="3454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82550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3CE2585" w14:textId="77777777" w:rsidR="00C31AC3" w:rsidRDefault="00C31AC3"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28" type="#_x0000_t202" style="position:absolute;margin-left:45pt;margin-top:111.4pt;width:65pt;height:27.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" filled="f" stroked="f">
                <v:textbox>
                  <w:txbxContent>
                    <w:p w14:paraId="23CE2585" w14:textId="77777777" w:rsidR="00C31AC3" w:rsidRDefault="00C31AC3" w:rsidP="00561293"/>
                  </w:txbxContent>
                </v:textbox>
                <w10:wrap type="square"/>
              </v:shape>
            </w:pict>
          </mc:Fallback>
        </mc:AlternateConten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7FFA61D" w14:textId="77777777" w:rsidR="00561293" w:rsidRPr="005B4265" w:rsidRDefault="00561293" w:rsidP="00954B73">
      <w:pPr>
        <w:pStyle w:val="Heading2"/>
      </w:pPr>
    </w:p>
    <w:p w14:paraId="05948D31" w14:textId="77777777" w:rsidR="00561293" w:rsidRPr="005B4265" w:rsidRDefault="00561293" w:rsidP="00561293">
      <w:pPr>
        <w:rPr>
          <w:lang w:eastAsia="ja-JP"/>
        </w:rPr>
      </w:pPr>
      <w:r w:rsidRPr="005B4265">
        <w:rPr>
          <w:lang w:eastAsia="ja-JP"/>
        </w:rPr>
        <w:br/>
      </w:r>
    </w:p>
    <w:p w14:paraId="2EF93E6F" w14:textId="77777777" w:rsidR="002358A6" w:rsidRPr="005B4265" w:rsidRDefault="004C2D6D" w:rsidP="00561293">
      <w:r>
        <w:rPr>
          <w:noProof/>
        </w:rPr>
        <mc:AlternateContent>
          <mc:Choice Requires="wps">
            <w:drawing>
              <wp:anchor distT="0" distB="0" distL="114300" distR="114300" simplePos="0" relativeHeight="251679744" behindDoc="0" locked="0" layoutInCell="1" allowOverlap="1" wp14:anchorId="6E796BF4" wp14:editId="432F64FA">
                <wp:simplePos x="0" y="0"/>
                <wp:positionH relativeFrom="column">
                  <wp:posOffset>438150</wp:posOffset>
                </wp:positionH>
                <wp:positionV relativeFrom="paragraph">
                  <wp:posOffset>90170</wp:posOffset>
                </wp:positionV>
                <wp:extent cx="1114425" cy="809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114425" cy="809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3A39A11" id="Rectangle 19" o:spid="_x0000_s1026" style="position:absolute;margin-left:34.5pt;margin-top:7.1pt;width:87.75pt;height:6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" fillcolor="white [3212]" strokecolor="white [3212]" strokeweight="2pt"/>
            </w:pict>
          </mc:Fallback>
        </mc:AlternateContent>
      </w:r>
      <w:r>
        <w:rPr>
          <w:noProof/>
        </w:rPr>
        <mc:AlternateContent>
          <mc:Choice Requires="wps">
            <w:drawing>
              <wp:anchor distT="0" distB="0" distL="114300" distR="114300" simplePos="0" relativeHeight="251678720" behindDoc="0" locked="0" layoutInCell="1" allowOverlap="1" wp14:anchorId="0C41B60C" wp14:editId="4FF19B10">
                <wp:simplePos x="0" y="0"/>
                <wp:positionH relativeFrom="column">
                  <wp:posOffset>4629150</wp:posOffset>
                </wp:positionH>
                <wp:positionV relativeFrom="paragraph">
                  <wp:posOffset>80645</wp:posOffset>
                </wp:positionV>
                <wp:extent cx="962025" cy="809625"/>
                <wp:effectExtent l="0" t="0" r="28575" b="28575"/>
                <wp:wrapNone/>
                <wp:docPr id="17" name="Oval 17"/>
                <wp:cNvGraphicFramePr/>
                <a:graphic xmlns:a="http://schemas.openxmlformats.org/drawingml/2006/main">
                  <a:graphicData uri="http://schemas.microsoft.com/office/word/2010/wordprocessingShape">
                    <wps:wsp>
                      <wps:cNvSpPr/>
                      <wps:spPr>
                        <a:xfrm>
                          <a:off x="0" y="0"/>
                          <a:ext cx="962025" cy="809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BD68136" id="Oval 17" o:spid="_x0000_s1026" style="position:absolute;margin-left:364.5pt;margin-top:6.35pt;width:75.75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" filled="f" strokecolor="red" strokeweight="2pt"/>
            </w:pict>
          </mc:Fallback>
        </mc:AlternateContent>
      </w:r>
    </w:p>
    <w:p w14:paraId="2ADCF38E" w14:textId="77777777" w:rsidR="002358A6" w:rsidRPr="005B4265" w:rsidRDefault="002358A6" w:rsidP="00561293"/>
    <w:p w14:paraId="79785025" w14:textId="77777777" w:rsidR="005B4265" w:rsidRPr="004C2D6D" w:rsidRDefault="004C2D6D" w:rsidP="004C2D6D">
      <w:r>
        <w:rPr>
          <w:noProof/>
        </w:rPr>
        <mc:AlternateContent>
          <mc:Choice Requires="wps">
            <w:drawing>
              <wp:anchor distT="0" distB="0" distL="114300" distR="114300" simplePos="0" relativeHeight="251677696" behindDoc="0" locked="0" layoutInCell="1" allowOverlap="1" wp14:anchorId="02D69134" wp14:editId="7C8D29F0">
                <wp:simplePos x="0" y="0"/>
                <wp:positionH relativeFrom="column">
                  <wp:posOffset>3143250</wp:posOffset>
                </wp:positionH>
                <wp:positionV relativeFrom="paragraph">
                  <wp:posOffset>55245</wp:posOffset>
                </wp:positionV>
                <wp:extent cx="438150" cy="323850"/>
                <wp:effectExtent l="0" t="0" r="19050" b="19050"/>
                <wp:wrapNone/>
                <wp:docPr id="16" name="Oval 16"/>
                <wp:cNvGraphicFramePr/>
                <a:graphic xmlns:a="http://schemas.openxmlformats.org/drawingml/2006/main">
                  <a:graphicData uri="http://schemas.microsoft.com/office/word/2010/wordprocessingShape">
                    <wps:wsp>
                      <wps:cNvSpPr/>
                      <wps:spPr>
                        <a:xfrm>
                          <a:off x="0" y="0"/>
                          <a:ext cx="4381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7B40385" id="Oval 16" o:spid="_x0000_s1026" style="position:absolute;margin-left:247.5pt;margin-top:4.35pt;width:34.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" filled="f" strokecolor="red" strokeweight="2pt"/>
            </w:pict>
          </mc:Fallback>
        </mc:AlternateContent>
      </w:r>
    </w:p>
    <w:p w14:paraId="17A7992D" w14:textId="77777777" w:rsidR="006942DD" w:rsidRDefault="006942DD" w:rsidP="00BF32DE">
      <w:pPr>
        <w:rPr>
          <w:b/>
          <w:snapToGrid w:val="0"/>
          <w:color w:val="A6A6A6" w:themeColor="background1" w:themeShade="A6"/>
          <w:sz w:val="40"/>
          <w:szCs w:val="40"/>
        </w:rPr>
      </w:pPr>
    </w:p>
    <w:p w14:paraId="13ABFF09" w14:textId="77777777" w:rsidR="006942DD" w:rsidRDefault="006942DD" w:rsidP="00BF32DE">
      <w:pPr>
        <w:rPr>
          <w:b/>
          <w:snapToGrid w:val="0"/>
          <w:color w:val="A6A6A6" w:themeColor="background1" w:themeShade="A6"/>
          <w:sz w:val="40"/>
          <w:szCs w:val="40"/>
        </w:rPr>
      </w:pPr>
    </w:p>
    <w:p w14:paraId="4863ABC6" w14:textId="77777777" w:rsidR="004C2D6D" w:rsidRDefault="004C2D6D" w:rsidP="006942DD">
      <w:pPr>
        <w:rPr>
          <w:b/>
          <w:snapToGrid w:val="0"/>
          <w:u w:val="single"/>
        </w:rPr>
      </w:pPr>
    </w:p>
    <w:p w14:paraId="32C1AAEA" w14:textId="77777777" w:rsidR="004C2D6D" w:rsidRDefault="004C2D6D" w:rsidP="006942DD">
      <w:pPr>
        <w:rPr>
          <w:b/>
          <w:snapToGrid w:val="0"/>
          <w:u w:val="single"/>
        </w:rPr>
      </w:pPr>
    </w:p>
    <w:p w14:paraId="4AC6A0A2" w14:textId="77777777" w:rsidR="004C2D6D" w:rsidRDefault="004C2D6D" w:rsidP="006942DD">
      <w:pPr>
        <w:rPr>
          <w:b/>
          <w:snapToGrid w:val="0"/>
          <w:u w:val="single"/>
        </w:rPr>
      </w:pPr>
    </w:p>
    <w:p w14:paraId="410D4796" w14:textId="77777777" w:rsidR="004C2D6D" w:rsidRDefault="004C2D6D" w:rsidP="006942DD">
      <w:pPr>
        <w:rPr>
          <w:b/>
          <w:snapToGrid w:val="0"/>
          <w:u w:val="single"/>
        </w:rPr>
      </w:pPr>
    </w:p>
    <w:p w14:paraId="35800C13" w14:textId="77777777" w:rsidR="006214C4" w:rsidRDefault="006942DD" w:rsidP="006942DD">
      <w:pPr>
        <w:rPr>
          <w:snapToGrid w:val="0"/>
        </w:rPr>
      </w:pPr>
      <w:r w:rsidRPr="003D207A">
        <w:rPr>
          <w:snapToGrid w:val="0"/>
        </w:rPr>
        <w:t>If you identify a discrepancy, please contact the Help Desk</w:t>
      </w:r>
      <w:r>
        <w:rPr>
          <w:snapToGrid w:val="0"/>
        </w:rPr>
        <w:t xml:space="preserve"> at </w:t>
      </w:r>
      <w:hyperlink r:id="rId209" w:history="1">
        <w:r w:rsidRPr="00E85B55">
          <w:rPr>
            <w:rStyle w:val="Hyperlink"/>
            <w:snapToGrid w:val="0"/>
          </w:rPr>
          <w:t>https://leapfroghospitalsurvey.zendesk.com</w:t>
        </w:r>
      </w:hyperlink>
      <w:r w:rsidRPr="003D207A">
        <w:rPr>
          <w:snapToGrid w:val="0"/>
        </w:rPr>
        <w:t>.</w:t>
      </w:r>
    </w:p>
    <w:p w14:paraId="0C5C12CA" w14:textId="77777777" w:rsidR="006214C4" w:rsidRDefault="006214C4" w:rsidP="006942DD">
      <w:pPr>
        <w:rPr>
          <w:snapToGrid w:val="0"/>
        </w:rPr>
      </w:pPr>
    </w:p>
    <w:p w14:paraId="434999B6" w14:textId="77777777" w:rsidR="006214C4" w:rsidRDefault="006214C4" w:rsidP="006214C4">
      <w:pPr>
        <w:rPr>
          <w:b/>
          <w:snapToGrid w:val="0"/>
          <w:color w:val="FF0000"/>
        </w:rPr>
      </w:pPr>
    </w:p>
    <w:p w14:paraId="799ABC25" w14:textId="77777777" w:rsidR="006214C4" w:rsidRPr="005454CA" w:rsidRDefault="006214C4" w:rsidP="006214C4">
      <w:pPr>
        <w:rPr>
          <w:b/>
          <w:snapToGrid w:val="0"/>
        </w:rPr>
      </w:pPr>
      <w:r w:rsidRPr="00EF776D">
        <w:rPr>
          <w:b/>
          <w:snapToGrid w:val="0"/>
          <w:color w:val="FF0000"/>
        </w:rPr>
        <w:t>Important Note:</w:t>
      </w:r>
      <w:r w:rsidRPr="00EF776D">
        <w:rPr>
          <w:snapToGrid w:val="0"/>
          <w:color w:val="FF0000"/>
        </w:rPr>
        <w:t xml:space="preserve"> </w:t>
      </w:r>
      <w:r>
        <w:rPr>
          <w:snapToGrid w:val="0"/>
        </w:rPr>
        <w:t>Responses to Section 9B</w:t>
      </w:r>
      <w:r w:rsidRPr="00EF776D">
        <w:rPr>
          <w:snapToGrid w:val="0"/>
        </w:rPr>
        <w:t xml:space="preserve"> will be automatically updated in July if and when CMS updates the Hospital Compare Website. Leapfrog will notify hospitals via email when the update occurs. </w:t>
      </w:r>
      <w:r w:rsidRPr="005454CA">
        <w:rPr>
          <w:b/>
          <w:snapToGrid w:val="0"/>
        </w:rPr>
        <w:t xml:space="preserve">Hospitals will need to log back into their survey, re-affirm this section, and re-submit their survey in order for these results to continue to be publicly reported and used in LHRP and for the purposes of determining Top Hospital. </w:t>
      </w:r>
    </w:p>
    <w:p w14:paraId="4030E043" w14:textId="77777777" w:rsidR="00E03E1F" w:rsidRPr="006942DD" w:rsidRDefault="00E03E1F" w:rsidP="006942DD">
      <w:pPr>
        <w:rPr>
          <w:b/>
          <w:snapToGrid w:val="0"/>
          <w:u w:val="single"/>
        </w:rPr>
      </w:pPr>
      <w:r w:rsidRPr="006942DD">
        <w:rPr>
          <w:b/>
          <w:snapToGrid w:val="0"/>
          <w:u w:val="single"/>
        </w:rPr>
        <w:br w:type="page"/>
      </w:r>
    </w:p>
    <w:p w14:paraId="2E1837E4" w14:textId="77777777" w:rsidR="00920EF6" w:rsidRDefault="00920EF6" w:rsidP="006E50EF">
      <w:pPr>
        <w:sectPr w:rsidR="00920EF6" w:rsidSect="008733FC">
          <w:headerReference w:type="default" r:id="rId210"/>
          <w:endnotePr>
            <w:numFmt w:val="decimal"/>
          </w:endnotePr>
          <w:type w:val="continuous"/>
          <w:pgSz w:w="12240" w:h="15840"/>
          <w:pgMar w:top="1080" w:right="1440" w:bottom="1080" w:left="1440" w:header="720" w:footer="720" w:gutter="0"/>
          <w:cols w:space="720"/>
          <w:docGrid w:linePitch="272"/>
        </w:sectPr>
      </w:pPr>
    </w:p>
    <w:p w14:paraId="7224FF97" w14:textId="77777777" w:rsidR="006E50EF" w:rsidRDefault="006E50EF" w:rsidP="006E50EF"/>
    <w:p w14:paraId="106E34ED" w14:textId="77777777" w:rsidR="008910AA" w:rsidRPr="00AC769E" w:rsidRDefault="00B94757" w:rsidP="00AC769E">
      <w:pPr>
        <w:pStyle w:val="SectionHeader"/>
      </w:pPr>
      <w:bookmarkStart w:id="359" w:name="_Toc447195095"/>
      <w:r>
        <w:t>Endnotes</w:t>
      </w:r>
      <w:r w:rsidR="00701C3C" w:rsidRPr="00AC769E">
        <w:t xml:space="preserve"> and “More Information”</w:t>
      </w:r>
      <w:bookmarkEnd w:id="359"/>
    </w:p>
    <w:sectPr w:rsidR="008910AA" w:rsidRPr="00AC769E" w:rsidSect="008733FC">
      <w:headerReference w:type="default" r:id="rId211"/>
      <w:endnotePr>
        <w:numFmt w:val="decimal"/>
      </w:endnotePr>
      <w:type w:val="continuous"/>
      <w:pgSz w:w="12240" w:h="15840"/>
      <w:pgMar w:top="1080" w:right="144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8ACFD" w14:textId="77777777" w:rsidR="00E9134C" w:rsidRDefault="00E9134C">
      <w:pPr>
        <w:pBdr>
          <w:bottom w:val="single" w:sz="12" w:space="1" w:color="auto"/>
        </w:pBdr>
      </w:pPr>
    </w:p>
    <w:p w14:paraId="74A166A2" w14:textId="77777777" w:rsidR="00E9134C" w:rsidRDefault="00E9134C"/>
  </w:endnote>
  <w:endnote w:type="continuationSeparator" w:id="0">
    <w:p w14:paraId="5586C7B1" w14:textId="77777777" w:rsidR="00E9134C" w:rsidRDefault="00E9134C">
      <w:pPr>
        <w:pBdr>
          <w:bottom w:val="single" w:sz="12" w:space="1" w:color="auto"/>
        </w:pBdr>
      </w:pPr>
    </w:p>
    <w:p w14:paraId="2EA7C750" w14:textId="77777777" w:rsidR="00E9134C" w:rsidRDefault="00E9134C"/>
  </w:endnote>
  <w:endnote w:type="continuationNotice" w:id="1">
    <w:p w14:paraId="1C1B0708" w14:textId="77777777" w:rsidR="00E9134C" w:rsidRDefault="00E9134C"/>
  </w:endnote>
  <w:endnote w:id="2">
    <w:p w14:paraId="6111DC8B" w14:textId="77777777" w:rsidR="00C31AC3" w:rsidRDefault="00C31AC3">
      <w:pPr>
        <w:pStyle w:val="EndnoteText"/>
        <w:rPr>
          <w:b/>
        </w:rPr>
      </w:pPr>
      <w:bookmarkStart w:id="24" w:name="Endnote1"/>
      <w:r>
        <w:rPr>
          <w:rStyle w:val="EndnoteReference"/>
        </w:rPr>
        <w:endnoteRef/>
      </w:r>
      <w:r>
        <w:t xml:space="preserve"> </w:t>
      </w:r>
      <w:r w:rsidRPr="00B06977">
        <w:rPr>
          <w:b/>
          <w:i/>
        </w:rPr>
        <w:t>Medicare Provider Number (MPN)</w:t>
      </w:r>
    </w:p>
    <w:bookmarkEnd w:id="24"/>
    <w:p w14:paraId="05469AF0" w14:textId="77777777" w:rsidR="00C31AC3" w:rsidRDefault="00C31AC3">
      <w:pPr>
        <w:pStyle w:val="EndnoteText"/>
      </w:pPr>
      <w:r w:rsidRPr="000469EC">
        <w:t>A Medicare Provider Number (MPN) is issued by the Centers for Medicare and Medicaid Services (CMS) to financial reporting entities, which may be individual hospitals or a group of hospitals, for purposes of reimbursement. While Leapfrog does ask each campus of a multi-hospital system to submit an individual survey, hospitals within the system may be assigned the same Medicare Provider Number and therefore should have the same MPN reported in this field. MPNs are six digits; with the first two digits representing the state in which the hospital is located. Hospitals that do not receive Medicare reimbursement may not have a Medicare Provider Number and should not have a MPN reported in this field. Leapfrog pre-populates this field in the online survey. If the hospital MPN is different from the one shown online, please contact the Help Desk.</w:t>
      </w:r>
    </w:p>
    <w:p w14:paraId="00B2A5E2" w14:textId="77777777" w:rsidR="00C31AC3" w:rsidRPr="000469EC" w:rsidRDefault="00C31AC3">
      <w:pPr>
        <w:pStyle w:val="EndnoteText"/>
      </w:pPr>
    </w:p>
  </w:endnote>
  <w:endnote w:id="3">
    <w:p w14:paraId="60928785" w14:textId="77777777" w:rsidR="00C31AC3" w:rsidRDefault="00C31AC3">
      <w:pPr>
        <w:pStyle w:val="EndnoteText"/>
      </w:pPr>
      <w:bookmarkStart w:id="25" w:name="Endnote2"/>
      <w:r>
        <w:rPr>
          <w:rStyle w:val="EndnoteReference"/>
        </w:rPr>
        <w:endnoteRef/>
      </w:r>
      <w:r>
        <w:t xml:space="preserve"> </w:t>
      </w:r>
      <w:r w:rsidRPr="00B06977">
        <w:rPr>
          <w:b/>
          <w:i/>
        </w:rPr>
        <w:t>Federal Tax Identification Number (TIN)</w:t>
      </w:r>
    </w:p>
    <w:bookmarkEnd w:id="25"/>
    <w:p w14:paraId="7065F0E7" w14:textId="77777777" w:rsidR="00C31AC3" w:rsidRDefault="00C31AC3">
      <w:pPr>
        <w:pStyle w:val="EndnoteText"/>
      </w:pPr>
      <w:r w:rsidRPr="00B06977">
        <w:t xml:space="preserve">Enter the TIN that your hospital uses for billing purposes. </w:t>
      </w:r>
      <w:r w:rsidRPr="00B06977">
        <w:rPr>
          <w:i/>
        </w:rPr>
        <w:t>The number is a nine-digit number, e.g., 098765432 and must conform precisely to this format – be sure to enter any leading 0.</w:t>
      </w:r>
      <w:r w:rsidRPr="00B06977">
        <w:t xml:space="preserve"> If your hospital has more than one TIN, use the one that would most typically be used for UB-92 claims filed with commercial health insurance plans for inpatient hospital stays.</w:t>
      </w:r>
    </w:p>
    <w:p w14:paraId="11D7AF54" w14:textId="77777777" w:rsidR="00C31AC3" w:rsidRDefault="00C31AC3">
      <w:pPr>
        <w:pStyle w:val="EndnoteText"/>
      </w:pPr>
    </w:p>
  </w:endnote>
  <w:endnote w:id="4">
    <w:p w14:paraId="1A6DE217" w14:textId="77777777" w:rsidR="00C31AC3" w:rsidRDefault="00C31AC3">
      <w:pPr>
        <w:pStyle w:val="EndnoteText"/>
      </w:pPr>
      <w:r>
        <w:rPr>
          <w:rStyle w:val="EndnoteReference"/>
        </w:rPr>
        <w:endnoteRef/>
      </w:r>
      <w:r>
        <w:t xml:space="preserve"> </w:t>
      </w:r>
      <w:bookmarkStart w:id="26" w:name="Endnote3"/>
      <w:r w:rsidRPr="00B06977">
        <w:rPr>
          <w:b/>
          <w:i/>
        </w:rPr>
        <w:t>National Provider Identifier (NPI)</w:t>
      </w:r>
      <w:bookmarkEnd w:id="26"/>
    </w:p>
    <w:p w14:paraId="04874528" w14:textId="77777777" w:rsidR="00C31AC3" w:rsidRPr="00AA40F8" w:rsidRDefault="00C31AC3" w:rsidP="00B06977">
      <w:pPr>
        <w:pStyle w:val="EndnoteText"/>
      </w:pPr>
      <w:r w:rsidRPr="000B1462">
        <w:t>The NPI is a Health Insurance Portability and Accountability Act (HIPPA) Administrative Simplification Standard. The NPI is a unique identification number of covered health care providers. The NPI is a 10-position, intelligence-free numeric identifier (10-digit number). This means that the numbers do not carry other information about healthcare providers, such as the state in which they live or medical specialty.</w:t>
      </w:r>
      <w:r>
        <w:t xml:space="preserve"> </w:t>
      </w:r>
    </w:p>
    <w:p w14:paraId="5474B6DE" w14:textId="77777777" w:rsidR="00C31AC3" w:rsidRDefault="00C31AC3">
      <w:pPr>
        <w:pStyle w:val="EndnoteText"/>
      </w:pPr>
    </w:p>
  </w:endnote>
  <w:endnote w:id="5">
    <w:p w14:paraId="1C984A5A" w14:textId="77777777" w:rsidR="00C31AC3" w:rsidRDefault="00C31AC3">
      <w:pPr>
        <w:pStyle w:val="EndnoteText"/>
      </w:pPr>
      <w:r>
        <w:rPr>
          <w:rStyle w:val="EndnoteReference"/>
        </w:rPr>
        <w:endnoteRef/>
      </w:r>
      <w:r>
        <w:t xml:space="preserve"> </w:t>
      </w:r>
      <w:bookmarkStart w:id="28" w:name="Endnote4"/>
      <w:r>
        <w:rPr>
          <w:b/>
          <w:i/>
        </w:rPr>
        <w:t>State</w:t>
      </w:r>
      <w:bookmarkEnd w:id="28"/>
      <w:r>
        <w:br/>
        <w:t>Your hospital is assigned to a state based on the Medicare Provider Number assigned (or identifier specially issued by the Leapfrog Survey Help Desk) to your hospital. If your hospital is incorrectly assigned to a state, contact the Help Desk to resolve the discrepancy.</w:t>
      </w:r>
    </w:p>
    <w:p w14:paraId="19692129" w14:textId="77777777" w:rsidR="00C31AC3" w:rsidRDefault="00C31AC3">
      <w:pPr>
        <w:pStyle w:val="EndnoteText"/>
      </w:pPr>
    </w:p>
  </w:endnote>
  <w:endnote w:id="6">
    <w:p w14:paraId="7129D9CA" w14:textId="77777777" w:rsidR="00C31AC3" w:rsidRPr="00B06977" w:rsidRDefault="00C31AC3">
      <w:pPr>
        <w:pStyle w:val="EndnoteText"/>
        <w:rPr>
          <w:i/>
        </w:rPr>
      </w:pPr>
      <w:r>
        <w:rPr>
          <w:rStyle w:val="EndnoteReference"/>
        </w:rPr>
        <w:endnoteRef/>
      </w:r>
      <w:r>
        <w:t xml:space="preserve"> </w:t>
      </w:r>
      <w:bookmarkStart w:id="29" w:name="Endnote5"/>
      <w:r w:rsidRPr="00B06977">
        <w:rPr>
          <w:b/>
          <w:i/>
        </w:rPr>
        <w:t>Tips for entering Web addresses</w:t>
      </w:r>
      <w:bookmarkEnd w:id="29"/>
    </w:p>
    <w:p w14:paraId="6D95078D" w14:textId="77777777" w:rsidR="00C31AC3" w:rsidRDefault="00C31AC3" w:rsidP="00ED58C1">
      <w:pPr>
        <w:pStyle w:val="EndnoteText"/>
        <w:numPr>
          <w:ilvl w:val="0"/>
          <w:numId w:val="121"/>
        </w:numPr>
      </w:pPr>
      <w:r>
        <w:t>This address becomes the link attached to your hospital’s name in public release of survey results. Enter it exactly as you wish it to be and test it.</w:t>
      </w:r>
    </w:p>
    <w:p w14:paraId="094F9F17" w14:textId="77777777" w:rsidR="00C31AC3" w:rsidRDefault="00C31AC3" w:rsidP="00ED58C1">
      <w:pPr>
        <w:pStyle w:val="EndnoteText"/>
        <w:numPr>
          <w:ilvl w:val="0"/>
          <w:numId w:val="121"/>
        </w:numPr>
      </w:pPr>
      <w:r>
        <w:t>Do not exit out of the survey to go to the Web page of interest while you are entering data into the survey or some of your survey entries may be lost.</w:t>
      </w:r>
    </w:p>
    <w:p w14:paraId="4E96FA5D" w14:textId="77777777" w:rsidR="00C31AC3" w:rsidRDefault="00C31AC3" w:rsidP="00ED58C1">
      <w:pPr>
        <w:pStyle w:val="EndnoteText"/>
        <w:numPr>
          <w:ilvl w:val="0"/>
          <w:numId w:val="121"/>
        </w:numPr>
      </w:pPr>
      <w:r>
        <w:t xml:space="preserve">Instead, minimize (but don’t close) the survey window, and any other windows that are open, then open your internet browser in a separate window. Find the Web page whose address you wish to enter and Copy/Paste the entire address into the survey entry. </w:t>
      </w:r>
      <w:r w:rsidRPr="000469EC">
        <w:rPr>
          <w:b/>
        </w:rPr>
        <w:t>The http:// prefix needs to be included.</w:t>
      </w:r>
    </w:p>
    <w:p w14:paraId="110FA6CB" w14:textId="77777777" w:rsidR="00C31AC3" w:rsidRDefault="00C31AC3" w:rsidP="00ED58C1">
      <w:pPr>
        <w:pStyle w:val="EndnoteText"/>
        <w:numPr>
          <w:ilvl w:val="0"/>
          <w:numId w:val="121"/>
        </w:numPr>
      </w:pPr>
      <w:r>
        <w:t xml:space="preserve">If entering the Web page address manually, be careful to type it correctly, without embedded spaces. Forward (/) or backward (\) slashes may be used. Don’t forget the www. if that is part of the address. </w:t>
      </w:r>
      <w:r w:rsidRPr="000469EC">
        <w:rPr>
          <w:b/>
        </w:rPr>
        <w:t>The http:// prefix needs to be included.</w:t>
      </w:r>
    </w:p>
    <w:p w14:paraId="207E6788" w14:textId="77777777" w:rsidR="00C31AC3" w:rsidRDefault="00C31AC3" w:rsidP="00ED58C1">
      <w:pPr>
        <w:pStyle w:val="EndnoteText"/>
        <w:numPr>
          <w:ilvl w:val="0"/>
          <w:numId w:val="121"/>
        </w:numPr>
      </w:pPr>
      <w:r>
        <w:t>Make sure to use .org, rather than .com, if that’s the domain for your hospital’s Website.</w:t>
      </w:r>
    </w:p>
    <w:p w14:paraId="2C567F36" w14:textId="77777777" w:rsidR="00C31AC3" w:rsidRDefault="00C31AC3" w:rsidP="00ED58C1">
      <w:pPr>
        <w:pStyle w:val="EndnoteText"/>
        <w:numPr>
          <w:ilvl w:val="0"/>
          <w:numId w:val="121"/>
        </w:numPr>
      </w:pPr>
      <w:r>
        <w:t>Although many hospitals elect to enter the address for the home page of their hospital Website, consider pointing it to a page specific to patient safety, the Leapfrog safety practices, or other quality improvement activities about which you want to communicate to your community.</w:t>
      </w:r>
    </w:p>
    <w:p w14:paraId="0D5AF3F1" w14:textId="77777777" w:rsidR="00C31AC3" w:rsidRDefault="00C31AC3" w:rsidP="000469EC">
      <w:pPr>
        <w:pStyle w:val="EndnoteText"/>
      </w:pPr>
    </w:p>
  </w:endnote>
  <w:endnote w:id="7">
    <w:p w14:paraId="754D164D" w14:textId="77777777" w:rsidR="00C31AC3" w:rsidRDefault="00C31AC3">
      <w:pPr>
        <w:pStyle w:val="EndnoteText"/>
      </w:pPr>
      <w:r>
        <w:rPr>
          <w:rStyle w:val="EndnoteReference"/>
        </w:rPr>
        <w:endnoteRef/>
      </w:r>
      <w:r>
        <w:t xml:space="preserve"> </w:t>
      </w:r>
      <w:bookmarkStart w:id="35" w:name="Endnote6"/>
      <w:r w:rsidRPr="00921C5A">
        <w:rPr>
          <w:b/>
          <w:i/>
        </w:rPr>
        <w:t>Licensed Beds</w:t>
      </w:r>
      <w:bookmarkEnd w:id="35"/>
    </w:p>
    <w:p w14:paraId="295D7931" w14:textId="77777777" w:rsidR="00C31AC3" w:rsidRDefault="00C31AC3" w:rsidP="00921C5A">
      <w:r w:rsidRPr="00F015F1">
        <w:t>If your state does not designate and license bed types, enter the number of staffed beds from question #3. Include short-term, acute-care medical, surgical, and obstetrical beds as licensed by your state. Exclude</w:t>
      </w:r>
      <w:r w:rsidRPr="000B1462">
        <w:t xml:space="preserve"> beds licensed or used for</w:t>
      </w:r>
      <w:r>
        <w:t xml:space="preserve"> long-term rehabilitation or psychiatric care, or sub-acute care, (e.g., skilled nursing facility (SNF), hospice extended care, sub-acute eating disorder treatment, extended care facility, or residential substance abuse treatment). If the number of licensed beds has changed in the last year, indicate the most recent number for which it is licensed.</w:t>
      </w:r>
    </w:p>
    <w:p w14:paraId="01FF11F7" w14:textId="77777777" w:rsidR="00C31AC3" w:rsidRDefault="00C31AC3">
      <w:pPr>
        <w:pStyle w:val="EndnoteText"/>
      </w:pPr>
    </w:p>
  </w:endnote>
  <w:endnote w:id="8">
    <w:p w14:paraId="3160D6F2" w14:textId="77777777" w:rsidR="00C31AC3" w:rsidRDefault="00C31AC3" w:rsidP="00950575">
      <w:pPr>
        <w:rPr>
          <w:b/>
          <w:i/>
        </w:rPr>
      </w:pPr>
      <w:r>
        <w:rPr>
          <w:rStyle w:val="EndnoteReference"/>
        </w:rPr>
        <w:endnoteRef/>
      </w:r>
      <w:r>
        <w:t xml:space="preserve"> </w:t>
      </w:r>
      <w:bookmarkStart w:id="36" w:name="Endnote7"/>
      <w:r>
        <w:rPr>
          <w:b/>
          <w:i/>
        </w:rPr>
        <w:t>Staffed Beds</w:t>
      </w:r>
      <w:bookmarkEnd w:id="36"/>
    </w:p>
    <w:p w14:paraId="6B22CDD1" w14:textId="77777777" w:rsidR="00C31AC3" w:rsidRDefault="00C31AC3" w:rsidP="00950575">
      <w:r>
        <w:t>Include licensed beds regularly in operation, whether currently occupied by a patient or not. If the number has changed over the last year, indicate the average or other number most representative of your operating bed capacity over the last year.</w:t>
      </w:r>
    </w:p>
    <w:p w14:paraId="4EB91D1E" w14:textId="77777777" w:rsidR="00C31AC3" w:rsidRDefault="00C31AC3" w:rsidP="00950575"/>
  </w:endnote>
  <w:endnote w:id="9">
    <w:p w14:paraId="2E9EE4F6" w14:textId="77777777" w:rsidR="00C31AC3" w:rsidRDefault="00C31AC3" w:rsidP="00950575">
      <w:r>
        <w:rPr>
          <w:rStyle w:val="EndnoteReference"/>
        </w:rPr>
        <w:endnoteRef/>
      </w:r>
      <w:r>
        <w:t xml:space="preserve"> </w:t>
      </w:r>
      <w:bookmarkStart w:id="37" w:name="Endnote8"/>
      <w:r>
        <w:rPr>
          <w:b/>
          <w:i/>
        </w:rPr>
        <w:t>Total Acute-Care Admissions</w:t>
      </w:r>
    </w:p>
    <w:bookmarkEnd w:id="37"/>
    <w:p w14:paraId="60131C91" w14:textId="3E6175CD" w:rsidR="00C31AC3" w:rsidRPr="00F015F1" w:rsidRDefault="00C31AC3" w:rsidP="00A407F0">
      <w:r>
        <w:t xml:space="preserve">Include acute-care medical, surgical and obstetrical admissions to your hospital. Exclude long-term, rehabilitation, short and long-term psychiatric, sub-acute care (e.g., skilled nursing facility (SNF), hospice extended </w:t>
      </w:r>
      <w:r w:rsidRPr="000B1462">
        <w:t xml:space="preserve">care, sub-acute eating disorder treatment, extended care facility, or residential substance abuse treatment) </w:t>
      </w:r>
      <w:r w:rsidRPr="00F015F1">
        <w:t>admissions. Exclude normal newborn admissions to the nursery. Include transfers from other hospitals as admissions to your hospital. Include any admissions directly to an ICU in your hospital, even if counted in question #7.</w:t>
      </w:r>
    </w:p>
    <w:p w14:paraId="583BC502" w14:textId="77777777" w:rsidR="00C31AC3" w:rsidRPr="00F015F1" w:rsidRDefault="00C31AC3" w:rsidP="00950575">
      <w:pPr>
        <w:pStyle w:val="EndnoteText"/>
      </w:pPr>
    </w:p>
  </w:endnote>
  <w:endnote w:id="10">
    <w:p w14:paraId="0801D1DF" w14:textId="77777777" w:rsidR="00C31AC3" w:rsidRPr="00F015F1" w:rsidRDefault="00C31AC3" w:rsidP="00950575">
      <w:pPr>
        <w:rPr>
          <w:b/>
          <w:i/>
        </w:rPr>
      </w:pPr>
      <w:r w:rsidRPr="00F015F1">
        <w:rPr>
          <w:rStyle w:val="EndnoteReference"/>
        </w:rPr>
        <w:endnoteRef/>
      </w:r>
      <w:r w:rsidRPr="00F015F1">
        <w:t xml:space="preserve"> </w:t>
      </w:r>
      <w:bookmarkStart w:id="38" w:name="Endnote9"/>
      <w:r w:rsidRPr="00F015F1">
        <w:rPr>
          <w:b/>
          <w:i/>
        </w:rPr>
        <w:t>Licensed ICU Beds</w:t>
      </w:r>
      <w:bookmarkEnd w:id="38"/>
    </w:p>
    <w:p w14:paraId="48DCF9F4" w14:textId="77777777" w:rsidR="00C31AC3" w:rsidRDefault="00C31AC3" w:rsidP="00950575">
      <w:r w:rsidRPr="00F015F1">
        <w:t>If your state separately designates ICU beds in its licensure, indicate the number of such beds currently licensed this way. If your state does not designate and license ICU beds, enter the number of staffed beds from question #6.</w:t>
      </w:r>
    </w:p>
    <w:p w14:paraId="606DEA58" w14:textId="77777777" w:rsidR="00C31AC3" w:rsidRDefault="00C31AC3" w:rsidP="00950575"/>
    <w:p w14:paraId="73C4109A" w14:textId="77777777" w:rsidR="00C31AC3" w:rsidRDefault="00C31AC3" w:rsidP="00950575">
      <w:r>
        <w:t>Include adult and pediatric general medical and surgical ICU beds as well as beds in neurology/ neurosurgery ICUs, but exclude Coronary Care Unit (CCU) beds if they are separately licensed and operated. Do not include Neonatal Intensive Care Units, separate Trauma or Burn units, or beds in intermediate care or step-down units. (If the same licensed ICU beds are used for both coronary intensive care and other medical-surgical conditions, include them.) If the number licensed has changed over the last year, indicate the most recent number for which it is licensed.</w:t>
      </w:r>
    </w:p>
    <w:p w14:paraId="63851E8D" w14:textId="77777777" w:rsidR="00C31AC3" w:rsidRDefault="00C31AC3" w:rsidP="00950575">
      <w:pPr>
        <w:pStyle w:val="EndnoteText"/>
      </w:pPr>
    </w:p>
  </w:endnote>
  <w:endnote w:id="11">
    <w:p w14:paraId="04F1FB5E" w14:textId="77777777" w:rsidR="00C31AC3" w:rsidRDefault="00C31AC3" w:rsidP="00950575">
      <w:pPr>
        <w:rPr>
          <w:b/>
          <w:i/>
        </w:rPr>
      </w:pPr>
      <w:r>
        <w:rPr>
          <w:rStyle w:val="EndnoteReference"/>
        </w:rPr>
        <w:endnoteRef/>
      </w:r>
      <w:r>
        <w:t xml:space="preserve"> </w:t>
      </w:r>
      <w:bookmarkStart w:id="39" w:name="Endnote10"/>
      <w:r>
        <w:rPr>
          <w:b/>
          <w:i/>
        </w:rPr>
        <w:t>Staffed ICU Beds</w:t>
      </w:r>
    </w:p>
    <w:bookmarkEnd w:id="39"/>
    <w:p w14:paraId="5244E717" w14:textId="77777777" w:rsidR="00C31AC3" w:rsidRDefault="00C31AC3" w:rsidP="00950575">
      <w:r>
        <w:t xml:space="preserve">Include ICU beds regularly in operation, whether currently occupied by a patient or not. If the number has changed over the last year, indicate the average or other number most representative of your operating ICU capacity over the last year. </w:t>
      </w:r>
      <w:r>
        <w:br/>
      </w:r>
    </w:p>
    <w:p w14:paraId="3862420F" w14:textId="77777777" w:rsidR="00C31AC3" w:rsidRDefault="00C31AC3" w:rsidP="00950575">
      <w:r>
        <w:t>Include adult and pediatric general medical and surgical ICU beds as well as beds in neurology/ neurosurgery ICUs, but exclude Coronary Care Unit (CCU) beds if they are separately licensed and operated. Do not include Neonatal Intensive Care Units, separate Trauma or Burn units, or beds in intermediate care or step-down units. (If the same licensed ICU beds are used for both coronary intensive care as well as other medical-surgical conditions, include them.) If the number has changed over the last year, indicate the average or other number most representative of your operating bed capacity in these units over the last year.</w:t>
      </w:r>
    </w:p>
    <w:p w14:paraId="3BE1C747" w14:textId="77777777" w:rsidR="00C31AC3" w:rsidRDefault="00C31AC3" w:rsidP="00950575"/>
  </w:endnote>
  <w:endnote w:id="12">
    <w:p w14:paraId="5FA6CCFA" w14:textId="77777777" w:rsidR="00C31AC3" w:rsidRDefault="00C31AC3" w:rsidP="00950575">
      <w:pPr>
        <w:pStyle w:val="EndnoteText"/>
      </w:pPr>
      <w:r>
        <w:rPr>
          <w:rStyle w:val="EndnoteReference"/>
        </w:rPr>
        <w:endnoteRef/>
      </w:r>
      <w:r>
        <w:t xml:space="preserve"> </w:t>
      </w:r>
      <w:bookmarkStart w:id="40" w:name="Endnote11"/>
      <w:r>
        <w:rPr>
          <w:b/>
          <w:i/>
        </w:rPr>
        <w:t>ICU Admissions</w:t>
      </w:r>
      <w:bookmarkEnd w:id="40"/>
    </w:p>
    <w:p w14:paraId="1D127906" w14:textId="77777777" w:rsidR="00C31AC3" w:rsidRDefault="00C31AC3" w:rsidP="00950575">
      <w:pPr>
        <w:pStyle w:val="EndnoteText"/>
      </w:pPr>
      <w:r>
        <w:t>Include admissions to adult or pediatric general medical and surgical ICU beds as well as beds in neurology/ neurosurgery ICUs, whether directly admitted to the unit or transferred to the unit from another area of your hospital, e.g., post-operatively. Count the number of hospitalizations that include an ICU stay, not the number of patient trips to the ICU.</w:t>
      </w:r>
    </w:p>
    <w:p w14:paraId="68B9ABBA" w14:textId="77777777" w:rsidR="00C31AC3" w:rsidRDefault="00C31AC3" w:rsidP="00950575">
      <w:pPr>
        <w:pStyle w:val="EndnoteText"/>
      </w:pPr>
    </w:p>
    <w:p w14:paraId="35FDE287" w14:textId="1FC533F2" w:rsidR="00C31AC3" w:rsidRDefault="00C31AC3" w:rsidP="00950575">
      <w:pPr>
        <w:pStyle w:val="EndnoteText"/>
      </w:pPr>
      <w:r>
        <w:t>Ignore admissions to units dedicated exclusively to patients with highly specialized conditions -- e.g., ignore admissions to any Coronary Care Unit (CCU) that is distinct and separate from other adult/pediatric general medical/surgical ICUs. (If the same ICU is used for both coronary intensive care as well as other general medical-surgical conditions, include admissions to these units in your responses.) Other examples of highly specialized units to ignore when responding are neonatal intensive care units, separate trauma, burn, cardiovascular, or cardio-thoracic units. “Dedicated exclusively” means that general med/surg patients are not also cared for in these specialized units (except in rare overflow situations). Also ignore admissions or transfers to intermediate care or step-down units for this question.</w:t>
      </w:r>
    </w:p>
    <w:p w14:paraId="4D61D38E" w14:textId="77777777" w:rsidR="00C31AC3" w:rsidRDefault="00C31AC3" w:rsidP="00950575">
      <w:pPr>
        <w:pStyle w:val="EndnoteText"/>
      </w:pPr>
    </w:p>
  </w:endnote>
  <w:endnote w:id="13">
    <w:p w14:paraId="3CFDC906" w14:textId="77777777" w:rsidR="00C31AC3" w:rsidRDefault="00C31AC3" w:rsidP="00950575">
      <w:pPr>
        <w:pStyle w:val="EndnoteText"/>
        <w:rPr>
          <w:b/>
          <w:i/>
        </w:rPr>
      </w:pPr>
      <w:r>
        <w:rPr>
          <w:rStyle w:val="EndnoteReference"/>
        </w:rPr>
        <w:endnoteRef/>
      </w:r>
      <w:r>
        <w:t xml:space="preserve"> </w:t>
      </w:r>
      <w:bookmarkStart w:id="41" w:name="Endnote12"/>
      <w:r w:rsidRPr="00690231">
        <w:rPr>
          <w:b/>
          <w:i/>
        </w:rPr>
        <w:t>C</w:t>
      </w:r>
      <w:r w:rsidRPr="0000296A">
        <w:rPr>
          <w:b/>
          <w:i/>
        </w:rPr>
        <w:t xml:space="preserve">ouncil of Teaching </w:t>
      </w:r>
      <w:r>
        <w:rPr>
          <w:b/>
          <w:i/>
        </w:rPr>
        <w:t>Hospitals and Health Systems (COTH)</w:t>
      </w:r>
    </w:p>
    <w:bookmarkEnd w:id="41"/>
    <w:p w14:paraId="6F15CE3B" w14:textId="77777777" w:rsidR="00C31AC3" w:rsidRDefault="00C31AC3" w:rsidP="00950575">
      <w:pPr>
        <w:pStyle w:val="EndnoteText"/>
      </w:pPr>
      <w:r>
        <w:t xml:space="preserve">COTH is made up of teaching hospitals and health systems. More information about COTH is available at </w:t>
      </w:r>
      <w:hyperlink r:id="rId1" w:history="1">
        <w:r w:rsidRPr="0032323A">
          <w:rPr>
            <w:rStyle w:val="Hyperlink"/>
          </w:rPr>
          <w:t>https://www.aamc.org/members/coth/</w:t>
        </w:r>
      </w:hyperlink>
      <w:r>
        <w:t xml:space="preserve">. </w:t>
      </w:r>
    </w:p>
    <w:p w14:paraId="3295B295" w14:textId="77777777" w:rsidR="00C31AC3" w:rsidRDefault="00C31AC3" w:rsidP="00950575">
      <w:pPr>
        <w:pStyle w:val="EndnoteText"/>
      </w:pPr>
    </w:p>
    <w:p w14:paraId="33F0CF6D" w14:textId="77777777" w:rsidR="00C31AC3" w:rsidRDefault="00C31AC3" w:rsidP="00950575">
      <w:pPr>
        <w:pStyle w:val="EndnoteText"/>
      </w:pPr>
    </w:p>
  </w:endnote>
  <w:endnote w:id="14">
    <w:p w14:paraId="38526582" w14:textId="77777777" w:rsidR="00C31AC3" w:rsidRDefault="00C31AC3" w:rsidP="00950575">
      <w:pPr>
        <w:pStyle w:val="EndnoteText"/>
      </w:pPr>
      <w:r>
        <w:rPr>
          <w:rStyle w:val="EndnoteReference"/>
        </w:rPr>
        <w:endnoteRef/>
      </w:r>
      <w:r>
        <w:t xml:space="preserve"> </w:t>
      </w:r>
      <w:bookmarkStart w:id="42" w:name="Endnote13"/>
      <w:r w:rsidRPr="00690231">
        <w:rPr>
          <w:b/>
          <w:i/>
        </w:rPr>
        <w:t>Teaching Hospital</w:t>
      </w:r>
      <w:bookmarkEnd w:id="42"/>
    </w:p>
    <w:p w14:paraId="4C0D0F0E" w14:textId="77777777" w:rsidR="00C31AC3" w:rsidRPr="000B7AF3" w:rsidRDefault="00C31AC3" w:rsidP="00950575">
      <w:pPr>
        <w:pStyle w:val="EndnoteText"/>
        <w:rPr>
          <w:rFonts w:cs="Arial"/>
          <w:shd w:val="clear" w:color="auto" w:fill="FFFFFF"/>
        </w:rPr>
      </w:pPr>
      <w:r w:rsidRPr="000B7AF3">
        <w:rPr>
          <w:rStyle w:val="apple-converted-space"/>
          <w:rFonts w:cs="Arial"/>
          <w:shd w:val="clear" w:color="auto" w:fill="FFFFFF"/>
        </w:rPr>
        <w:t xml:space="preserve">Hospitals self-identified as a “teaching hospital” may have the following in place: a </w:t>
      </w:r>
      <w:r w:rsidRPr="000B7AF3">
        <w:rPr>
          <w:rFonts w:cs="Arial"/>
          <w:shd w:val="clear" w:color="auto" w:fill="FFFFFF"/>
        </w:rPr>
        <w:t>documented affiliation agreement with a medical school; sponsor or participate in at least four approved, active residency programs; and have at least two of the approved residency programs in medicine, surgery, obstetrics/gynecology, pediatrics, family practice, or psychiatry.</w:t>
      </w:r>
    </w:p>
    <w:p w14:paraId="3639801A" w14:textId="77777777" w:rsidR="00C31AC3" w:rsidRDefault="00C31AC3" w:rsidP="00950575">
      <w:pPr>
        <w:pStyle w:val="EndnoteText"/>
      </w:pPr>
    </w:p>
  </w:endnote>
  <w:endnote w:id="15">
    <w:p w14:paraId="56F43A43" w14:textId="77777777" w:rsidR="00C31AC3" w:rsidRPr="00A4550B" w:rsidRDefault="00C31AC3" w:rsidP="00735853">
      <w:pPr>
        <w:pStyle w:val="EndnoteText"/>
      </w:pPr>
      <w:r w:rsidRPr="00A4550B">
        <w:rPr>
          <w:rStyle w:val="EndnoteReference"/>
        </w:rPr>
        <w:endnoteRef/>
      </w:r>
      <w:r w:rsidRPr="00A4550B">
        <w:t xml:space="preserve"> </w:t>
      </w:r>
      <w:bookmarkStart w:id="51" w:name="Endnote14"/>
      <w:r w:rsidRPr="00A4550B">
        <w:rPr>
          <w:b/>
          <w:i/>
        </w:rPr>
        <w:t>CPOE Linked to Pharmacy, Laboratory, ADT Information</w:t>
      </w:r>
      <w:bookmarkEnd w:id="51"/>
    </w:p>
    <w:p w14:paraId="726C0DDA" w14:textId="28F4E774" w:rsidR="00C31AC3" w:rsidRPr="00A4550B" w:rsidRDefault="00C31AC3" w:rsidP="00735853">
      <w:pPr>
        <w:pStyle w:val="EndnoteText"/>
      </w:pPr>
      <w:r w:rsidRPr="00A4550B">
        <w:t>The ability of a CPOE system to catch the majority of common, serious prescribing errors depends on proper identification of patients (ADT information), current and recent pharmacy orders and drug dispensing history, and access and integration of key laboratory results for the patient. CPOE systems that are not linked to those other systems or do not reflect that current information accurately about the patient are not likely to ca</w:t>
      </w:r>
      <w:r>
        <w:t>tch serious prescribing errors.</w:t>
      </w:r>
    </w:p>
    <w:p w14:paraId="365C6B84" w14:textId="77777777" w:rsidR="00C31AC3" w:rsidRPr="00A4550B" w:rsidRDefault="00C31AC3" w:rsidP="00735853">
      <w:pPr>
        <w:pStyle w:val="EndnoteText"/>
      </w:pPr>
    </w:p>
  </w:endnote>
  <w:endnote w:id="16">
    <w:p w14:paraId="12958298" w14:textId="77777777" w:rsidR="00C31AC3" w:rsidRDefault="00C31AC3" w:rsidP="005B2EEB">
      <w:pPr>
        <w:pStyle w:val="EndnoteText"/>
      </w:pPr>
      <w:r>
        <w:rPr>
          <w:rStyle w:val="EndnoteReference"/>
        </w:rPr>
        <w:endnoteRef/>
      </w:r>
      <w:r>
        <w:t xml:space="preserve"> </w:t>
      </w:r>
      <w:bookmarkStart w:id="68" w:name="Endnote15"/>
      <w:r>
        <w:rPr>
          <w:b/>
          <w:i/>
        </w:rPr>
        <w:t>Post-Procedure Inpatient Deaths</w:t>
      </w:r>
    </w:p>
    <w:bookmarkEnd w:id="68"/>
    <w:p w14:paraId="0CBFBA51" w14:textId="77777777" w:rsidR="00C31AC3" w:rsidRDefault="00C31AC3" w:rsidP="005B2EEB">
      <w:pPr>
        <w:pStyle w:val="EndnoteText"/>
      </w:pPr>
      <w:r>
        <w:t xml:space="preserve">Include in-hospital deaths for the patients included in the previous question, i.e., where the patient died during the hospital stay that included that procedure. Count deaths following the specific surgery, whether the death can be directly related to that procedure or not. Do not count deaths where the patient was discharged alive following the surgery but died during a subsequent re-admission (unless the procedure was repeated during that re-admission and the patient subsequently died during </w:t>
      </w:r>
      <w:r>
        <w:rPr>
          <w:u w:val="single"/>
        </w:rPr>
        <w:t>that</w:t>
      </w:r>
      <w:r>
        <w:t xml:space="preserve"> stay).</w:t>
      </w:r>
      <w:r>
        <w:br/>
      </w:r>
      <w:r>
        <w:br/>
        <w:t>For participants in STS or NNECDSG national or regional performance measurement systems, this definition differs from “Operative Mortality” as used in those reporting systems, which include both in-hospital and 30-day post-operative mortality out-of-hospital</w:t>
      </w:r>
      <w:r w:rsidRPr="00F015F1">
        <w:t xml:space="preserve">. (See </w:t>
      </w:r>
      <w:r w:rsidRPr="00F015F1">
        <w:rPr>
          <w:color w:val="0000FF"/>
          <w:u w:val="single"/>
        </w:rPr>
        <w:t>endnotes</w:t>
      </w:r>
      <w:r w:rsidRPr="00F015F1">
        <w:rPr>
          <w:color w:val="0000FF"/>
        </w:rPr>
        <w:t xml:space="preserve"> #16, #17, and #18 </w:t>
      </w:r>
      <w:r w:rsidRPr="00F015F1">
        <w:t>below for STS Report information.)</w:t>
      </w:r>
    </w:p>
    <w:p w14:paraId="7A2FDC6E" w14:textId="77777777" w:rsidR="00C31AC3" w:rsidRDefault="00C31AC3" w:rsidP="005B2EEB">
      <w:pPr>
        <w:pStyle w:val="EndnoteText"/>
      </w:pPr>
    </w:p>
  </w:endnote>
  <w:endnote w:id="17">
    <w:p w14:paraId="19285249" w14:textId="77777777" w:rsidR="00C31AC3" w:rsidRDefault="00C31AC3" w:rsidP="005B2EEB">
      <w:pPr>
        <w:pStyle w:val="EndnoteText"/>
      </w:pPr>
      <w:r>
        <w:rPr>
          <w:rStyle w:val="EndnoteReference"/>
        </w:rPr>
        <w:endnoteRef/>
      </w:r>
      <w:r>
        <w:t xml:space="preserve"> </w:t>
      </w:r>
      <w:bookmarkStart w:id="70" w:name="Endnote16"/>
      <w:r>
        <w:rPr>
          <w:b/>
          <w:i/>
        </w:rPr>
        <w:t>Participation in STS or Performance Measurement Systems</w:t>
      </w:r>
      <w:bookmarkEnd w:id="70"/>
    </w:p>
    <w:p w14:paraId="3AE98AC5" w14:textId="77777777" w:rsidR="00C31AC3" w:rsidRDefault="00C31AC3" w:rsidP="005B2EEB">
      <w:pPr>
        <w:pStyle w:val="EndnoteText"/>
      </w:pPr>
      <w:r>
        <w:t xml:space="preserve">If your hospital currently participates and has begun submitting data for </w:t>
      </w:r>
      <w:r>
        <w:rPr>
          <w:u w:val="single"/>
        </w:rPr>
        <w:t>all</w:t>
      </w:r>
      <w:r>
        <w:t xml:space="preserve"> such procedures but has not yet received any reports, you should indicate “no</w:t>
      </w:r>
      <w:r>
        <w:rPr>
          <w:snapToGrid w:val="0"/>
        </w:rPr>
        <w:t>".</w:t>
      </w:r>
      <w:r>
        <w:t xml:space="preserve"> Return to the survey and update answers to the remaining questions when you receive your hospital’s first reported results.</w:t>
      </w:r>
    </w:p>
    <w:p w14:paraId="6331031A" w14:textId="77777777" w:rsidR="00C31AC3" w:rsidRDefault="00C31AC3" w:rsidP="005B2EEB">
      <w:pPr>
        <w:pStyle w:val="EndnoteText"/>
      </w:pPr>
    </w:p>
  </w:endnote>
  <w:endnote w:id="18">
    <w:p w14:paraId="6A50E771" w14:textId="77777777" w:rsidR="00C31AC3" w:rsidRPr="00A4550B" w:rsidRDefault="00C31AC3" w:rsidP="005B2EEB">
      <w:pPr>
        <w:pStyle w:val="BodyText"/>
        <w:rPr>
          <w:i w:val="0"/>
        </w:rPr>
      </w:pPr>
      <w:r w:rsidRPr="00A4550B">
        <w:rPr>
          <w:rStyle w:val="EndnoteReference"/>
        </w:rPr>
        <w:endnoteRef/>
      </w:r>
      <w:r w:rsidRPr="00A4550B">
        <w:t xml:space="preserve"> </w:t>
      </w:r>
      <w:bookmarkStart w:id="71" w:name="Endnote17"/>
      <w:r w:rsidRPr="00A4550B">
        <w:rPr>
          <w:b/>
        </w:rPr>
        <w:t>Your Hospitals (Observed) Operative Mortality, Risk-adjusted Rate</w:t>
      </w:r>
      <w:r w:rsidRPr="00A4550B">
        <w:t xml:space="preserve"> </w:t>
      </w:r>
      <w:r w:rsidRPr="00A4550B">
        <w:rPr>
          <w:b/>
        </w:rPr>
        <w:t>from STS Reports</w:t>
      </w:r>
    </w:p>
    <w:bookmarkEnd w:id="71"/>
    <w:p w14:paraId="3CCBC294" w14:textId="40123062" w:rsidR="00C31AC3" w:rsidRPr="00A4550B" w:rsidRDefault="00C31AC3" w:rsidP="005B2EEB">
      <w:pPr>
        <w:pStyle w:val="EndnoteText"/>
      </w:pPr>
      <w:r w:rsidRPr="00A4550B">
        <w:t xml:space="preserve">For your hospitals most recent 12-month report, enter </w:t>
      </w:r>
      <w:r w:rsidRPr="00A4550B">
        <w:rPr>
          <w:u w:val="single"/>
        </w:rPr>
        <w:t>your</w:t>
      </w:r>
      <w:r w:rsidRPr="00A4550B">
        <w:t xml:space="preserve"> hospital’s “Operative Mortality, Risk-adjusted rate” for AVR (</w:t>
      </w:r>
      <w:r>
        <w:t xml:space="preserve">found in STS </w:t>
      </w:r>
      <w:r w:rsidRPr="00A4550B">
        <w:t xml:space="preserve">report </w:t>
      </w:r>
      <w:r>
        <w:t xml:space="preserve">on </w:t>
      </w:r>
      <w:r w:rsidRPr="00A4550B">
        <w:t>p</w:t>
      </w:r>
      <w:r>
        <w:t>age</w:t>
      </w:r>
      <w:r w:rsidRPr="00A4550B">
        <w:t xml:space="preserve"> </w:t>
      </w:r>
      <w:r>
        <w:t>“</w:t>
      </w:r>
      <w:r w:rsidRPr="00A4550B">
        <w:t>AV Replace</w:t>
      </w:r>
      <w:r>
        <w:t>--</w:t>
      </w:r>
      <w:r w:rsidRPr="00A4550B">
        <w:t>62</w:t>
      </w:r>
      <w:r>
        <w:t>”</w:t>
      </w:r>
      <w:r w:rsidRPr="00A4550B">
        <w:t>) in AVR Question #7. This is your hospital’s actual operative mortality rate, standardized (risk-adjusted) to the STS all-hospital risk. Operative Mortality, Risk-adjusted rate includes in-hospital and 30-day post-opera</w:t>
      </w:r>
      <w:r>
        <w:t>tive mortality out-of-hospital.</w:t>
      </w:r>
    </w:p>
    <w:p w14:paraId="6FF46A26" w14:textId="77777777" w:rsidR="00C31AC3" w:rsidRPr="00A4550B" w:rsidRDefault="00C31AC3" w:rsidP="005B2EEB">
      <w:pPr>
        <w:pStyle w:val="EndnoteText"/>
      </w:pPr>
    </w:p>
  </w:endnote>
  <w:endnote w:id="19">
    <w:p w14:paraId="0E993176" w14:textId="77777777" w:rsidR="00C31AC3" w:rsidRPr="00B62C63" w:rsidRDefault="00C31AC3" w:rsidP="005B2EEB">
      <w:pPr>
        <w:pStyle w:val="EndnoteText"/>
      </w:pPr>
      <w:r w:rsidRPr="00A4550B">
        <w:rPr>
          <w:rStyle w:val="EndnoteReference"/>
        </w:rPr>
        <w:endnoteRef/>
      </w:r>
      <w:r w:rsidRPr="00A4550B">
        <w:t xml:space="preserve"> </w:t>
      </w:r>
      <w:bookmarkStart w:id="72" w:name="Endnote18"/>
      <w:r w:rsidRPr="00A4550B">
        <w:rPr>
          <w:b/>
          <w:i/>
        </w:rPr>
        <w:t>All STS Cohort (Expected) Operative Mortality, Risk-adjusted Rate from STS Reports</w:t>
      </w:r>
      <w:bookmarkEnd w:id="72"/>
      <w:r w:rsidRPr="00A4550B">
        <w:rPr>
          <w:b/>
          <w:i/>
        </w:rPr>
        <w:br/>
      </w:r>
      <w:r w:rsidRPr="00A4550B">
        <w:t>Enter the all-hospital STS cohort’s “Operative Mortality, Risk-adjusted rate” for AVR (</w:t>
      </w:r>
      <w:r>
        <w:t xml:space="preserve">found in STS </w:t>
      </w:r>
      <w:r w:rsidRPr="00A4550B">
        <w:t xml:space="preserve">report </w:t>
      </w:r>
      <w:r>
        <w:t xml:space="preserve">on </w:t>
      </w:r>
      <w:r w:rsidRPr="00A4550B">
        <w:t>p</w:t>
      </w:r>
      <w:r>
        <w:t>age</w:t>
      </w:r>
      <w:r w:rsidRPr="00A4550B">
        <w:t xml:space="preserve"> </w:t>
      </w:r>
      <w:r>
        <w:t>“</w:t>
      </w:r>
      <w:r w:rsidRPr="00A4550B">
        <w:t>AV Replace</w:t>
      </w:r>
      <w:r>
        <w:t>--</w:t>
      </w:r>
      <w:r w:rsidRPr="00A4550B">
        <w:t>62</w:t>
      </w:r>
      <w:r>
        <w:t>”</w:t>
      </w:r>
      <w:r w:rsidRPr="00A4550B">
        <w:t>) in AVR Question #8. This is the national expected operative mortality rate to which your hospital’s observed rate in AVR Question #7 will be compared. Operative mortality includes in-hospital and 30-day post-operative mortality out-of-hospital.</w:t>
      </w:r>
    </w:p>
    <w:p w14:paraId="19AAAC09" w14:textId="77777777" w:rsidR="00C31AC3" w:rsidRDefault="00C31AC3" w:rsidP="005B2EEB">
      <w:pPr>
        <w:pStyle w:val="EndnoteText"/>
      </w:pPr>
    </w:p>
  </w:endnote>
  <w:endnote w:id="20">
    <w:p w14:paraId="439692A3" w14:textId="77777777" w:rsidR="00C31AC3" w:rsidRDefault="00C31AC3" w:rsidP="005B2EEB">
      <w:pPr>
        <w:pStyle w:val="EndnoteText"/>
      </w:pPr>
      <w:r>
        <w:rPr>
          <w:rStyle w:val="EndnoteReference"/>
        </w:rPr>
        <w:endnoteRef/>
      </w:r>
      <w:r>
        <w:t xml:space="preserve"> </w:t>
      </w:r>
      <w:bookmarkStart w:id="74" w:name="Endnote19"/>
      <w:r>
        <w:rPr>
          <w:b/>
          <w:i/>
        </w:rPr>
        <w:t>Mortality Results in Publicly Reporting States and Regional Registries</w:t>
      </w:r>
    </w:p>
    <w:bookmarkEnd w:id="74"/>
    <w:p w14:paraId="27CA8768" w14:textId="14D70176" w:rsidR="00C31AC3" w:rsidRDefault="00C31AC3" w:rsidP="005B2EEB">
      <w:pPr>
        <w:pStyle w:val="EndnoteText"/>
      </w:pPr>
      <w:r>
        <w:t xml:space="preserve">Hospitals located in a state with publicly reported outcomes should refer to the </w:t>
      </w:r>
      <w:r>
        <w:rPr>
          <w:b/>
          <w:i/>
        </w:rPr>
        <w:t>Outcome Specifications</w:t>
      </w:r>
      <w:r>
        <w:t xml:space="preserve"> in the </w:t>
      </w:r>
      <w:r>
        <w:rPr>
          <w:b/>
        </w:rPr>
        <w:t xml:space="preserve">EBHR Reference Information </w:t>
      </w:r>
      <w:r>
        <w:t>on page 47 to determine how they should report based on those reports. If you are aware of publicly-reported results in these states for a more recent period, please contact the Leapfrog Help Desk.  Hospitals that participate in a regional registry should report their results from the most recent report provided by the registry.</w:t>
      </w:r>
    </w:p>
    <w:p w14:paraId="1FB97A1A" w14:textId="77777777" w:rsidR="00C31AC3" w:rsidRDefault="00C31AC3" w:rsidP="005B2EEB">
      <w:pPr>
        <w:pStyle w:val="EndnoteText"/>
      </w:pPr>
    </w:p>
  </w:endnote>
  <w:endnote w:id="21">
    <w:p w14:paraId="298DEF58" w14:textId="77777777" w:rsidR="00C31AC3" w:rsidRDefault="00C31AC3" w:rsidP="005B2EEB">
      <w:pPr>
        <w:pStyle w:val="EndnoteText"/>
        <w:rPr>
          <w:b/>
          <w:i/>
        </w:rPr>
      </w:pPr>
      <w:r>
        <w:rPr>
          <w:rStyle w:val="EndnoteReference"/>
        </w:rPr>
        <w:endnoteRef/>
      </w:r>
      <w:r>
        <w:t xml:space="preserve"> </w:t>
      </w:r>
      <w:bookmarkStart w:id="75" w:name="Endnote20"/>
      <w:r>
        <w:rPr>
          <w:b/>
          <w:i/>
        </w:rPr>
        <w:t>Observed Mortality Rates from Publicly Reported Outcomes and Regional Registries</w:t>
      </w:r>
    </w:p>
    <w:bookmarkEnd w:id="75"/>
    <w:p w14:paraId="4523C9C7" w14:textId="77777777" w:rsidR="00C31AC3" w:rsidRDefault="00C31AC3" w:rsidP="005B2EEB">
      <w:pPr>
        <w:pStyle w:val="EndnoteText"/>
      </w:pPr>
      <w:r>
        <w:t xml:space="preserve">Publicly Reported Outcomes: Follow the instructions in the </w:t>
      </w:r>
      <w:r>
        <w:rPr>
          <w:b/>
          <w:i/>
        </w:rPr>
        <w:t>Outcome Specifications</w:t>
      </w:r>
      <w:r>
        <w:t xml:space="preserve"> in the </w:t>
      </w:r>
      <w:r>
        <w:rPr>
          <w:b/>
        </w:rPr>
        <w:t xml:space="preserve">EBHR Reference Information </w:t>
      </w:r>
      <w:r>
        <w:t>on page 47 to determine the value to report for this question for your hospital.</w:t>
      </w:r>
    </w:p>
    <w:p w14:paraId="0900A3B9" w14:textId="77777777" w:rsidR="00C31AC3" w:rsidRDefault="00C31AC3" w:rsidP="005B2EEB">
      <w:pPr>
        <w:pStyle w:val="EndnoteText"/>
      </w:pPr>
    </w:p>
    <w:p w14:paraId="7895AE2B" w14:textId="77777777" w:rsidR="00C31AC3" w:rsidRDefault="00C31AC3" w:rsidP="005B2EEB">
      <w:pPr>
        <w:pStyle w:val="BodyText"/>
        <w:rPr>
          <w:i w:val="0"/>
        </w:rPr>
      </w:pPr>
      <w:r>
        <w:rPr>
          <w:i w:val="0"/>
        </w:rPr>
        <w:t>NNECDSG reports:</w:t>
      </w:r>
      <w:r>
        <w:t xml:space="preserve">  </w:t>
      </w:r>
      <w:r>
        <w:rPr>
          <w:i w:val="0"/>
        </w:rPr>
        <w:t>Please refer to the document titled</w:t>
      </w:r>
      <w:r>
        <w:t xml:space="preserve"> “Leapfrog Hospital</w:t>
      </w:r>
      <w:r>
        <w:rPr>
          <w:b/>
          <w:color w:val="3366FF"/>
        </w:rPr>
        <w:t xml:space="preserve"> </w:t>
      </w:r>
      <w:r>
        <w:t xml:space="preserve">Survey Data” </w:t>
      </w:r>
      <w:r>
        <w:rPr>
          <w:i w:val="0"/>
        </w:rPr>
        <w:t xml:space="preserve">provided to you as an addendum to your most recent NNECDSG Cardiac Surgery or PCI report. </w:t>
      </w:r>
    </w:p>
    <w:p w14:paraId="563D2D1E" w14:textId="77777777" w:rsidR="00C31AC3" w:rsidRDefault="00C31AC3" w:rsidP="005B2EEB">
      <w:pPr>
        <w:pStyle w:val="EndnoteText"/>
      </w:pPr>
    </w:p>
    <w:p w14:paraId="175FC7E3" w14:textId="77777777" w:rsidR="00C31AC3" w:rsidRDefault="00C31AC3" w:rsidP="005B2EEB">
      <w:pPr>
        <w:pStyle w:val="EndnoteText"/>
      </w:pPr>
    </w:p>
    <w:p w14:paraId="508415E6" w14:textId="77777777" w:rsidR="00C31AC3" w:rsidRDefault="00C31AC3" w:rsidP="005B2EEB">
      <w:pPr>
        <w:pStyle w:val="EndnoteText"/>
      </w:pPr>
    </w:p>
  </w:endnote>
  <w:endnote w:id="22">
    <w:p w14:paraId="03F8C227" w14:textId="77777777" w:rsidR="00C31AC3" w:rsidRDefault="00C31AC3" w:rsidP="005B2EEB">
      <w:pPr>
        <w:pStyle w:val="EndnoteText"/>
        <w:rPr>
          <w:b/>
          <w:i/>
        </w:rPr>
      </w:pPr>
      <w:r>
        <w:rPr>
          <w:rStyle w:val="EndnoteReference"/>
        </w:rPr>
        <w:endnoteRef/>
      </w:r>
      <w:r>
        <w:t xml:space="preserve"> </w:t>
      </w:r>
      <w:bookmarkStart w:id="76" w:name="Endnote21"/>
      <w:r>
        <w:rPr>
          <w:b/>
          <w:i/>
        </w:rPr>
        <w:t>Expected  Mortality Rates from Publicly Reported Outcomes and Regional Registries</w:t>
      </w:r>
      <w:bookmarkEnd w:id="76"/>
    </w:p>
    <w:p w14:paraId="793CF502" w14:textId="77777777" w:rsidR="00C31AC3" w:rsidRDefault="00C31AC3" w:rsidP="005B2EEB">
      <w:pPr>
        <w:pStyle w:val="EndnoteText"/>
      </w:pPr>
      <w:r>
        <w:t xml:space="preserve">Publicly Reported Outcomes: Follow the instructions in the </w:t>
      </w:r>
      <w:r>
        <w:rPr>
          <w:b/>
          <w:i/>
        </w:rPr>
        <w:t>Outcome Specifications</w:t>
      </w:r>
      <w:r>
        <w:t xml:space="preserve"> in </w:t>
      </w:r>
      <w:r>
        <w:rPr>
          <w:i/>
        </w:rPr>
        <w:t>Section 3</w:t>
      </w:r>
      <w:r>
        <w:t xml:space="preserve"> of the </w:t>
      </w:r>
      <w:r>
        <w:rPr>
          <w:b/>
        </w:rPr>
        <w:t xml:space="preserve">EBHR Reference Information </w:t>
      </w:r>
      <w:r>
        <w:t>on page 47 to determine the value to report for this question for your hospital.</w:t>
      </w:r>
    </w:p>
    <w:p w14:paraId="32903953" w14:textId="77777777" w:rsidR="00C31AC3" w:rsidRDefault="00C31AC3" w:rsidP="005B2EEB">
      <w:pPr>
        <w:pStyle w:val="EndnoteText"/>
      </w:pPr>
    </w:p>
    <w:p w14:paraId="61F3F8B2" w14:textId="77777777" w:rsidR="00C31AC3" w:rsidRDefault="00C31AC3" w:rsidP="005B2EEB">
      <w:pPr>
        <w:pStyle w:val="BodyText"/>
        <w:rPr>
          <w:i w:val="0"/>
        </w:rPr>
      </w:pPr>
      <w:r>
        <w:rPr>
          <w:i w:val="0"/>
        </w:rPr>
        <w:t>NNECDSG Reports:  Please refer to the document titled</w:t>
      </w:r>
      <w:r>
        <w:t xml:space="preserve"> “Leapfrog Hospital</w:t>
      </w:r>
      <w:r>
        <w:rPr>
          <w:b/>
          <w:color w:val="3366FF"/>
        </w:rPr>
        <w:t xml:space="preserve"> </w:t>
      </w:r>
      <w:r>
        <w:t xml:space="preserve">Survey Data” </w:t>
      </w:r>
      <w:r>
        <w:rPr>
          <w:i w:val="0"/>
        </w:rPr>
        <w:t xml:space="preserve">provided to you as an addendum to your most recent NNECDSG Cardiac Surgery or PCI report. </w:t>
      </w:r>
    </w:p>
    <w:p w14:paraId="6810897C" w14:textId="77777777" w:rsidR="00C31AC3" w:rsidRPr="00D14BB9" w:rsidRDefault="00C31AC3" w:rsidP="005B2EEB">
      <w:pPr>
        <w:pStyle w:val="BodyText"/>
        <w:rPr>
          <w:i w:val="0"/>
        </w:rPr>
      </w:pPr>
    </w:p>
  </w:endnote>
  <w:endnote w:id="23">
    <w:p w14:paraId="5D775587" w14:textId="77777777" w:rsidR="00C31AC3" w:rsidRPr="00A4550B" w:rsidRDefault="00C31AC3" w:rsidP="007D1EA1">
      <w:pPr>
        <w:pStyle w:val="EndnoteText"/>
        <w:rPr>
          <w:b/>
          <w:i/>
        </w:rPr>
      </w:pPr>
      <w:r w:rsidRPr="00A4550B">
        <w:rPr>
          <w:rStyle w:val="EndnoteReference"/>
        </w:rPr>
        <w:endnoteRef/>
      </w:r>
      <w:r w:rsidRPr="00A4550B">
        <w:t xml:space="preserve"> </w:t>
      </w:r>
      <w:bookmarkStart w:id="148" w:name="Endnote22"/>
      <w:r w:rsidRPr="00A4550B">
        <w:rPr>
          <w:b/>
          <w:i/>
        </w:rPr>
        <w:t>High-Risk Deliveries Electively Admitted</w:t>
      </w:r>
      <w:bookmarkEnd w:id="148"/>
    </w:p>
    <w:p w14:paraId="46190312" w14:textId="77777777" w:rsidR="00C31AC3" w:rsidRPr="00A4550B" w:rsidRDefault="00C31AC3" w:rsidP="007D1EA1">
      <w:r w:rsidRPr="00A4550B">
        <w:t>Includes deliveries with:</w:t>
      </w:r>
    </w:p>
    <w:p w14:paraId="48979A03" w14:textId="77777777" w:rsidR="00C31AC3" w:rsidRPr="00A4550B" w:rsidRDefault="00C31AC3" w:rsidP="00ED58C1">
      <w:pPr>
        <w:numPr>
          <w:ilvl w:val="0"/>
          <w:numId w:val="7"/>
        </w:numPr>
      </w:pPr>
      <w:r w:rsidRPr="00A4550B">
        <w:rPr>
          <w:i/>
        </w:rPr>
        <w:t>expected</w:t>
      </w:r>
      <w:r w:rsidRPr="00A4550B">
        <w:t xml:space="preserve"> birth weight &lt;1500 grams; or </w:t>
      </w:r>
    </w:p>
    <w:p w14:paraId="7AFC4213" w14:textId="77777777" w:rsidR="00C31AC3" w:rsidRPr="00A4550B" w:rsidRDefault="00C31AC3" w:rsidP="00ED58C1">
      <w:pPr>
        <w:numPr>
          <w:ilvl w:val="0"/>
          <w:numId w:val="7"/>
        </w:numPr>
      </w:pPr>
      <w:r w:rsidRPr="00A4550B">
        <w:t>gestational age at least 22 weeks but &lt;32 weeks.</w:t>
      </w:r>
    </w:p>
    <w:p w14:paraId="3A7FBCB4" w14:textId="77777777" w:rsidR="00C31AC3" w:rsidRPr="00A4550B" w:rsidRDefault="00C31AC3" w:rsidP="007D1EA1">
      <w:pPr>
        <w:pStyle w:val="DefinitionList"/>
        <w:ind w:left="0"/>
      </w:pPr>
    </w:p>
    <w:p w14:paraId="51770B26" w14:textId="77777777" w:rsidR="00C31AC3" w:rsidRPr="00A4550B" w:rsidRDefault="00C31AC3" w:rsidP="007D1EA1">
      <w:r w:rsidRPr="00A4550B">
        <w:t xml:space="preserve">Not all women at risk for delivery of babies with these conditions are known beforehand to be at risk. Therefore, deliveries in which these high-risk conditions were </w:t>
      </w:r>
      <w:r w:rsidRPr="00A4550B">
        <w:rPr>
          <w:u w:val="single"/>
        </w:rPr>
        <w:t>unknown</w:t>
      </w:r>
      <w:r w:rsidRPr="00A4550B">
        <w:t xml:space="preserve"> prior to admission are not considered electively admitted high-risk deliveries.</w:t>
      </w:r>
    </w:p>
    <w:p w14:paraId="5EF38EC3" w14:textId="77777777" w:rsidR="00C31AC3" w:rsidRPr="00A4550B" w:rsidRDefault="00C31AC3" w:rsidP="007D1EA1"/>
    <w:p w14:paraId="40B8C680" w14:textId="77777777" w:rsidR="00C31AC3" w:rsidRPr="00A4550B" w:rsidRDefault="00C31AC3" w:rsidP="007D1EA1">
      <w:r w:rsidRPr="00A4550B">
        <w:t xml:space="preserve">If your hospital admits deliveries where these conditions are </w:t>
      </w:r>
      <w:r w:rsidRPr="00A4550B">
        <w:rPr>
          <w:u w:val="single"/>
        </w:rPr>
        <w:t>known</w:t>
      </w:r>
      <w:r w:rsidRPr="00A4550B">
        <w:t xml:space="preserve"> prior to admission, then your hospital electively admits high-risk deliveries and you should </w:t>
      </w:r>
      <w:r w:rsidRPr="00F015F1">
        <w:t>answer ‘Yes’</w:t>
      </w:r>
      <w:r w:rsidRPr="00A4550B">
        <w:t xml:space="preserve"> to Question 1; otherwise, answer ‘No’.</w:t>
      </w:r>
    </w:p>
  </w:endnote>
  <w:endnote w:id="24">
    <w:p w14:paraId="2CA413FA" w14:textId="77777777" w:rsidR="00C31AC3" w:rsidRPr="00A4550B" w:rsidRDefault="00C31AC3" w:rsidP="007D1EA1">
      <w:pPr>
        <w:pStyle w:val="EndnoteText"/>
      </w:pPr>
    </w:p>
    <w:p w14:paraId="2D9F27B3" w14:textId="77777777" w:rsidR="00C31AC3" w:rsidRPr="00A4550B" w:rsidRDefault="00C31AC3" w:rsidP="007D1EA1">
      <w:pPr>
        <w:pStyle w:val="EndnoteText"/>
        <w:rPr>
          <w:b/>
          <w:i/>
        </w:rPr>
      </w:pPr>
      <w:r w:rsidRPr="00A4550B">
        <w:rPr>
          <w:rStyle w:val="EndnoteReference"/>
        </w:rPr>
        <w:endnoteRef/>
      </w:r>
      <w:r w:rsidRPr="00A4550B">
        <w:t xml:space="preserve"> </w:t>
      </w:r>
      <w:bookmarkStart w:id="149" w:name="Endnote23"/>
      <w:r w:rsidRPr="00A4550B">
        <w:rPr>
          <w:b/>
          <w:i/>
        </w:rPr>
        <w:t>Co-located with a Hospital Having a NICU</w:t>
      </w:r>
      <w:bookmarkEnd w:id="149"/>
    </w:p>
    <w:p w14:paraId="4DC2DB9D" w14:textId="77777777" w:rsidR="00C31AC3" w:rsidRPr="00A4550B" w:rsidRDefault="00C31AC3" w:rsidP="007D1EA1">
      <w:pPr>
        <w:pStyle w:val="EndnoteText"/>
      </w:pPr>
      <w:r w:rsidRPr="00A4550B">
        <w:t>A hospital without a neonatal ICU but in immediate physical proximity to another hospital that has a neonatal ICU, e.g., a children’s hospital next door to which your hospital immediately transfers all complicated newborns, is considered as sharing a co-located NICU. "Immediate physical proximity” means the two facilities must be physically connected, either by a tunnel, an enclosed bridge, or the hospitals should abut each other so that the hallways readily connect. Based on available research evidence, the pivotal factor is that the neonatal team be able to attend the high-risk deliveries whenever a neonatal resuscitation might be necessary. If the hospitals are not immediately adjacent to each other, this isn't possible.</w:t>
      </w:r>
    </w:p>
    <w:p w14:paraId="2B919EB7" w14:textId="77777777" w:rsidR="00C31AC3" w:rsidRPr="00A4550B" w:rsidRDefault="00C31AC3" w:rsidP="007D1EA1">
      <w:pPr>
        <w:pStyle w:val="EndnoteText"/>
      </w:pPr>
    </w:p>
  </w:endnote>
  <w:endnote w:id="25">
    <w:p w14:paraId="0C828D14" w14:textId="77777777" w:rsidR="00C31AC3" w:rsidRPr="00A4550B" w:rsidRDefault="00C31AC3" w:rsidP="007D1EA1">
      <w:pPr>
        <w:pStyle w:val="EndnoteText"/>
        <w:rPr>
          <w:b/>
          <w:i/>
        </w:rPr>
      </w:pPr>
      <w:r w:rsidRPr="00A4550B">
        <w:rPr>
          <w:rStyle w:val="EndnoteReference"/>
        </w:rPr>
        <w:endnoteRef/>
      </w:r>
      <w:r w:rsidRPr="00A4550B">
        <w:t xml:space="preserve"> </w:t>
      </w:r>
      <w:bookmarkStart w:id="150" w:name="Endnote24"/>
      <w:r w:rsidRPr="00A4550B">
        <w:rPr>
          <w:b/>
          <w:i/>
        </w:rPr>
        <w:t>Very-low birth weight babies</w:t>
      </w:r>
      <w:bookmarkEnd w:id="150"/>
    </w:p>
    <w:p w14:paraId="2BA204A6" w14:textId="7648E880" w:rsidR="00C31AC3" w:rsidRDefault="00C31AC3" w:rsidP="007D1EA1">
      <w:r w:rsidRPr="00A4550B">
        <w:t xml:space="preserve">Complicated newborns are those infants with a birth weight &lt;1500 grams. If your hospital has a neonatal ICU (or is co-located with a hospital that has a neonatal ICU) that admits or accepts transfers of neonates with these conditions, you should answer </w:t>
      </w:r>
      <w:r>
        <w:t>‘</w:t>
      </w:r>
      <w:r w:rsidRPr="00A4550B">
        <w:t>Yes</w:t>
      </w:r>
      <w:r>
        <w:t>’</w:t>
      </w:r>
      <w:r w:rsidRPr="00A4550B">
        <w:t xml:space="preserve"> to Question 2.</w:t>
      </w:r>
    </w:p>
    <w:p w14:paraId="01992AC7" w14:textId="77777777" w:rsidR="00C31AC3" w:rsidRDefault="00C31AC3" w:rsidP="007D1EA1"/>
  </w:endnote>
  <w:endnote w:id="26">
    <w:p w14:paraId="6C0AB8EE" w14:textId="77777777" w:rsidR="00C31AC3" w:rsidRPr="00FE6C74" w:rsidRDefault="00C31AC3">
      <w:pPr>
        <w:pStyle w:val="EndnoteText"/>
      </w:pPr>
      <w:r w:rsidRPr="00FE6C74">
        <w:rPr>
          <w:rStyle w:val="EndnoteReference"/>
        </w:rPr>
        <w:endnoteRef/>
      </w:r>
      <w:r w:rsidRPr="00FE6C74">
        <w:t xml:space="preserve"> </w:t>
      </w:r>
      <w:bookmarkStart w:id="151" w:name="Endnote25"/>
      <w:r w:rsidRPr="00FE6C74">
        <w:rPr>
          <w:b/>
          <w:i/>
          <w:snapToGrid w:val="0"/>
          <w:color w:val="000000"/>
        </w:rPr>
        <w:t>VON’s Death or Morbidity  Measure</w:t>
      </w:r>
      <w:r w:rsidRPr="00FE6C74">
        <w:t xml:space="preserve"> </w:t>
      </w:r>
      <w:bookmarkEnd w:id="151"/>
    </w:p>
    <w:p w14:paraId="387B7A78" w14:textId="4F1614A1" w:rsidR="00C31AC3" w:rsidRDefault="00C31AC3" w:rsidP="00440B2C">
      <w:pPr>
        <w:pStyle w:val="EndnoteText"/>
      </w:pPr>
      <w:r>
        <w:t xml:space="preserve">This measure is collected and calculated by the Vermont Oxford Network and includes patients who have died or known to have one or more of the following: severe intraventricular hemorrhage (SIVH); chronic lung disease (CLD); necrotizing enterocolitis (NEC); pneumothorax any late infection (bacterial, fungal, or coagulase negative staph); or cystic periventricular leukomalacia (PVL). </w:t>
      </w:r>
    </w:p>
    <w:p w14:paraId="3688AE76" w14:textId="77777777" w:rsidR="00C31AC3" w:rsidRPr="001A63A4" w:rsidRDefault="00C31AC3">
      <w:pPr>
        <w:pStyle w:val="EndnoteText"/>
      </w:pPr>
    </w:p>
  </w:endnote>
  <w:endnote w:id="27">
    <w:p w14:paraId="3499A981" w14:textId="77777777" w:rsidR="00C31AC3" w:rsidRDefault="00C31AC3" w:rsidP="00385598">
      <w:pPr>
        <w:pStyle w:val="EndnoteText"/>
        <w:rPr>
          <w:b/>
        </w:rPr>
      </w:pPr>
      <w:r>
        <w:rPr>
          <w:rStyle w:val="EndnoteReference"/>
        </w:rPr>
        <w:endnoteRef/>
      </w:r>
      <w:r>
        <w:t xml:space="preserve"> </w:t>
      </w:r>
      <w:bookmarkStart w:id="218" w:name="Endnote26"/>
      <w:r>
        <w:rPr>
          <w:b/>
          <w:i/>
        </w:rPr>
        <w:t xml:space="preserve">All Patients </w:t>
      </w:r>
      <w:bookmarkEnd w:id="218"/>
    </w:p>
    <w:p w14:paraId="06087C07" w14:textId="77777777" w:rsidR="00C31AC3" w:rsidRDefault="00C31AC3" w:rsidP="00385598">
      <w:pPr>
        <w:pStyle w:val="EndnoteText"/>
      </w:pPr>
      <w:r>
        <w:rPr>
          <w:b/>
        </w:rPr>
        <w:t>“All patients”</w:t>
      </w:r>
      <w:r>
        <w:t xml:space="preserve"> means all general medical-surgical ICU patients and neuro ICU patients in the ICU.</w:t>
      </w:r>
    </w:p>
    <w:p w14:paraId="7FFDB3C0" w14:textId="77777777" w:rsidR="00C31AC3" w:rsidRDefault="00C31AC3" w:rsidP="00385598">
      <w:pPr>
        <w:pStyle w:val="EndnoteText"/>
      </w:pPr>
    </w:p>
  </w:endnote>
  <w:endnote w:id="28">
    <w:p w14:paraId="42E5BE0B" w14:textId="77777777" w:rsidR="00C31AC3" w:rsidRPr="00CF19E5" w:rsidRDefault="00C31AC3" w:rsidP="00DA7084">
      <w:pPr>
        <w:pStyle w:val="EndnoteText"/>
      </w:pPr>
      <w:r>
        <w:rPr>
          <w:rStyle w:val="EndnoteReference"/>
        </w:rPr>
        <w:endnoteRef/>
      </w:r>
      <w:r>
        <w:t xml:space="preserve"> </w:t>
      </w:r>
      <w:bookmarkStart w:id="219" w:name="Endnote27"/>
      <w:r w:rsidRPr="00CF19E5">
        <w:rPr>
          <w:b/>
          <w:i/>
        </w:rPr>
        <w:t>Adult or Pediatric, General Medical and/or Surgical ICUs or Neuro ICUs</w:t>
      </w:r>
      <w:bookmarkEnd w:id="219"/>
    </w:p>
    <w:p w14:paraId="02B8780D" w14:textId="724517C1" w:rsidR="00C31AC3" w:rsidRDefault="00C31AC3" w:rsidP="00DA7084">
      <w:pPr>
        <w:pStyle w:val="EndnoteText"/>
      </w:pPr>
      <w:r w:rsidRPr="00CF19E5">
        <w:t>The IPS standard applies only to adult and pediatric general medical and/or surgical ICUs and neuro ICUs (medical and surgical). When responding to this section, ignore units dedicated exclusively to patients with other highly specialized conditions. E.g., ignore any Coronary Care Unit (CCU) that is distinct and separate from other adult/pediatric general medical/surgical ICUs. (If the same ICU is used for both coronary intensive care as well as other</w:t>
      </w:r>
      <w:r>
        <w:t xml:space="preserve"> general medical-surgical conditions, include this unit in your responses.) Other examples of highly specialized units to ignore when responding are: neonatal intensive care units, separate trauma, burn, cardiovascular, or cardio-thoracic. “Dedicated exclusively” means that general med/surg patients are not also cared for in these specialized units (except in rare overflow situations). If they are, then the IPS standard applies to those units as well. Also ignore intermediate care or step-down units when responding to this section.</w:t>
      </w:r>
    </w:p>
    <w:p w14:paraId="79E24C35" w14:textId="77777777" w:rsidR="00C31AC3" w:rsidRDefault="00C31AC3" w:rsidP="00DA7084">
      <w:pPr>
        <w:pStyle w:val="EndnoteText"/>
      </w:pPr>
    </w:p>
    <w:p w14:paraId="79928404" w14:textId="77777777" w:rsidR="00C31AC3" w:rsidRDefault="00C31AC3" w:rsidP="00DA7084">
      <w:pPr>
        <w:pStyle w:val="EndnoteText"/>
      </w:pPr>
      <w:r w:rsidRPr="00CF19E5">
        <w:t>For hospitals that have more than one type of ICU included in this standard, where the ICU physician staffing structure may differ among ICU types, hospitals are instructed to report on the least restrictive ICU when responding to questions #1-14 in Section 5 ICU Physician Staffing. For example, if the pediatric medical ICU is staffed by intensivists at least 8 hours/day, 7 days/week, but the adult medical ICU is not, the hospital would respond to questions #1-14 based on the adult medical ICU.</w:t>
      </w:r>
      <w:r>
        <w:t xml:space="preserve"> </w:t>
      </w:r>
    </w:p>
    <w:p w14:paraId="04DF7A7A" w14:textId="77777777" w:rsidR="00C31AC3" w:rsidRDefault="00C31AC3">
      <w:pPr>
        <w:pStyle w:val="EndnoteText"/>
      </w:pPr>
    </w:p>
  </w:endnote>
  <w:endnote w:id="29">
    <w:p w14:paraId="384A7E98" w14:textId="77777777" w:rsidR="00C31AC3" w:rsidRDefault="00C31AC3">
      <w:pPr>
        <w:pStyle w:val="EndnoteText"/>
      </w:pPr>
      <w:r>
        <w:rPr>
          <w:rStyle w:val="EndnoteReference"/>
        </w:rPr>
        <w:endnoteRef/>
      </w:r>
      <w:r>
        <w:t xml:space="preserve"> </w:t>
      </w:r>
      <w:bookmarkStart w:id="220" w:name="Endnote28"/>
      <w:r>
        <w:rPr>
          <w:b/>
          <w:i/>
        </w:rPr>
        <w:t>Managed or Co-Managed</w:t>
      </w:r>
      <w:bookmarkEnd w:id="220"/>
    </w:p>
    <w:p w14:paraId="1CE768DC" w14:textId="77777777" w:rsidR="00C31AC3" w:rsidRDefault="00C31AC3">
      <w:pPr>
        <w:pStyle w:val="EndnoteText"/>
      </w:pPr>
      <w:r>
        <w:t>The intensivist, when present (whether on-site or via telemedicine), is authorized to diagnose, treat, and write orders for a patient in the ICU on his/her own authority. Mandatory consults or daily rounds by an intensivist are not sufficient to meet the managed/co-managed requirement. However, an ICU need not be close-staffed to meet this requirement.</w:t>
      </w:r>
    </w:p>
    <w:p w14:paraId="74AE7904" w14:textId="660C6F6F" w:rsidR="00C31AC3" w:rsidRDefault="00C31AC3">
      <w:pPr>
        <w:pStyle w:val="EndnoteText"/>
      </w:pPr>
    </w:p>
  </w:endnote>
  <w:endnote w:id="30">
    <w:p w14:paraId="64657806" w14:textId="77777777" w:rsidR="00C31AC3" w:rsidRDefault="00C31AC3">
      <w:pPr>
        <w:pStyle w:val="BodyText2"/>
        <w:rPr>
          <w:b/>
        </w:rPr>
      </w:pPr>
      <w:r>
        <w:rPr>
          <w:rStyle w:val="EndnoteReference"/>
        </w:rPr>
        <w:endnoteRef/>
      </w:r>
      <w:r>
        <w:t xml:space="preserve"> </w:t>
      </w:r>
      <w:bookmarkStart w:id="221" w:name="Endnote29"/>
      <w:r>
        <w:rPr>
          <w:b/>
        </w:rPr>
        <w:t>Certified in Critical Care Medicine</w:t>
      </w:r>
      <w:bookmarkEnd w:id="221"/>
    </w:p>
    <w:p w14:paraId="23BA7BD6" w14:textId="77777777" w:rsidR="00C31AC3" w:rsidRPr="006B19E3" w:rsidRDefault="00C31AC3" w:rsidP="006B19E3">
      <w:pPr>
        <w:pStyle w:val="BodyText2"/>
        <w:rPr>
          <w:i w:val="0"/>
        </w:rPr>
      </w:pPr>
      <w:r w:rsidRPr="00A4550B">
        <w:rPr>
          <w:i w:val="0"/>
        </w:rPr>
        <w:t>A physician who is “certified in Critical Care Medicine” is a board-certified physician who is additionally certified in the subspecialty of Critical Care Medicine. Certification in Critical Care Medicine is awarded by the American Boards of Internal Medicine, Surgery, Anesthesiology, Pediatrics, and Emergency Medicine.</w:t>
      </w:r>
    </w:p>
    <w:p w14:paraId="442D8BAC" w14:textId="77777777" w:rsidR="00C31AC3" w:rsidRPr="006B19E3" w:rsidRDefault="00C31AC3" w:rsidP="006B19E3">
      <w:pPr>
        <w:pStyle w:val="BodyText2"/>
        <w:rPr>
          <w:i w:val="0"/>
        </w:rPr>
      </w:pPr>
      <w:r w:rsidRPr="006B19E3">
        <w:rPr>
          <w:i w:val="0"/>
        </w:rPr>
        <w:t xml:space="preserve"> </w:t>
      </w:r>
    </w:p>
    <w:p w14:paraId="2254118A" w14:textId="77777777" w:rsidR="00C31AC3" w:rsidRPr="006B19E3" w:rsidRDefault="00C31AC3" w:rsidP="006B19E3">
      <w:pPr>
        <w:pStyle w:val="BodyText2"/>
        <w:rPr>
          <w:i w:val="0"/>
        </w:rPr>
      </w:pPr>
      <w:r w:rsidRPr="006B19E3">
        <w:rPr>
          <w:i w:val="0"/>
        </w:rPr>
        <w:t xml:space="preserve">On an interim basis, </w:t>
      </w:r>
      <w:r>
        <w:rPr>
          <w:i w:val="0"/>
        </w:rPr>
        <w:t>three</w:t>
      </w:r>
      <w:r w:rsidRPr="006B19E3">
        <w:rPr>
          <w:i w:val="0"/>
        </w:rPr>
        <w:t xml:space="preserve"> other categories of physicians are considered by Leapfrog to be equivalent to a physician “certified in Critical Care Medicine” for the purpose of meeting the standard:</w:t>
      </w:r>
    </w:p>
    <w:p w14:paraId="0E319CA0" w14:textId="77777777" w:rsidR="00C31AC3" w:rsidRPr="006B19E3" w:rsidRDefault="00C31AC3" w:rsidP="00ED58C1">
      <w:pPr>
        <w:pStyle w:val="BodyText2"/>
        <w:numPr>
          <w:ilvl w:val="0"/>
          <w:numId w:val="117"/>
        </w:numPr>
        <w:rPr>
          <w:i w:val="0"/>
        </w:rPr>
      </w:pPr>
      <w:r w:rsidRPr="006B19E3">
        <w:rPr>
          <w:i w:val="0"/>
        </w:rPr>
        <w:t>Physicians who completed training prior to availability of subspecialty certification in critical care in their specialty (1987 for Internal Medicine, Surgery, Anesthesiology, Pediatrics and 2013 for Emergency Medicine), who are board- certified in their specialty, and who have provided at least six weeks of full-time ICU care annually. (The weeks need not be consecutive weeks.)</w:t>
      </w:r>
    </w:p>
    <w:p w14:paraId="20525029" w14:textId="77777777" w:rsidR="00C31AC3" w:rsidRPr="00DC11AC" w:rsidRDefault="00C31AC3" w:rsidP="00ED58C1">
      <w:pPr>
        <w:pStyle w:val="BodyText2"/>
        <w:numPr>
          <w:ilvl w:val="0"/>
          <w:numId w:val="117"/>
        </w:numPr>
        <w:rPr>
          <w:i w:val="0"/>
        </w:rPr>
      </w:pPr>
      <w:r w:rsidRPr="00DC5981">
        <w:rPr>
          <w:i w:val="0"/>
        </w:rPr>
        <w:t>Physicians who have finished their fellowship in Critical Care Medicine, but have not yet passed an existing boa</w:t>
      </w:r>
      <w:r w:rsidRPr="00DC11AC">
        <w:rPr>
          <w:i w:val="0"/>
        </w:rPr>
        <w:t>rd-certifying exam, are considered to be equivalent to a physician “Certified in Critical Care Medicine” for up to three years after completion of the fellowship.  This provides the physician an adequate window to take her/his boards and re-take if necessary.</w:t>
      </w:r>
    </w:p>
    <w:p w14:paraId="10DA0AEA" w14:textId="21AAEE0F" w:rsidR="00C31AC3" w:rsidRDefault="00C31AC3" w:rsidP="00ED58C1">
      <w:pPr>
        <w:pStyle w:val="BodyText2"/>
        <w:numPr>
          <w:ilvl w:val="0"/>
          <w:numId w:val="116"/>
        </w:numPr>
        <w:rPr>
          <w:i w:val="0"/>
        </w:rPr>
      </w:pPr>
      <w:r>
        <w:rPr>
          <w:i w:val="0"/>
        </w:rPr>
        <w:t>Physicians who are board-certified in their primary specialty and have completed a critical care fellowship at an ACGME-accredited program, but are ineligible to sit for a board-certifying exam in Critical Care in either their primary specialty or subspecialty because their training occurred under two separate certifying boards, are considered to be equivalent to a physician ‘Certified in Critical Care Medicine’ if they are board-certified in their primary specialty and have provided at least six weeks of full-time ICU are annually. (The weeks need not be consecutive weeks.)</w:t>
      </w:r>
    </w:p>
    <w:p w14:paraId="17E17A91" w14:textId="77777777" w:rsidR="00C31AC3" w:rsidRDefault="00C31AC3" w:rsidP="006B19E3">
      <w:pPr>
        <w:pStyle w:val="BodyText2"/>
        <w:rPr>
          <w:i w:val="0"/>
        </w:rPr>
      </w:pPr>
    </w:p>
    <w:p w14:paraId="4027D20F" w14:textId="77777777" w:rsidR="00C31AC3" w:rsidRDefault="00C31AC3" w:rsidP="00A4550B">
      <w:pPr>
        <w:pStyle w:val="Header"/>
        <w:contextualSpacing/>
        <w:rPr>
          <w:rFonts w:cs="Arial"/>
          <w:iCs/>
        </w:rPr>
      </w:pPr>
      <w:r w:rsidRPr="001A63A4">
        <w:rPr>
          <w:rFonts w:cs="Arial"/>
          <w:iCs/>
        </w:rPr>
        <w:t>Due to the recent availability of subspecialty certification in critical care, Emergency Medicine physicians who completed their training after 2013 will have until 2016 to complete their subspecialty certification in critical care in order to be considered by Leapfrog as “certified in Critical Care Medicine.”</w:t>
      </w:r>
    </w:p>
    <w:p w14:paraId="52B26AEE" w14:textId="77777777" w:rsidR="00C31AC3" w:rsidRPr="00A4550B" w:rsidRDefault="00C31AC3" w:rsidP="006B19E3">
      <w:pPr>
        <w:pStyle w:val="BodyText2"/>
        <w:rPr>
          <w:i w:val="0"/>
        </w:rPr>
      </w:pPr>
    </w:p>
    <w:p w14:paraId="21BD125E" w14:textId="77777777" w:rsidR="00C31AC3" w:rsidRPr="006B19E3" w:rsidRDefault="00C31AC3" w:rsidP="006B19E3">
      <w:pPr>
        <w:pStyle w:val="BodyText2"/>
        <w:rPr>
          <w:i w:val="0"/>
        </w:rPr>
      </w:pPr>
      <w:r w:rsidRPr="006B19E3">
        <w:rPr>
          <w:i w:val="0"/>
        </w:rPr>
        <w:t>Physicians who have let their board certification lapse are not considered to be “Certified in Critical Care Medicine”.</w:t>
      </w:r>
    </w:p>
    <w:p w14:paraId="6D7654D2" w14:textId="77777777" w:rsidR="00C31AC3" w:rsidRPr="006B19E3" w:rsidRDefault="00C31AC3" w:rsidP="006B19E3">
      <w:pPr>
        <w:pStyle w:val="BodyText2"/>
        <w:rPr>
          <w:i w:val="0"/>
        </w:rPr>
      </w:pPr>
    </w:p>
    <w:p w14:paraId="0C3FF3E7" w14:textId="061BD5C3" w:rsidR="00C31AC3" w:rsidRPr="00A407F0" w:rsidRDefault="00C31AC3">
      <w:pPr>
        <w:pStyle w:val="BodyText2"/>
        <w:rPr>
          <w:i w:val="0"/>
        </w:rPr>
      </w:pPr>
      <w:r w:rsidRPr="00A4550B">
        <w:rPr>
          <w:i w:val="0"/>
        </w:rPr>
        <w:t>“Neurointensivists” are classified as physicians who are board-certified in their primary specialty and who are additionally certified in the subspecialty of Neurocritical Care Medicine. Certification in Neurocritical Care Medicine is awarded by the United Council for Neurologic Subspecialties (UCNS) or through completion of the Society of Neurological Surgeon’s CAST fellowship, with subsequent passage of the associated ABNS exam. On an interim basis, physicians are considered by Leapfrog to be equivalent to a physician “certified in Neurocritical Care Medicine” if they completed the CAST fellowship prior to the availability of the associated ABNS exam, are board- certified in their specialty, and have provided at least six weeks of full-time ICU care annually. (The weeks need not be consecutive weeks.)</w:t>
      </w:r>
    </w:p>
    <w:p w14:paraId="0C7CA0CA" w14:textId="77777777" w:rsidR="00C31AC3" w:rsidRDefault="00C31AC3">
      <w:pPr>
        <w:pStyle w:val="BodyText2"/>
      </w:pPr>
    </w:p>
  </w:endnote>
  <w:endnote w:id="31">
    <w:p w14:paraId="24311DE1" w14:textId="77777777" w:rsidR="00C31AC3" w:rsidRPr="00025567" w:rsidRDefault="00C31AC3">
      <w:pPr>
        <w:pStyle w:val="EndnoteText"/>
      </w:pPr>
      <w:r w:rsidRPr="00025567">
        <w:rPr>
          <w:rStyle w:val="EndnoteReference"/>
        </w:rPr>
        <w:endnoteRef/>
      </w:r>
      <w:r w:rsidRPr="00025567">
        <w:t xml:space="preserve"> </w:t>
      </w:r>
      <w:bookmarkStart w:id="222" w:name="Endnote30"/>
      <w:r w:rsidRPr="00025567">
        <w:rPr>
          <w:b/>
          <w:i/>
        </w:rPr>
        <w:t>Ordinarily and Exclusively Present in the ICU</w:t>
      </w:r>
      <w:bookmarkEnd w:id="222"/>
    </w:p>
    <w:p w14:paraId="0B5418EF" w14:textId="77777777" w:rsidR="00C31AC3" w:rsidRPr="00025567" w:rsidRDefault="00C31AC3">
      <w:pPr>
        <w:pStyle w:val="EndnoteText"/>
      </w:pPr>
      <w:r w:rsidRPr="00025567">
        <w:rPr>
          <w:b/>
        </w:rPr>
        <w:t>“Ordinarily present in the ICU”</w:t>
      </w:r>
      <w:r w:rsidRPr="00025567">
        <w:t xml:space="preserve"> refers to direct presence in the ICU (or presence via telemedicine – see endnote #</w:t>
      </w:r>
      <w:r>
        <w:t>33</w:t>
      </w:r>
      <w:r w:rsidRPr="00025567">
        <w:t xml:space="preserve">) of an intensivist during the 4-hour or 8-hour period. While it need not be the same intensivist for the entire 4-hour or 8-hour period, it is expected that the ICU(s) are primarily staffed by dedicated ICU intensivists who are ordinarily and exclusively present in the ICU(s). "Presence" does </w:t>
      </w:r>
      <w:r w:rsidRPr="00025567">
        <w:rPr>
          <w:i/>
        </w:rPr>
        <w:t>not</w:t>
      </w:r>
      <w:r w:rsidRPr="00025567">
        <w:t xml:space="preserve"> mean staffed part-time by multiple physicians who are not ordinarily and exclusively dedicated to the ICU, </w:t>
      </w:r>
      <w:r w:rsidRPr="00025567">
        <w:rPr>
          <w:i/>
        </w:rPr>
        <w:t>nor</w:t>
      </w:r>
      <w:r w:rsidRPr="00025567">
        <w:t xml:space="preserve"> does it mean the cumulative time that one or more intensivists spend in the unit visiting, rounding, consulting, or responding to pages.</w:t>
      </w:r>
    </w:p>
    <w:p w14:paraId="344D3449" w14:textId="77777777" w:rsidR="00C31AC3" w:rsidRPr="00025567" w:rsidRDefault="00C31AC3">
      <w:pPr>
        <w:pStyle w:val="EndnoteText"/>
        <w:rPr>
          <w:b/>
        </w:rPr>
      </w:pPr>
    </w:p>
    <w:p w14:paraId="10DB957C" w14:textId="77777777" w:rsidR="00C31AC3" w:rsidRPr="00025567" w:rsidRDefault="00C31AC3">
      <w:pPr>
        <w:pStyle w:val="EndnoteText"/>
      </w:pPr>
      <w:r w:rsidRPr="00025567">
        <w:rPr>
          <w:b/>
        </w:rPr>
        <w:t>Note:</w:t>
      </w:r>
      <w:r w:rsidRPr="00025567">
        <w:t xml:space="preserve">  To meet the Leapfrog ICU requirement for intensivist presence in the ICU via telemonitoring, a hospital must affirm that its telemonitoring intensivist presence fulfills all 10 key features found in endnote #</w:t>
      </w:r>
      <w:r>
        <w:t>33</w:t>
      </w:r>
      <w:r w:rsidRPr="00025567">
        <w:t xml:space="preserve">, including daily care planning by an </w:t>
      </w:r>
      <w:r w:rsidRPr="00025567">
        <w:rPr>
          <w:u w:val="single"/>
        </w:rPr>
        <w:t>on-site</w:t>
      </w:r>
      <w:r w:rsidRPr="00025567">
        <w:t xml:space="preserve"> intensivist. </w:t>
      </w:r>
      <w:r w:rsidRPr="00025567">
        <w:br/>
      </w:r>
    </w:p>
    <w:p w14:paraId="53027C07" w14:textId="77777777" w:rsidR="00C31AC3" w:rsidRDefault="00C31AC3">
      <w:pPr>
        <w:pStyle w:val="EndnoteText"/>
      </w:pPr>
      <w:r w:rsidRPr="00025567">
        <w:t>The standard allows for n</w:t>
      </w:r>
      <w:r>
        <w:t xml:space="preserve">ormally expected intensivist activities outside of the ICU related to their responsibilities in the ICU (e.g. evaluating patients proposed for ICU admission), as long as intensivists are ordinarily present in the ICU and return immediately when paged. An intensivist present in one ICU immediately adjacent to another can be considered present in both units as long as s/he can respond to demands in both units as if s/he would if both units were one larger unit. For the purposes of this survey, ‘adjacent’ units are those units that can be reached within 5 minutes. While tele-intensivists can be used to meet the presence requirement, some on-site intensivist presence is still necessary to meet the Leapfrog specifications. </w:t>
      </w:r>
      <w:r>
        <w:br/>
      </w:r>
    </w:p>
    <w:p w14:paraId="215D0B69" w14:textId="77777777" w:rsidR="00C31AC3" w:rsidRDefault="00C31AC3">
      <w:pPr>
        <w:pStyle w:val="EndnoteText"/>
      </w:pPr>
      <w:r>
        <w:rPr>
          <w:b/>
        </w:rPr>
        <w:t>“Exclusively”</w:t>
      </w:r>
      <w:r>
        <w:t xml:space="preserve"> means that when the physician is in the ICU, s/he has no concurrent clinical responsibilities to non-ICU patients.</w:t>
      </w:r>
    </w:p>
    <w:p w14:paraId="47BD5D4D" w14:textId="77777777" w:rsidR="00C31AC3" w:rsidRDefault="00C31AC3">
      <w:pPr>
        <w:pStyle w:val="EndnoteText"/>
      </w:pPr>
    </w:p>
  </w:endnote>
  <w:endnote w:id="32">
    <w:p w14:paraId="46B12B3D" w14:textId="77777777" w:rsidR="00C31AC3" w:rsidRPr="00025567" w:rsidRDefault="00C31AC3">
      <w:pPr>
        <w:pStyle w:val="EndnoteText"/>
      </w:pPr>
      <w:r w:rsidRPr="00025567">
        <w:rPr>
          <w:rStyle w:val="EndnoteReference"/>
        </w:rPr>
        <w:endnoteRef/>
      </w:r>
      <w:r w:rsidRPr="00025567">
        <w:t xml:space="preserve"> </w:t>
      </w:r>
      <w:bookmarkStart w:id="223" w:name="Endnote31"/>
      <w:r w:rsidRPr="00025567">
        <w:rPr>
          <w:b/>
          <w:i/>
        </w:rPr>
        <w:t xml:space="preserve">Quantified Analysis </w:t>
      </w:r>
      <w:r w:rsidRPr="00A92D49">
        <w:rPr>
          <w:b/>
          <w:i/>
        </w:rPr>
        <w:t>of Call/Pager</w:t>
      </w:r>
      <w:r w:rsidRPr="00025567">
        <w:rPr>
          <w:b/>
          <w:i/>
        </w:rPr>
        <w:t xml:space="preserve"> Response Times</w:t>
      </w:r>
      <w:bookmarkEnd w:id="223"/>
    </w:p>
    <w:p w14:paraId="15D49BF4" w14:textId="77777777" w:rsidR="00C31AC3" w:rsidRPr="00025567" w:rsidRDefault="00C31AC3">
      <w:pPr>
        <w:pStyle w:val="EndnoteText"/>
      </w:pPr>
      <w:r w:rsidRPr="00025567">
        <w:t>Providers can monitor call/pager response times in multiple ways, as long as the data collection process is non-biased and scientific.</w:t>
      </w:r>
    </w:p>
    <w:p w14:paraId="186F9C7C" w14:textId="77777777" w:rsidR="00C31AC3" w:rsidRPr="00025567" w:rsidRDefault="00C31AC3">
      <w:pPr>
        <w:pStyle w:val="EndnoteText"/>
      </w:pPr>
    </w:p>
    <w:p w14:paraId="0CD30768" w14:textId="77777777" w:rsidR="00C31AC3" w:rsidRPr="00025567" w:rsidRDefault="00C31AC3">
      <w:pPr>
        <w:pStyle w:val="EndnoteText"/>
      </w:pPr>
      <w:r w:rsidRPr="00025567">
        <w:t>As an example . . .</w:t>
      </w:r>
    </w:p>
    <w:p w14:paraId="16CFE9C4" w14:textId="77777777" w:rsidR="00C31AC3" w:rsidRPr="00025567" w:rsidRDefault="00C31AC3">
      <w:pPr>
        <w:pStyle w:val="EndnoteText"/>
      </w:pPr>
      <w:r w:rsidRPr="00025567">
        <w:t>Providers could maintain an exception log in the ICU(s) on six randomly sampled days per year. On those days, ICU nurses could record:</w:t>
      </w:r>
    </w:p>
    <w:p w14:paraId="4147B488" w14:textId="77777777" w:rsidR="00C31AC3" w:rsidRPr="00025567" w:rsidRDefault="00C31AC3" w:rsidP="00ED58C1">
      <w:pPr>
        <w:pStyle w:val="EndnoteText"/>
        <w:numPr>
          <w:ilvl w:val="0"/>
          <w:numId w:val="116"/>
        </w:numPr>
      </w:pPr>
      <w:r w:rsidRPr="00025567">
        <w:t>the number of urgent calls/pages made to intensivists when they are not present in the unit (whether on-site or via telemedicine);</w:t>
      </w:r>
    </w:p>
    <w:p w14:paraId="76E5A550" w14:textId="77777777" w:rsidR="00C31AC3" w:rsidRPr="00025567" w:rsidRDefault="00C31AC3" w:rsidP="00ED58C1">
      <w:pPr>
        <w:pStyle w:val="EndnoteText"/>
        <w:numPr>
          <w:ilvl w:val="0"/>
          <w:numId w:val="116"/>
        </w:numPr>
      </w:pPr>
      <w:r w:rsidRPr="00025567">
        <w:t>the number of urgent calls/pages made to other physicians or FCCS-certified effectors when no physician or FCCS-certified effector is physically present in the unit; and</w:t>
      </w:r>
    </w:p>
    <w:p w14:paraId="6303DB15" w14:textId="77777777" w:rsidR="00C31AC3" w:rsidRPr="00025567" w:rsidRDefault="00C31AC3" w:rsidP="00ED58C1">
      <w:pPr>
        <w:pStyle w:val="EndnoteText"/>
        <w:numPr>
          <w:ilvl w:val="0"/>
          <w:numId w:val="116"/>
        </w:numPr>
      </w:pPr>
      <w:r w:rsidRPr="00025567">
        <w:t>the number of times that responses exceed 5 minutes for those respective calls/pages.</w:t>
      </w:r>
    </w:p>
    <w:p w14:paraId="25F8998F" w14:textId="77777777" w:rsidR="00C31AC3" w:rsidRDefault="00C31AC3">
      <w:pPr>
        <w:pStyle w:val="EndnoteText"/>
      </w:pPr>
      <w:r w:rsidRPr="00025567">
        <w:t>Hospitals can then cost-effectively estimate whether they meet the 95% timely response standards by dividing the average number of log exceptions per day by the average number of calls/pages per day</w:t>
      </w:r>
      <w:r>
        <w:t>.</w:t>
      </w:r>
    </w:p>
    <w:p w14:paraId="4D27D020" w14:textId="77777777" w:rsidR="00C31AC3" w:rsidRDefault="00C31AC3">
      <w:pPr>
        <w:pStyle w:val="EndnoteText"/>
      </w:pPr>
    </w:p>
    <w:p w14:paraId="0B6838EA" w14:textId="77777777" w:rsidR="00C31AC3" w:rsidRDefault="00C31AC3">
      <w:pPr>
        <w:pStyle w:val="EndnoteText"/>
      </w:pPr>
      <w:r>
        <w:t>If a unit has 24/7 intensivist coverage, than an analysis of response times is not required.</w:t>
      </w:r>
    </w:p>
  </w:endnote>
  <w:endnote w:id="33">
    <w:p w14:paraId="418F6947" w14:textId="77777777" w:rsidR="00C31AC3" w:rsidRDefault="00C31AC3">
      <w:pPr>
        <w:pStyle w:val="BodyText2"/>
      </w:pPr>
    </w:p>
    <w:p w14:paraId="35C6A841" w14:textId="77777777" w:rsidR="00C31AC3" w:rsidRDefault="00C31AC3">
      <w:pPr>
        <w:pStyle w:val="BodyText2"/>
        <w:rPr>
          <w:b/>
        </w:rPr>
      </w:pPr>
      <w:r>
        <w:rPr>
          <w:rStyle w:val="EndnoteReference"/>
        </w:rPr>
        <w:endnoteRef/>
      </w:r>
      <w:r>
        <w:t xml:space="preserve"> </w:t>
      </w:r>
      <w:bookmarkStart w:id="224" w:name="Endnote32"/>
      <w:r>
        <w:rPr>
          <w:b/>
        </w:rPr>
        <w:t>FCCS-Certified Nurse “Effector”</w:t>
      </w:r>
      <w:bookmarkEnd w:id="224"/>
    </w:p>
    <w:p w14:paraId="213188D3" w14:textId="77777777" w:rsidR="00C31AC3" w:rsidRDefault="00C31AC3">
      <w:pPr>
        <w:pStyle w:val="EndnoteText"/>
      </w:pPr>
      <w:r>
        <w:t xml:space="preserve">FCCS certificates are awarded to nurses and doctors upon their successful completion of a brief course developed by the Society for Critical Care Medicine to improve/confirm critical care knowledge and skills. For more information visit </w:t>
      </w:r>
      <w:hyperlink r:id="rId2" w:history="1">
        <w:r>
          <w:rPr>
            <w:rStyle w:val="Hyperlink"/>
          </w:rPr>
          <w:t>http://www.sccm.org/SCCM/FCCS+and+Training+Courses/</w:t>
        </w:r>
      </w:hyperlink>
      <w:r>
        <w:t>. At present, this is the only such course recommended by The Leapfrog Group’s expert advisory panel. Intensivists and any other physicians who are certified in critical care medicine (or eligible based on residency training or fellowship) need not also be FCCS certified. Physician assistants and nurse practitioners also are not required to be FCCS certified.</w:t>
      </w:r>
    </w:p>
    <w:p w14:paraId="2CFE77F9" w14:textId="77777777" w:rsidR="00C31AC3" w:rsidRDefault="00C31AC3">
      <w:pPr>
        <w:pStyle w:val="EndnoteText"/>
      </w:pPr>
    </w:p>
  </w:endnote>
  <w:endnote w:id="34">
    <w:p w14:paraId="394D5BA2" w14:textId="77777777" w:rsidR="00C31AC3" w:rsidRDefault="00C31AC3" w:rsidP="002442B8">
      <w:pPr>
        <w:pStyle w:val="EndnoteText"/>
        <w:rPr>
          <w:b/>
          <w:i/>
        </w:rPr>
      </w:pPr>
      <w:r>
        <w:rPr>
          <w:rStyle w:val="EndnoteReference"/>
        </w:rPr>
        <w:endnoteRef/>
      </w:r>
      <w:r>
        <w:t xml:space="preserve"> </w:t>
      </w:r>
      <w:bookmarkStart w:id="226" w:name="Endnote33"/>
      <w:r>
        <w:rPr>
          <w:b/>
          <w:i/>
        </w:rPr>
        <w:t>Intensivist Presence via Telemedicine</w:t>
      </w:r>
      <w:bookmarkEnd w:id="226"/>
    </w:p>
    <w:p w14:paraId="67C116F6" w14:textId="77777777" w:rsidR="00C31AC3" w:rsidRDefault="00C31AC3" w:rsidP="002442B8">
      <w:pPr>
        <w:pStyle w:val="EndnoteText"/>
      </w:pPr>
      <w:r>
        <w:t xml:space="preserve">To meet the Leapfrog ICU requirement for intensivist presence in the ICU via telemonitoring, a hospital must affirm that its telemonitoring intensivist presence fulfills all of the following 10 key features based on a modification of the approach reported in Critical Care Medicine (Rosenfeld, B. et al. “Intensive care unit telemedicine:  Alternate paradigm for providing continuous intensivist care,” </w:t>
      </w:r>
      <w:r>
        <w:rPr>
          <w:i/>
        </w:rPr>
        <w:t>Critical Care Medicine</w:t>
      </w:r>
      <w:r>
        <w:t>, Vol. 28, No. 1, pp. 3925-3931.) Note that, as with other Leapfrog specifications, these features must be met under ordinary circumstances.</w:t>
      </w:r>
    </w:p>
    <w:p w14:paraId="759AD5A6" w14:textId="77777777" w:rsidR="00C31AC3" w:rsidRDefault="00C31AC3" w:rsidP="002442B8">
      <w:pPr>
        <w:pStyle w:val="EndnoteText"/>
      </w:pPr>
    </w:p>
    <w:p w14:paraId="50032BED" w14:textId="77777777" w:rsidR="00C31AC3" w:rsidRDefault="00C31AC3" w:rsidP="00ED58C1">
      <w:pPr>
        <w:pStyle w:val="EndnoteText"/>
        <w:numPr>
          <w:ilvl w:val="0"/>
          <w:numId w:val="6"/>
        </w:numPr>
      </w:pPr>
      <w:r>
        <w:t>A physician certified in critical care medicine (see endnote 29) who is physically present in the ICU (“on-site intensivist) performs a comprehensive review of each ICU patient each day and establishes and/or revises the care plan. The tele-intensivist, who must all be a physician certified in critical care medicine (see endnote 29) has immediate access to information regarding the on-site intensivist’s care plan at the time monitoring responsibility is transferred to him or her by the on-site intensivist. When care is transferred back to the on-site intensivist, the tele-intensivist communicates (rounds) with the on-site intensivist to review the patient’s progress and set direction.</w:t>
      </w:r>
    </w:p>
    <w:p w14:paraId="24B90F39" w14:textId="77777777" w:rsidR="00C31AC3" w:rsidRDefault="00C31AC3" w:rsidP="002442B8">
      <w:pPr>
        <w:pStyle w:val="EndnoteText"/>
      </w:pPr>
    </w:p>
    <w:p w14:paraId="6A89B54D" w14:textId="77777777" w:rsidR="00C31AC3" w:rsidRDefault="00C31AC3" w:rsidP="00ED58C1">
      <w:pPr>
        <w:pStyle w:val="EndnoteText"/>
        <w:numPr>
          <w:ilvl w:val="0"/>
          <w:numId w:val="6"/>
        </w:numPr>
      </w:pPr>
      <w:r>
        <w:t xml:space="preserve">When an intensivist is not on-site in the ICU managing or co-managing all ICU patients, a tele-intensivist is monitoring and able to manage all ICU patients for the remaining 24 hours per day, </w:t>
      </w:r>
      <w:r>
        <w:br/>
        <w:t>7 days per week. “Monitoring” means the tele-intensivist has no other concurrent responsibilities, is immediately available to communicate with ICU staff, and is in the physical presence of the tele-ICU’s patient monitoring and communications equipment. "Manage" means authorized to diagnose, treat, and write orders for a patient in the ICU on his/her own authority.</w:t>
      </w:r>
      <w:r>
        <w:br/>
      </w:r>
    </w:p>
    <w:p w14:paraId="3FFD42A2" w14:textId="77777777" w:rsidR="00C31AC3" w:rsidRDefault="00C31AC3" w:rsidP="00ED58C1">
      <w:pPr>
        <w:pStyle w:val="EndnoteText"/>
        <w:numPr>
          <w:ilvl w:val="0"/>
          <w:numId w:val="6"/>
        </w:numPr>
      </w:pPr>
      <w:r>
        <w:t>A tele-intensivist has immediate access to key patient data, including:</w:t>
      </w:r>
    </w:p>
    <w:p w14:paraId="71F21DC3" w14:textId="77777777" w:rsidR="00C31AC3" w:rsidRDefault="00C31AC3" w:rsidP="00ED58C1">
      <w:pPr>
        <w:pStyle w:val="EndnoteText"/>
        <w:numPr>
          <w:ilvl w:val="1"/>
          <w:numId w:val="6"/>
        </w:numPr>
      </w:pPr>
      <w:r>
        <w:t>physiologic bedside monitor data (in real-time);</w:t>
      </w:r>
    </w:p>
    <w:p w14:paraId="706CA4AB" w14:textId="77777777" w:rsidR="00C31AC3" w:rsidRDefault="00C31AC3" w:rsidP="00ED58C1">
      <w:pPr>
        <w:pStyle w:val="EndnoteText"/>
        <w:numPr>
          <w:ilvl w:val="1"/>
          <w:numId w:val="6"/>
        </w:numPr>
      </w:pPr>
      <w:r>
        <w:t>laboratory orders and results;</w:t>
      </w:r>
    </w:p>
    <w:p w14:paraId="12F62471" w14:textId="77777777" w:rsidR="00C31AC3" w:rsidRDefault="00C31AC3" w:rsidP="00ED58C1">
      <w:pPr>
        <w:pStyle w:val="EndnoteText"/>
        <w:numPr>
          <w:ilvl w:val="1"/>
          <w:numId w:val="6"/>
        </w:numPr>
      </w:pPr>
      <w:r>
        <w:t>medications ordered and administered; and,</w:t>
      </w:r>
    </w:p>
    <w:p w14:paraId="07E0C152" w14:textId="77777777" w:rsidR="00C31AC3" w:rsidRDefault="00C31AC3" w:rsidP="00ED58C1">
      <w:pPr>
        <w:pStyle w:val="EndnoteText"/>
        <w:numPr>
          <w:ilvl w:val="1"/>
          <w:numId w:val="6"/>
        </w:numPr>
        <w:rPr>
          <w:lang w:val="fr-FR"/>
        </w:rPr>
      </w:pPr>
      <w:r>
        <w:rPr>
          <w:lang w:val="fr-FR"/>
        </w:rPr>
        <w:t>notes, radiographs, ECGs, etc. on demand.</w:t>
      </w:r>
      <w:r>
        <w:rPr>
          <w:lang w:val="fr-FR"/>
        </w:rPr>
        <w:br/>
      </w:r>
    </w:p>
    <w:p w14:paraId="54651817" w14:textId="77777777" w:rsidR="00C31AC3" w:rsidRDefault="00C31AC3" w:rsidP="00ED58C1">
      <w:pPr>
        <w:pStyle w:val="EndnoteText"/>
        <w:numPr>
          <w:ilvl w:val="0"/>
          <w:numId w:val="6"/>
        </w:numPr>
      </w:pPr>
      <w:r>
        <w:t>Data links between the ICU and the tele-intensivist are reliable (&gt;98% up-time) and secure (HIPAA compliant).</w:t>
      </w:r>
      <w:r>
        <w:br/>
      </w:r>
    </w:p>
    <w:p w14:paraId="455A1820" w14:textId="77777777" w:rsidR="00C31AC3" w:rsidRDefault="00C31AC3" w:rsidP="00ED58C1">
      <w:pPr>
        <w:pStyle w:val="EndnoteText"/>
        <w:numPr>
          <w:ilvl w:val="0"/>
          <w:numId w:val="6"/>
        </w:numPr>
      </w:pPr>
      <w:r>
        <w:t>Via A-V support, tele-intensivists are able to visualize patients with sufficient clarity to assess breathing pattern, and communicate with on-site personnel at the bedside in real time.</w:t>
      </w:r>
      <w:r>
        <w:br/>
      </w:r>
    </w:p>
    <w:p w14:paraId="2C5C6170" w14:textId="77777777" w:rsidR="00C31AC3" w:rsidRDefault="00C31AC3" w:rsidP="00ED58C1">
      <w:pPr>
        <w:pStyle w:val="EndnoteText"/>
        <w:numPr>
          <w:ilvl w:val="0"/>
          <w:numId w:val="6"/>
        </w:numPr>
      </w:pPr>
      <w:r>
        <w:t>Written standards for remote care are established and include, at a minimum:</w:t>
      </w:r>
    </w:p>
    <w:p w14:paraId="6F12C90C" w14:textId="77777777" w:rsidR="00C31AC3" w:rsidRDefault="00C31AC3" w:rsidP="00ED58C1">
      <w:pPr>
        <w:pStyle w:val="EndnoteText"/>
        <w:numPr>
          <w:ilvl w:val="1"/>
          <w:numId w:val="6"/>
        </w:numPr>
      </w:pPr>
      <w:r>
        <w:t>tele-intensivists are certified by a national medical specialty board in critical care medicine;</w:t>
      </w:r>
    </w:p>
    <w:p w14:paraId="3EB7B683" w14:textId="77777777" w:rsidR="00C31AC3" w:rsidRDefault="00C31AC3" w:rsidP="00ED58C1">
      <w:pPr>
        <w:pStyle w:val="EndnoteText"/>
        <w:numPr>
          <w:ilvl w:val="1"/>
          <w:numId w:val="6"/>
        </w:numPr>
      </w:pPr>
      <w:r>
        <w:t>tele-intensivists are licensed to practice in the legal jurisdiction in which the ICU is located;</w:t>
      </w:r>
    </w:p>
    <w:p w14:paraId="28E1A1D3" w14:textId="77777777" w:rsidR="00C31AC3" w:rsidRDefault="00C31AC3" w:rsidP="00ED58C1">
      <w:pPr>
        <w:pStyle w:val="EndnoteText"/>
        <w:numPr>
          <w:ilvl w:val="1"/>
          <w:numId w:val="6"/>
        </w:numPr>
      </w:pPr>
      <w:r>
        <w:t>tele-intensivists are credentialed in each hospital to which he/she provides remote care (can be special telemedicine credentialing);</w:t>
      </w:r>
    </w:p>
    <w:p w14:paraId="7309D425" w14:textId="77777777" w:rsidR="00C31AC3" w:rsidRDefault="00C31AC3" w:rsidP="00ED58C1">
      <w:pPr>
        <w:pStyle w:val="EndnoteText"/>
        <w:numPr>
          <w:ilvl w:val="1"/>
          <w:numId w:val="6"/>
        </w:numPr>
      </w:pPr>
      <w:r>
        <w:t>activities of the tele-intensivist are reviewed within the hospital’s quality assurance committee structure;</w:t>
      </w:r>
    </w:p>
    <w:p w14:paraId="5B1C8DFE" w14:textId="77777777" w:rsidR="00C31AC3" w:rsidRDefault="00C31AC3" w:rsidP="00ED58C1">
      <w:pPr>
        <w:pStyle w:val="EndnoteText"/>
        <w:numPr>
          <w:ilvl w:val="1"/>
          <w:numId w:val="6"/>
        </w:numPr>
      </w:pPr>
      <w:r>
        <w:t>there are explicit policies regarding roles and responsibilities of both the on-site intensivist and the tele-intensivist; and,</w:t>
      </w:r>
    </w:p>
    <w:p w14:paraId="71804188" w14:textId="77777777" w:rsidR="00C31AC3" w:rsidRDefault="00C31AC3" w:rsidP="00ED58C1">
      <w:pPr>
        <w:pStyle w:val="EndnoteText"/>
        <w:numPr>
          <w:ilvl w:val="1"/>
          <w:numId w:val="6"/>
        </w:numPr>
      </w:pPr>
      <w:r>
        <w:t>there is a process for educating staff regarding the function, roles, and responsibilities of the tele-intensivist.</w:t>
      </w:r>
      <w:r>
        <w:br/>
      </w:r>
    </w:p>
    <w:p w14:paraId="605EECB3" w14:textId="77777777" w:rsidR="00C31AC3" w:rsidRDefault="00C31AC3" w:rsidP="00ED58C1">
      <w:pPr>
        <w:pStyle w:val="EndnoteText"/>
        <w:numPr>
          <w:ilvl w:val="0"/>
          <w:numId w:val="6"/>
        </w:numPr>
      </w:pPr>
      <w:r>
        <w:t>Tele-ICU care is proactive, with routine review of all patients at a frequency appropriate to their severity of illness.</w:t>
      </w:r>
      <w:r>
        <w:br/>
      </w:r>
    </w:p>
    <w:p w14:paraId="34AB7741" w14:textId="77777777" w:rsidR="00C31AC3" w:rsidRDefault="00C31AC3" w:rsidP="00ED58C1">
      <w:pPr>
        <w:pStyle w:val="EndnoteText"/>
        <w:numPr>
          <w:ilvl w:val="0"/>
          <w:numId w:val="6"/>
        </w:numPr>
      </w:pPr>
      <w:r>
        <w:t>A tele-intensivist’s patient workload ordinarily permits him or her to complete a comprehensive assessment of any patient within five minutes of the request for assistance being initiated by hospital staff.</w:t>
      </w:r>
      <w:r>
        <w:br/>
      </w:r>
    </w:p>
    <w:p w14:paraId="310AC57E" w14:textId="77777777" w:rsidR="00C31AC3" w:rsidRDefault="00C31AC3" w:rsidP="00ED58C1">
      <w:pPr>
        <w:pStyle w:val="EndnoteText"/>
        <w:numPr>
          <w:ilvl w:val="0"/>
          <w:numId w:val="6"/>
        </w:numPr>
      </w:pPr>
      <w:r>
        <w:t>There is an established written process to ensure effective communication between the on-site care team and the tele-intensivist.</w:t>
      </w:r>
      <w:r>
        <w:br/>
      </w:r>
    </w:p>
    <w:p w14:paraId="05473431" w14:textId="77777777" w:rsidR="00C31AC3" w:rsidRDefault="00C31AC3" w:rsidP="00ED58C1">
      <w:pPr>
        <w:pStyle w:val="EndnoteText"/>
        <w:numPr>
          <w:ilvl w:val="0"/>
          <w:numId w:val="6"/>
        </w:numPr>
      </w:pPr>
      <w:r>
        <w:t>The tele-intensivist documents patient care activities and this documentation is incorporated into the patient record.</w:t>
      </w:r>
    </w:p>
    <w:p w14:paraId="17A9DEDF" w14:textId="74E4448C" w:rsidR="00C31AC3" w:rsidRDefault="00C31AC3" w:rsidP="002442B8">
      <w:pPr>
        <w:pStyle w:val="EndnoteText"/>
      </w:pPr>
    </w:p>
  </w:endnote>
  <w:endnote w:id="35">
    <w:p w14:paraId="6AD7C4C9" w14:textId="77777777" w:rsidR="00C31AC3" w:rsidRDefault="00C31AC3">
      <w:pPr>
        <w:pStyle w:val="EndnoteText"/>
        <w:rPr>
          <w:b/>
          <w:i/>
        </w:rPr>
      </w:pPr>
      <w:r>
        <w:rPr>
          <w:rStyle w:val="EndnoteReference"/>
        </w:rPr>
        <w:endnoteRef/>
      </w:r>
      <w:r>
        <w:t xml:space="preserve"> </w:t>
      </w:r>
      <w:bookmarkStart w:id="227" w:name="Endnote34"/>
      <w:r>
        <w:rPr>
          <w:b/>
          <w:i/>
        </w:rPr>
        <w:t>Modified Intensivist Presence via Telemedicine</w:t>
      </w:r>
    </w:p>
    <w:bookmarkEnd w:id="227"/>
    <w:p w14:paraId="72A54090" w14:textId="77777777" w:rsidR="00C31AC3" w:rsidRDefault="00C31AC3">
      <w:pPr>
        <w:pStyle w:val="EndnoteText"/>
      </w:pPr>
      <w:r>
        <w:t xml:space="preserve">To earn reduced credit on the Leapfrog ICU standard for intensivist presence in the ICU via telemonitoring, a hospital must affirm that its telemonitoring intensivist presence fulfills the following nine key features based on a modification of the approach reported in Critical Care Medicine (Rosenfeld, B. et al. “Intensive care unit telemedicine:  Alternate paradigm for providing continuous intensivist care,” </w:t>
      </w:r>
      <w:r>
        <w:rPr>
          <w:i/>
        </w:rPr>
        <w:t>Critical Care Medicine</w:t>
      </w:r>
      <w:r>
        <w:t>, Vol. 28, No. 1, pp. 3925-3931.) Note that, as with other Leapfrog specifications, these features must be met under ordinary circumstances.</w:t>
      </w:r>
    </w:p>
    <w:p w14:paraId="48AAC3BB" w14:textId="77777777" w:rsidR="00C31AC3" w:rsidRDefault="00C31AC3">
      <w:pPr>
        <w:pStyle w:val="EndnoteText"/>
      </w:pPr>
    </w:p>
    <w:p w14:paraId="5A23BAAB" w14:textId="77777777" w:rsidR="00C31AC3" w:rsidRDefault="00C31AC3" w:rsidP="00ED58C1">
      <w:pPr>
        <w:pStyle w:val="EndnoteText"/>
        <w:numPr>
          <w:ilvl w:val="0"/>
          <w:numId w:val="19"/>
        </w:numPr>
      </w:pPr>
      <w:r>
        <w:t xml:space="preserve">When an intensivist is not on-site in the ICU managing or co-managing all ICU patients, a tele-intensivist is monitoring and able to manage all ICU patients for the remaining 24 hours per day, </w:t>
      </w:r>
      <w:r>
        <w:br/>
        <w:t>7 days per week. “Monitoring” means the tele-intensivist has no other concurrent responsibilities, is immediately available to communicate with ICU staff, and is in the physical presence of the tele-ICU’s patient monitoring and communications equipment. "Manage" means authorized to diagnose, treat, and write orders for a patient in the ICU on his/her own authority.</w:t>
      </w:r>
      <w:r>
        <w:br/>
      </w:r>
    </w:p>
    <w:p w14:paraId="27BD14E1" w14:textId="77777777" w:rsidR="00C31AC3" w:rsidRDefault="00C31AC3" w:rsidP="00ED58C1">
      <w:pPr>
        <w:pStyle w:val="EndnoteText"/>
        <w:numPr>
          <w:ilvl w:val="0"/>
          <w:numId w:val="19"/>
        </w:numPr>
      </w:pPr>
      <w:r>
        <w:t>A tele-intensivist has immediate access to key patient data, including:</w:t>
      </w:r>
    </w:p>
    <w:p w14:paraId="1BD6BEA7" w14:textId="77777777" w:rsidR="00C31AC3" w:rsidRDefault="00C31AC3" w:rsidP="00ED58C1">
      <w:pPr>
        <w:pStyle w:val="EndnoteText"/>
        <w:numPr>
          <w:ilvl w:val="1"/>
          <w:numId w:val="19"/>
        </w:numPr>
      </w:pPr>
      <w:r>
        <w:t>physiologic bedside monitor data (in real-time);</w:t>
      </w:r>
    </w:p>
    <w:p w14:paraId="185CC804" w14:textId="77777777" w:rsidR="00C31AC3" w:rsidRDefault="00C31AC3" w:rsidP="00ED58C1">
      <w:pPr>
        <w:pStyle w:val="EndnoteText"/>
        <w:numPr>
          <w:ilvl w:val="1"/>
          <w:numId w:val="19"/>
        </w:numPr>
      </w:pPr>
      <w:r>
        <w:t>laboratory orders and results;</w:t>
      </w:r>
    </w:p>
    <w:p w14:paraId="3A71EF89" w14:textId="77777777" w:rsidR="00C31AC3" w:rsidRDefault="00C31AC3" w:rsidP="00ED58C1">
      <w:pPr>
        <w:pStyle w:val="EndnoteText"/>
        <w:numPr>
          <w:ilvl w:val="1"/>
          <w:numId w:val="19"/>
        </w:numPr>
      </w:pPr>
      <w:r>
        <w:t>medications ordered and administered; and,</w:t>
      </w:r>
    </w:p>
    <w:p w14:paraId="3FFF2972" w14:textId="77777777" w:rsidR="00C31AC3" w:rsidRDefault="00C31AC3" w:rsidP="00ED58C1">
      <w:pPr>
        <w:pStyle w:val="EndnoteText"/>
        <w:numPr>
          <w:ilvl w:val="1"/>
          <w:numId w:val="19"/>
        </w:numPr>
        <w:rPr>
          <w:lang w:val="fr-FR"/>
        </w:rPr>
      </w:pPr>
      <w:r>
        <w:rPr>
          <w:lang w:val="fr-FR"/>
        </w:rPr>
        <w:t>notes, radiographs, ECGs, etc. on</w:t>
      </w:r>
      <w:r w:rsidRPr="009F3288">
        <w:rPr>
          <w:lang w:val="fr-FR"/>
        </w:rPr>
        <w:t xml:space="preserve"> demand</w:t>
      </w:r>
      <w:r>
        <w:rPr>
          <w:lang w:val="fr-FR"/>
        </w:rPr>
        <w:t>.</w:t>
      </w:r>
      <w:r>
        <w:rPr>
          <w:lang w:val="fr-FR"/>
        </w:rPr>
        <w:br/>
      </w:r>
    </w:p>
    <w:p w14:paraId="3AE5C99D" w14:textId="77777777" w:rsidR="00C31AC3" w:rsidRDefault="00C31AC3" w:rsidP="00ED58C1">
      <w:pPr>
        <w:pStyle w:val="EndnoteText"/>
        <w:numPr>
          <w:ilvl w:val="0"/>
          <w:numId w:val="19"/>
        </w:numPr>
      </w:pPr>
      <w:r>
        <w:t>Data links between the ICU and the tele-intensivist are reliable (&gt;98% up-time) and secure (HIPAA compliant).</w:t>
      </w:r>
      <w:r>
        <w:br/>
      </w:r>
    </w:p>
    <w:p w14:paraId="1C7465A7" w14:textId="77777777" w:rsidR="00C31AC3" w:rsidRDefault="00C31AC3" w:rsidP="00ED58C1">
      <w:pPr>
        <w:pStyle w:val="EndnoteText"/>
        <w:numPr>
          <w:ilvl w:val="0"/>
          <w:numId w:val="19"/>
        </w:numPr>
      </w:pPr>
      <w:r>
        <w:t>Via A-V support, tele-intensivists are able to visualize patients with sufficient clarity to assess breathing pattern, and communicate with on-site personnel at the bedside in real time.</w:t>
      </w:r>
      <w:r>
        <w:br/>
      </w:r>
    </w:p>
    <w:p w14:paraId="386C7470" w14:textId="77777777" w:rsidR="00C31AC3" w:rsidRDefault="00C31AC3" w:rsidP="00ED58C1">
      <w:pPr>
        <w:pStyle w:val="EndnoteText"/>
        <w:numPr>
          <w:ilvl w:val="0"/>
          <w:numId w:val="19"/>
        </w:numPr>
      </w:pPr>
      <w:r>
        <w:t>Written standards for remote care are established and include, at a minimum:</w:t>
      </w:r>
    </w:p>
    <w:p w14:paraId="33BBAC14" w14:textId="77777777" w:rsidR="00C31AC3" w:rsidRDefault="00C31AC3" w:rsidP="00ED58C1">
      <w:pPr>
        <w:pStyle w:val="EndnoteText"/>
        <w:numPr>
          <w:ilvl w:val="1"/>
          <w:numId w:val="19"/>
        </w:numPr>
      </w:pPr>
      <w:r>
        <w:t>tele-intensivists are certified by a national medical specialty board in critical care medicine;</w:t>
      </w:r>
    </w:p>
    <w:p w14:paraId="41C5485E" w14:textId="77777777" w:rsidR="00C31AC3" w:rsidRDefault="00C31AC3" w:rsidP="00ED58C1">
      <w:pPr>
        <w:pStyle w:val="EndnoteText"/>
        <w:numPr>
          <w:ilvl w:val="1"/>
          <w:numId w:val="19"/>
        </w:numPr>
      </w:pPr>
      <w:r>
        <w:t>tele-intensivists are licensed to practice in the legal jurisdiction in which the ICU is located;</w:t>
      </w:r>
    </w:p>
    <w:p w14:paraId="48761477" w14:textId="77777777" w:rsidR="00C31AC3" w:rsidRDefault="00C31AC3" w:rsidP="00ED58C1">
      <w:pPr>
        <w:pStyle w:val="EndnoteText"/>
        <w:numPr>
          <w:ilvl w:val="1"/>
          <w:numId w:val="19"/>
        </w:numPr>
      </w:pPr>
      <w:r>
        <w:t>tele-intensivists are credentialed in each hospital to which he/she provides remote care (can be special telemedicine credentialing);</w:t>
      </w:r>
    </w:p>
    <w:p w14:paraId="74FBFCA8" w14:textId="77777777" w:rsidR="00C31AC3" w:rsidRDefault="00C31AC3" w:rsidP="00ED58C1">
      <w:pPr>
        <w:pStyle w:val="EndnoteText"/>
        <w:numPr>
          <w:ilvl w:val="1"/>
          <w:numId w:val="19"/>
        </w:numPr>
      </w:pPr>
      <w:r>
        <w:t>activities of the tele-intensivist are reviewed within the hospital’s quality assurance committee structure;</w:t>
      </w:r>
    </w:p>
    <w:p w14:paraId="0218BAA9" w14:textId="77777777" w:rsidR="00C31AC3" w:rsidRDefault="00C31AC3" w:rsidP="00ED58C1">
      <w:pPr>
        <w:pStyle w:val="EndnoteText"/>
        <w:numPr>
          <w:ilvl w:val="1"/>
          <w:numId w:val="19"/>
        </w:numPr>
      </w:pPr>
      <w:r>
        <w:t>there are explicit policies regarding roles and responsibilities of both the on-site intensivist and the tele-intensivist; and,</w:t>
      </w:r>
    </w:p>
    <w:p w14:paraId="09BDA22A" w14:textId="77777777" w:rsidR="00C31AC3" w:rsidRDefault="00C31AC3" w:rsidP="00ED58C1">
      <w:pPr>
        <w:pStyle w:val="EndnoteText"/>
        <w:numPr>
          <w:ilvl w:val="1"/>
          <w:numId w:val="19"/>
        </w:numPr>
      </w:pPr>
      <w:r>
        <w:t>there is a process for educating staff regarding the function, roles, and responsibilities of the tele-intensivist.</w:t>
      </w:r>
      <w:r>
        <w:br/>
      </w:r>
    </w:p>
    <w:p w14:paraId="4B02E4A6" w14:textId="77777777" w:rsidR="00C31AC3" w:rsidRDefault="00C31AC3" w:rsidP="00ED58C1">
      <w:pPr>
        <w:pStyle w:val="EndnoteText"/>
        <w:numPr>
          <w:ilvl w:val="0"/>
          <w:numId w:val="19"/>
        </w:numPr>
      </w:pPr>
      <w:r>
        <w:t>Tele-ICU care is proactive, with routine review of all patients at a frequency appropriate to their severity of illness.</w:t>
      </w:r>
      <w:r>
        <w:br/>
      </w:r>
    </w:p>
    <w:p w14:paraId="490A9866" w14:textId="77777777" w:rsidR="00C31AC3" w:rsidRDefault="00C31AC3" w:rsidP="00ED58C1">
      <w:pPr>
        <w:pStyle w:val="EndnoteText"/>
        <w:numPr>
          <w:ilvl w:val="0"/>
          <w:numId w:val="19"/>
        </w:numPr>
      </w:pPr>
      <w:r>
        <w:t>A tele-intensivist’s patient workload ordinarily permits him or her to complete a comprehensive assessment of any patient within five minutes of the request for assistance being initiated by hospital staff.</w:t>
      </w:r>
      <w:r>
        <w:br/>
      </w:r>
    </w:p>
    <w:p w14:paraId="36856562" w14:textId="77777777" w:rsidR="00C31AC3" w:rsidRDefault="00C31AC3" w:rsidP="00ED58C1">
      <w:pPr>
        <w:pStyle w:val="EndnoteText"/>
        <w:numPr>
          <w:ilvl w:val="0"/>
          <w:numId w:val="19"/>
        </w:numPr>
      </w:pPr>
      <w:r>
        <w:t>There is an established written process to ensure effective communication between the on-site care team and the tele-intensivist.</w:t>
      </w:r>
      <w:r>
        <w:br/>
      </w:r>
    </w:p>
    <w:p w14:paraId="368F42C2" w14:textId="77777777" w:rsidR="00C31AC3" w:rsidRDefault="00C31AC3" w:rsidP="00ED58C1">
      <w:pPr>
        <w:pStyle w:val="EndnoteText"/>
        <w:numPr>
          <w:ilvl w:val="0"/>
          <w:numId w:val="19"/>
        </w:numPr>
      </w:pPr>
      <w:r>
        <w:t>The tele-intensivist documents patient care activities and this documentation is incorporated into the patient record.</w:t>
      </w:r>
    </w:p>
    <w:p w14:paraId="3100E45E" w14:textId="77777777" w:rsidR="00C31AC3" w:rsidRDefault="00C31AC3" w:rsidP="00B17EC2">
      <w:pPr>
        <w:pStyle w:val="EndnoteText"/>
        <w:ind w:left="360"/>
      </w:pPr>
    </w:p>
  </w:endnote>
  <w:endnote w:id="36">
    <w:p w14:paraId="0A45C677" w14:textId="77777777" w:rsidR="00C31AC3" w:rsidRDefault="00C31AC3">
      <w:pPr>
        <w:pStyle w:val="EndnoteText"/>
        <w:rPr>
          <w:rFonts w:cs="Arial"/>
        </w:rPr>
      </w:pPr>
      <w:r>
        <w:rPr>
          <w:rStyle w:val="EndnoteReference"/>
        </w:rPr>
        <w:endnoteRef/>
      </w:r>
      <w:r>
        <w:t xml:space="preserve"> </w:t>
      </w:r>
      <w:bookmarkStart w:id="251" w:name="Endnote35"/>
      <w:r w:rsidRPr="00B17EC2">
        <w:rPr>
          <w:rFonts w:cs="Arial"/>
          <w:b/>
          <w:i/>
        </w:rPr>
        <w:t>Guidelines for a Culture of Safety Survey that Demonstrates Validity, Consistency, and Reliability</w:t>
      </w:r>
      <w:bookmarkEnd w:id="251"/>
    </w:p>
    <w:p w14:paraId="31DB6E51" w14:textId="77777777" w:rsidR="00C31AC3" w:rsidRPr="00B17EC2" w:rsidRDefault="00C31AC3">
      <w:pPr>
        <w:pStyle w:val="EndnoteText"/>
      </w:pPr>
      <w:r>
        <w:rPr>
          <w:rFonts w:cs="Arial"/>
        </w:rPr>
        <w:t xml:space="preserve">Hospitals that do not use a nationally recognized culture of safety tool must ensure that their culture survey meets Leapfrog’s guidelines for what constitutes a valid, consistent, and reliable survey tool. These guidelines were developed in consultation with Leapfrog’s Culture of Safety Expert Panel. The guidelines can be found at </w:t>
      </w:r>
      <w:hyperlink r:id="rId3" w:history="1">
        <w:r w:rsidRPr="000421AE">
          <w:rPr>
            <w:rStyle w:val="Hyperlink"/>
            <w:rFonts w:cs="Arial"/>
          </w:rPr>
          <w:t>http://leapfroggroup.org/survey-materials/survey-and-cpoe-materials</w:t>
        </w:r>
      </w:hyperlink>
      <w:r>
        <w:rPr>
          <w:rFonts w:cs="Arial"/>
        </w:rPr>
        <w:t xml:space="preserve">. </w:t>
      </w:r>
    </w:p>
  </w:endnote>
  <w:endnote w:id="37">
    <w:p w14:paraId="5D050E3B" w14:textId="77777777" w:rsidR="00C31AC3" w:rsidRDefault="00C31AC3">
      <w:pPr>
        <w:pStyle w:val="EndnoteText"/>
      </w:pPr>
    </w:p>
    <w:p w14:paraId="25FFDE6D" w14:textId="77777777" w:rsidR="00C31AC3" w:rsidRDefault="00C31AC3">
      <w:pPr>
        <w:pStyle w:val="EndnoteText"/>
      </w:pPr>
      <w:r>
        <w:rPr>
          <w:rStyle w:val="EndnoteReference"/>
        </w:rPr>
        <w:endnoteRef/>
      </w:r>
      <w:r>
        <w:t xml:space="preserve"> </w:t>
      </w:r>
      <w:bookmarkStart w:id="254" w:name="Endnote36"/>
      <w:r>
        <w:rPr>
          <w:b/>
          <w:i/>
        </w:rPr>
        <w:t>Teamwork Training</w:t>
      </w:r>
      <w:bookmarkEnd w:id="254"/>
      <w:r>
        <w:br/>
        <w:t>Teamwork training subject matter includes: sources of communication failures, hand-offs, and team failures that lead to patient harm. Participation should be documented.</w:t>
      </w:r>
    </w:p>
    <w:p w14:paraId="27FE810D" w14:textId="77777777" w:rsidR="00C31AC3" w:rsidRDefault="00C31AC3">
      <w:pPr>
        <w:pStyle w:val="EndnoteText"/>
      </w:pPr>
    </w:p>
  </w:endnote>
  <w:endnote w:id="38">
    <w:p w14:paraId="69A99E9F" w14:textId="77777777" w:rsidR="00C31AC3" w:rsidRDefault="00C31AC3" w:rsidP="00E03E77">
      <w:pPr>
        <w:pStyle w:val="EndnoteText"/>
      </w:pPr>
      <w:r>
        <w:rPr>
          <w:rStyle w:val="EndnoteReference"/>
        </w:rPr>
        <w:endnoteRef/>
      </w:r>
      <w:r>
        <w:t xml:space="preserve"> </w:t>
      </w:r>
      <w:bookmarkStart w:id="259" w:name="Endnote37"/>
      <w:r>
        <w:rPr>
          <w:b/>
          <w:bCs/>
          <w:i/>
        </w:rPr>
        <w:t>American Nurses Credentialing Center (ANCC) Magnet ® Organizations</w:t>
      </w:r>
      <w:bookmarkEnd w:id="259"/>
    </w:p>
    <w:p w14:paraId="13204DD0" w14:textId="74269D3A" w:rsidR="00C31AC3" w:rsidRDefault="00C31AC3" w:rsidP="00E03E77">
      <w:pPr>
        <w:pStyle w:val="EndnoteText"/>
      </w:pPr>
      <w:r>
        <w:t xml:space="preserve">For a list of hospitals that are currently recognized as </w:t>
      </w:r>
      <w:r>
        <w:rPr>
          <w:rFonts w:cs="Arial"/>
        </w:rPr>
        <w:t>Magnet organizations, please see ANCC’s website at</w:t>
      </w:r>
      <w:r w:rsidRPr="00F015F1">
        <w:rPr>
          <w:rFonts w:cs="Arial"/>
        </w:rPr>
        <w:t>:</w:t>
      </w:r>
      <w:r w:rsidRPr="00F015F1">
        <w:t xml:space="preserve"> </w:t>
      </w:r>
      <w:hyperlink r:id="rId4" w:history="1">
        <w:r w:rsidRPr="00F015F1">
          <w:rPr>
            <w:rStyle w:val="Hyperlink"/>
          </w:rPr>
          <w:t>http://www.nursecredentialing.org/Magnet/FindaMagnetFacility.aspx</w:t>
        </w:r>
      </w:hyperlink>
    </w:p>
  </w:endnote>
  <w:endnote w:id="39">
    <w:p w14:paraId="5955D989" w14:textId="77777777" w:rsidR="00C31AC3" w:rsidRDefault="00C31AC3">
      <w:pPr>
        <w:pStyle w:val="EndnoteText"/>
        <w:rPr>
          <w:b/>
          <w:i/>
        </w:rPr>
      </w:pPr>
      <w:r>
        <w:rPr>
          <w:rStyle w:val="EndnoteReference"/>
          <w:i/>
        </w:rPr>
        <w:endnoteRef/>
      </w:r>
      <w:r>
        <w:rPr>
          <w:i/>
        </w:rPr>
        <w:t xml:space="preserve"> </w:t>
      </w:r>
      <w:bookmarkStart w:id="284" w:name="Endnote38"/>
      <w:r>
        <w:rPr>
          <w:b/>
          <w:i/>
        </w:rPr>
        <w:t>Never Event</w:t>
      </w:r>
      <w:bookmarkEnd w:id="284"/>
    </w:p>
    <w:p w14:paraId="4D8746B8" w14:textId="77777777" w:rsidR="00C31AC3" w:rsidRDefault="00C31AC3">
      <w:pPr>
        <w:pStyle w:val="EndnoteText"/>
      </w:pPr>
      <w:r>
        <w:t xml:space="preserve">In 2011, the National Quality Forum released a list of 29 events that they termed “serious reportable events”, extremely rare medical errors that should never happen to a patient. Often termed “never events”, these include errors such as surgery performed on the wrong body part or on the wrong patient, leaving a foreign object inside a patient after surgery, or discharging an infant to the wrong person. This is an update of NQF’s original 2002 and 2006 reports.  Please see NQF’s “Never Events list at </w:t>
      </w:r>
      <w:hyperlink r:id="rId5" w:history="1">
        <w:r>
          <w:rPr>
            <w:rStyle w:val="Hyperlink"/>
          </w:rPr>
          <w:t>http://www.qualityforum.org/WorkArea/linkit.aspx?LinkIdentifier=id&amp;ItemID=69573</w:t>
        </w:r>
      </w:hyperlink>
      <w:r>
        <w:rPr>
          <w:rStyle w:val="Hyperlink"/>
        </w:rPr>
        <w:t>.</w:t>
      </w:r>
      <w:r w:rsidRPr="00511008">
        <w:rPr>
          <w:rStyle w:val="Hyperlink"/>
          <w:u w:val="none"/>
        </w:rPr>
        <w:t xml:space="preserve"> </w:t>
      </w:r>
      <w:r w:rsidRPr="00511008">
        <w:t>Hospitals may not earn credit for this question if they have only implemented a policy that includes the Center for Medicare and Medicaid (CMS) Never Events.</w:t>
      </w:r>
    </w:p>
    <w:p w14:paraId="6FD687D9" w14:textId="77777777" w:rsidR="00C31AC3" w:rsidRPr="00511008" w:rsidRDefault="00C31AC3">
      <w:pPr>
        <w:pStyle w:val="EndnoteText"/>
        <w:rPr>
          <w:color w:val="0000FF"/>
          <w:u w:val="single"/>
        </w:rPr>
      </w:pPr>
    </w:p>
  </w:endnote>
  <w:endnote w:id="40">
    <w:p w14:paraId="1426883F" w14:textId="77777777" w:rsidR="00C31AC3" w:rsidRDefault="00C31AC3">
      <w:pPr>
        <w:pStyle w:val="EndnoteText"/>
      </w:pPr>
      <w:r>
        <w:rPr>
          <w:rStyle w:val="EndnoteReference"/>
        </w:rPr>
        <w:endnoteRef/>
      </w:r>
      <w:r>
        <w:t xml:space="preserve"> </w:t>
      </w:r>
      <w:bookmarkStart w:id="285" w:name="Endnote39"/>
      <w:r>
        <w:rPr>
          <w:b/>
          <w:i/>
        </w:rPr>
        <w:t>Apology to the Patient</w:t>
      </w:r>
      <w:bookmarkEnd w:id="285"/>
    </w:p>
    <w:p w14:paraId="25458878" w14:textId="77777777" w:rsidR="00C31AC3" w:rsidRDefault="00C31AC3">
      <w:pPr>
        <w:pStyle w:val="EndnoteText"/>
      </w:pPr>
      <w:r>
        <w:t>While Leapfrog recognizes that on very rare occasions 'never events' can occur that are not the fault of care systems or clinical care staff, given the high level of trust patients place in health care providers, Leapfrog feels it is appropriate for caregivers to apologize when a patient within their care setting suffers a serious event.</w:t>
      </w:r>
    </w:p>
    <w:p w14:paraId="7791242E" w14:textId="77777777" w:rsidR="00C31AC3" w:rsidRDefault="00C31AC3">
      <w:pPr>
        <w:pStyle w:val="EndnoteText"/>
      </w:pPr>
    </w:p>
    <w:p w14:paraId="475856F3" w14:textId="086AA958" w:rsidR="00C31AC3" w:rsidRDefault="00C31AC3">
      <w:pPr>
        <w:pStyle w:val="EndnoteText"/>
      </w:pPr>
      <w:r>
        <w:t>As the National Quality Forum identified in their 2002, 2006, and 2011 Serious Reportable Events Report, given the serious nature of these events, it is reasonable for hospitals to initially assume that the adverse event was due to the referenced course of care.  And while further investigation and/or root cause analysis of the unplanned event may be needed to confirm or refute the presumed relationship, delaying an apology to the patient is not treating the patient with compassion and sympathy.</w:t>
      </w:r>
    </w:p>
    <w:p w14:paraId="230C724F" w14:textId="77777777" w:rsidR="00C31AC3" w:rsidRDefault="00C31AC3">
      <w:pPr>
        <w:pStyle w:val="EndnoteText"/>
      </w:pPr>
    </w:p>
  </w:endnote>
  <w:endnote w:id="41">
    <w:p w14:paraId="2F8A05DC" w14:textId="77777777" w:rsidR="00C31AC3" w:rsidRDefault="00C31AC3">
      <w:pPr>
        <w:pStyle w:val="EndnoteText"/>
        <w:rPr>
          <w:rFonts w:cs="Arial"/>
        </w:rPr>
      </w:pPr>
      <w:r>
        <w:rPr>
          <w:rStyle w:val="EndnoteReference"/>
        </w:rPr>
        <w:endnoteRef/>
      </w:r>
      <w:r>
        <w:t xml:space="preserve"> </w:t>
      </w:r>
      <w:bookmarkStart w:id="286" w:name="Endnote40"/>
      <w:r>
        <w:rPr>
          <w:rFonts w:cs="Arial"/>
          <w:b/>
          <w:i/>
        </w:rPr>
        <w:t>Reporting Never Events to External Agencies</w:t>
      </w:r>
      <w:bookmarkEnd w:id="286"/>
      <w:r>
        <w:rPr>
          <w:rFonts w:cs="Arial"/>
        </w:rPr>
        <w:br/>
        <w:t>If your hospital is not a Joint Commission accredited hospital, is located in a state without a state-wide reporting program for medical errors, AND there is no available Patient Safety Organization to which your hospital can report medical errors, the hospital should report the event to the Board of Trustees. Full implementation of the Never Events policy still requires the hospital to conduct a root cause analysis of the event.</w:t>
      </w:r>
    </w:p>
    <w:p w14:paraId="39E71B67" w14:textId="77777777" w:rsidR="00C31AC3" w:rsidRDefault="00C31AC3">
      <w:pPr>
        <w:pStyle w:val="EndnoteText"/>
      </w:pPr>
    </w:p>
  </w:endnote>
  <w:endnote w:id="42">
    <w:p w14:paraId="72131854" w14:textId="77777777" w:rsidR="00C31AC3" w:rsidRDefault="00C31AC3">
      <w:pPr>
        <w:pStyle w:val="EndnoteText"/>
        <w:rPr>
          <w:b/>
        </w:rPr>
      </w:pPr>
      <w:r>
        <w:rPr>
          <w:rStyle w:val="EndnoteReference"/>
        </w:rPr>
        <w:endnoteRef/>
      </w:r>
      <w:r>
        <w:t xml:space="preserve"> </w:t>
      </w:r>
      <w:bookmarkStart w:id="287" w:name="Endnote41"/>
      <w:r w:rsidRPr="003724A2">
        <w:rPr>
          <w:b/>
          <w:i/>
        </w:rPr>
        <w:t>Root Cause Analysis</w:t>
      </w:r>
      <w:bookmarkEnd w:id="287"/>
    </w:p>
    <w:p w14:paraId="61994D84" w14:textId="77777777" w:rsidR="00C31AC3" w:rsidRDefault="00C31AC3">
      <w:pPr>
        <w:pStyle w:val="EndnoteText"/>
      </w:pPr>
      <w:r>
        <w:t>The state of Minnesota has developed an online RCA toolkit designed to be a resource for any hospital that would like to establish or improve their RCA process. The toolkit can be found at:</w:t>
      </w:r>
    </w:p>
    <w:p w14:paraId="513FBCA9" w14:textId="77777777" w:rsidR="00C31AC3" w:rsidRDefault="00E9134C">
      <w:pPr>
        <w:pStyle w:val="EndnoteText"/>
        <w:rPr>
          <w:rStyle w:val="Hyperlink"/>
        </w:rPr>
      </w:pPr>
      <w:hyperlink r:id="rId6" w:history="1">
        <w:r w:rsidR="00C31AC3">
          <w:rPr>
            <w:rStyle w:val="Hyperlink"/>
          </w:rPr>
          <w:t>http://www.health.state.mn.us/patientsafety/toolkit/index.html</w:t>
        </w:r>
      </w:hyperlink>
    </w:p>
    <w:p w14:paraId="3ED4EBD7" w14:textId="77777777" w:rsidR="00C31AC3" w:rsidRDefault="00C31AC3">
      <w:pPr>
        <w:pStyle w:val="EndnoteText"/>
      </w:pPr>
    </w:p>
  </w:endnote>
  <w:endnote w:id="43">
    <w:p w14:paraId="29ECBA2D" w14:textId="0154AD53" w:rsidR="00C31AC3" w:rsidRPr="00C31AC3" w:rsidRDefault="00C31AC3" w:rsidP="00C31AC3">
      <w:pPr>
        <w:pStyle w:val="EndnoteText"/>
        <w:rPr>
          <w:b/>
          <w:i/>
        </w:rPr>
      </w:pPr>
      <w:r>
        <w:rPr>
          <w:rStyle w:val="EndnoteReference"/>
        </w:rPr>
        <w:endnoteRef/>
      </w:r>
      <w:r>
        <w:t xml:space="preserve"> </w:t>
      </w:r>
      <w:bookmarkStart w:id="289" w:name="Endnote42"/>
      <w:r w:rsidRPr="00C31AC3">
        <w:rPr>
          <w:b/>
          <w:i/>
        </w:rPr>
        <w:t xml:space="preserve">Major Teaching Hospital </w:t>
      </w:r>
      <w:bookmarkEnd w:id="289"/>
    </w:p>
    <w:p w14:paraId="79AF29BC" w14:textId="77777777" w:rsidR="00C31AC3" w:rsidRDefault="00C31AC3" w:rsidP="00C31AC3">
      <w:pPr>
        <w:pStyle w:val="EndnoteText"/>
      </w:pPr>
      <w:r w:rsidRPr="00C31AC3">
        <w:rPr>
          <w:rFonts w:cs="Arial"/>
          <w:color w:val="000000"/>
        </w:rPr>
        <w:t xml:space="preserve">A hospital is identified as a major teaching hospital if it achieves a minimum ratio of one resident (i.e. physician in training) per four staffed inpatient beds; or, the hospital has self-designated as a major teaching hospital to the CDC NHSN. </w:t>
      </w:r>
      <w:r w:rsidRPr="00C31AC3">
        <w:rPr>
          <w:rFonts w:cs="Arial"/>
          <w:color w:val="000000"/>
          <w:sz w:val="24"/>
          <w:szCs w:val="24"/>
        </w:rPr>
        <w:t xml:space="preserve"> </w:t>
      </w:r>
    </w:p>
    <w:p w14:paraId="2BDF48AC" w14:textId="3461E075" w:rsidR="00C31AC3" w:rsidRDefault="00C31AC3">
      <w:pPr>
        <w:pStyle w:val="EndnoteText"/>
      </w:pPr>
    </w:p>
  </w:endnote>
  <w:endnote w:id="44">
    <w:p w14:paraId="09687538" w14:textId="77777777" w:rsidR="00C31AC3" w:rsidRDefault="00C31AC3">
      <w:pPr>
        <w:pStyle w:val="EndnoteText"/>
      </w:pPr>
      <w:r>
        <w:rPr>
          <w:rStyle w:val="EndnoteReference"/>
        </w:rPr>
        <w:endnoteRef/>
      </w:r>
      <w:r>
        <w:t xml:space="preserve"> </w:t>
      </w:r>
      <w:bookmarkStart w:id="290" w:name="Endnote43"/>
      <w:r w:rsidRPr="003724A2">
        <w:rPr>
          <w:b/>
          <w:i/>
        </w:rPr>
        <w:t>Human Factors Engineering</w:t>
      </w:r>
      <w:bookmarkEnd w:id="290"/>
    </w:p>
    <w:p w14:paraId="07659E38" w14:textId="77777777" w:rsidR="00C31AC3" w:rsidRDefault="00C31AC3" w:rsidP="007722A1">
      <w:r w:rsidRPr="00A368D6">
        <w:t>Personnel trained in human factors engineering include those persons with formal training in human factors engineering, human factors, ergonomics, or human engineering.  Their training includes a focus on the interaction between the human and the system, including the work environment, tools, and computer systems. A hospital employee with formal training in human factors engineering, human factors, ergonomics, or human engineering, would have a degree (e.g. a BS, MS, etc.) or would have completed 4-5 courses on the topic.  A single course would not be sufficient.</w:t>
      </w:r>
    </w:p>
    <w:p w14:paraId="607378A6" w14:textId="77777777" w:rsidR="00C31AC3" w:rsidRDefault="00C31A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87054"/>
      <w:docPartObj>
        <w:docPartGallery w:val="Page Numbers (Bottom of Page)"/>
        <w:docPartUnique/>
      </w:docPartObj>
    </w:sdtPr>
    <w:sdtEndPr>
      <w:rPr>
        <w:b/>
        <w:noProof/>
        <w:color w:val="17365D" w:themeColor="text2" w:themeShade="BF"/>
      </w:rPr>
    </w:sdtEndPr>
    <w:sdtContent>
      <w:p w14:paraId="18AA6F1F" w14:textId="2F641E4F" w:rsidR="00C31AC3" w:rsidRPr="007655D4" w:rsidRDefault="00C31AC3" w:rsidP="00D04FFF">
        <w:pPr>
          <w:pStyle w:val="Footer"/>
        </w:pPr>
        <w:r w:rsidRPr="00F4794D">
          <w:rPr>
            <w:b/>
            <w:color w:val="17365D" w:themeColor="text2" w:themeShade="BF"/>
          </w:rPr>
          <w:fldChar w:fldCharType="begin"/>
        </w:r>
        <w:r w:rsidRPr="00F4794D">
          <w:rPr>
            <w:b/>
            <w:color w:val="17365D" w:themeColor="text2" w:themeShade="BF"/>
          </w:rPr>
          <w:instrText xml:space="preserve"> PAGE   \* MERGEFORMAT </w:instrText>
        </w:r>
        <w:r w:rsidRPr="00F4794D">
          <w:rPr>
            <w:b/>
            <w:color w:val="17365D" w:themeColor="text2" w:themeShade="BF"/>
          </w:rPr>
          <w:fldChar w:fldCharType="separate"/>
        </w:r>
        <w:r w:rsidR="007A2200">
          <w:rPr>
            <w:b/>
            <w:noProof/>
            <w:color w:val="17365D" w:themeColor="text2" w:themeShade="BF"/>
          </w:rPr>
          <w:t>5</w:t>
        </w:r>
        <w:r w:rsidRPr="00F4794D">
          <w:rPr>
            <w:b/>
            <w:noProof/>
            <w:color w:val="17365D" w:themeColor="text2" w:themeShade="BF"/>
          </w:rPr>
          <w:fldChar w:fldCharType="end"/>
        </w:r>
        <w:r w:rsidRPr="00F4794D">
          <w:rPr>
            <w:b/>
            <w:color w:val="17365D" w:themeColor="text2" w:themeShade="BF"/>
          </w:rPr>
          <w:tab/>
          <w:t xml:space="preserve">Version 6.3                                  </w:t>
        </w:r>
        <w:r w:rsidRPr="00F4794D">
          <w:rPr>
            <w:b/>
            <w:color w:val="17365D" w:themeColor="text2" w:themeShade="BF"/>
          </w:rPr>
          <w:tab/>
          <w:t>First Release: April 1, 2016</w:t>
        </w:r>
      </w:p>
      <w:p w14:paraId="5D75C177" w14:textId="20D93CBF" w:rsidR="00C31AC3" w:rsidRPr="00F4794D" w:rsidRDefault="00C31AC3" w:rsidP="00D04FFF">
        <w:pPr>
          <w:pStyle w:val="Footer"/>
          <w:rPr>
            <w:b/>
            <w:color w:val="17365D" w:themeColor="text2" w:themeShade="BF"/>
          </w:rPr>
        </w:pPr>
        <w:r w:rsidRPr="00F4794D">
          <w:rPr>
            <w:b/>
            <w:color w:val="17365D" w:themeColor="text2" w:themeShade="BF"/>
          </w:rPr>
          <w:tab/>
        </w:r>
        <w:r w:rsidRPr="00F4794D">
          <w:rPr>
            <w:b/>
            <w:color w:val="17365D" w:themeColor="text2" w:themeShade="BF"/>
          </w:rPr>
          <w:tab/>
          <w:t xml:space="preserve">                                </w:t>
        </w:r>
        <w:r w:rsidR="00BB7F28">
          <w:rPr>
            <w:b/>
            <w:color w:val="17365D" w:themeColor="text2" w:themeShade="BF"/>
          </w:rPr>
          <w:t xml:space="preserve">    </w:t>
        </w:r>
        <w:r w:rsidRPr="00F4794D">
          <w:rPr>
            <w:b/>
            <w:color w:val="17365D" w:themeColor="text2" w:themeShade="BF"/>
          </w:rPr>
          <w:t xml:space="preserve">Updated Release: </w:t>
        </w:r>
        <w:r w:rsidR="00C54263">
          <w:rPr>
            <w:b/>
            <w:color w:val="17365D" w:themeColor="text2" w:themeShade="BF"/>
          </w:rPr>
          <w:t>July</w:t>
        </w:r>
        <w:r w:rsidR="008E5DBF">
          <w:rPr>
            <w:b/>
            <w:color w:val="17365D" w:themeColor="text2" w:themeShade="BF"/>
          </w:rPr>
          <w:t xml:space="preserve"> </w:t>
        </w:r>
        <w:r w:rsidR="00C54263">
          <w:rPr>
            <w:b/>
            <w:color w:val="17365D" w:themeColor="text2" w:themeShade="BF"/>
          </w:rPr>
          <w:t>12</w:t>
        </w:r>
        <w:r w:rsidR="008E5DBF">
          <w:rPr>
            <w:b/>
            <w:color w:val="17365D" w:themeColor="text2" w:themeShade="BF"/>
          </w:rPr>
          <w:t>, 2016</w:t>
        </w:r>
      </w:p>
    </w:sdtContent>
  </w:sdt>
  <w:p w14:paraId="098BDDD5" w14:textId="77777777" w:rsidR="00C31AC3" w:rsidRPr="00F4794D" w:rsidRDefault="00E9134C">
    <w:pPr>
      <w:rPr>
        <w:color w:val="17365D" w:themeColor="text2" w:themeShade="BF"/>
        <w:sz w:val="16"/>
        <w:szCs w:val="16"/>
      </w:rPr>
    </w:pPr>
    <w:hyperlink w:anchor="TOC" w:history="1">
      <w:r w:rsidR="00C31AC3" w:rsidRPr="00F4794D">
        <w:rPr>
          <w:rStyle w:val="Hyperlink"/>
          <w:color w:val="17365D" w:themeColor="text2" w:themeShade="BF"/>
          <w:sz w:val="16"/>
          <w:szCs w:val="16"/>
        </w:rPr>
        <w:t>Table of Contents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E05CE" w14:textId="77777777" w:rsidR="00E9134C" w:rsidRDefault="00E9134C">
      <w:r>
        <w:separator/>
      </w:r>
    </w:p>
  </w:footnote>
  <w:footnote w:type="continuationSeparator" w:id="0">
    <w:p w14:paraId="3A0A5B00" w14:textId="77777777" w:rsidR="00E9134C" w:rsidRDefault="00E91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8862" w14:textId="77777777" w:rsidR="00C31AC3" w:rsidRDefault="00C31AC3" w:rsidP="00A828BA">
    <w:pPr>
      <w:pStyle w:val="Header"/>
      <w:tabs>
        <w:tab w:val="clear" w:pos="4320"/>
        <w:tab w:val="clear" w:pos="8640"/>
        <w:tab w:val="left" w:pos="1470"/>
      </w:tabs>
    </w:pPr>
  </w:p>
  <w:p w14:paraId="7A84D590" w14:textId="77777777" w:rsidR="00C31AC3" w:rsidRDefault="00C31AC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34014"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3 – Evidence-Based Hospital Referral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22A6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DB9E"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4 – Maternity Care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AD50"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67AB8" w14:textId="44B4C2DA"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5 – ICU Physician Staffing</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9A368"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232B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6 – NQF Safe Practices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AF801"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B198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7 – Managing Serious Errors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CEFE"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1918"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sidRPr="00B7566B">
      <w:rPr>
        <w:i/>
      </w:rPr>
      <w:t>General Information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22C9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8 – Bar Code Medication Administration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36299"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3555"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BF56D" w14:textId="5979E824"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9 Hospital Readmissions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F9254" w14:textId="77777777" w:rsidR="00C31AC3" w:rsidRPr="00B7566B" w:rsidRDefault="00C31AC3">
    <w:pPr>
      <w:rPr>
        <w:i/>
      </w:rPr>
    </w:pPr>
    <w:r w:rsidRPr="00B7566B">
      <w:rPr>
        <w:i/>
      </w:rPr>
      <w:t>201</w:t>
    </w:r>
    <w:r>
      <w:rPr>
        <w:i/>
      </w:rPr>
      <w:t>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Endnotes &amp; More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89D9" w14:textId="77777777" w:rsidR="00C31AC3" w:rsidRPr="00D640EB" w:rsidRDefault="00C31AC3" w:rsidP="00D640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87A9B" w14:textId="50F4F1AE"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Profile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A849"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9D99" w14:textId="0371E514"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1 – Basic Hospital Information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09E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E491"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2 – Computerized Physician Order Entry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0FB9"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7C8"/>
    <w:multiLevelType w:val="hybridMultilevel"/>
    <w:tmpl w:val="050E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331E5"/>
    <w:multiLevelType w:val="singleLevel"/>
    <w:tmpl w:val="C11CFF6C"/>
    <w:lvl w:ilvl="0">
      <w:start w:val="1"/>
      <w:numFmt w:val="decimal"/>
      <w:lvlText w:val="%1)"/>
      <w:lvlJc w:val="left"/>
      <w:pPr>
        <w:tabs>
          <w:tab w:val="num" w:pos="360"/>
        </w:tabs>
        <w:ind w:left="360" w:hanging="360"/>
      </w:pPr>
      <w:rPr>
        <w:rFonts w:cs="Times New Roman" w:hint="default"/>
      </w:rPr>
    </w:lvl>
  </w:abstractNum>
  <w:abstractNum w:abstractNumId="2">
    <w:nsid w:val="01C347AA"/>
    <w:multiLevelType w:val="hybridMultilevel"/>
    <w:tmpl w:val="087A99E8"/>
    <w:lvl w:ilvl="0" w:tplc="5B960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97E70"/>
    <w:multiLevelType w:val="hybridMultilevel"/>
    <w:tmpl w:val="ABAE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2151DE"/>
    <w:multiLevelType w:val="hybridMultilevel"/>
    <w:tmpl w:val="170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EE19E1"/>
    <w:multiLevelType w:val="singleLevel"/>
    <w:tmpl w:val="DE806530"/>
    <w:lvl w:ilvl="0">
      <w:start w:val="1"/>
      <w:numFmt w:val="decimal"/>
      <w:lvlText w:val="%1."/>
      <w:lvlJc w:val="left"/>
      <w:pPr>
        <w:tabs>
          <w:tab w:val="num" w:pos="720"/>
        </w:tabs>
        <w:ind w:left="720" w:hanging="360"/>
      </w:pPr>
      <w:rPr>
        <w:b/>
      </w:rPr>
    </w:lvl>
  </w:abstractNum>
  <w:abstractNum w:abstractNumId="6">
    <w:nsid w:val="03411530"/>
    <w:multiLevelType w:val="hybridMultilevel"/>
    <w:tmpl w:val="21A29B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CB3DFE"/>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4B96181"/>
    <w:multiLevelType w:val="hybridMultilevel"/>
    <w:tmpl w:val="A298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812310"/>
    <w:multiLevelType w:val="hybridMultilevel"/>
    <w:tmpl w:val="CFF0A5C8"/>
    <w:lvl w:ilvl="0" w:tplc="18D4FC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2E21EE"/>
    <w:multiLevelType w:val="hybridMultilevel"/>
    <w:tmpl w:val="20F84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FF6C2F"/>
    <w:multiLevelType w:val="multilevel"/>
    <w:tmpl w:val="0409001F"/>
    <w:styleLink w:val="111111"/>
    <w:lvl w:ilvl="0">
      <w:start w:val="1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8205429"/>
    <w:multiLevelType w:val="hybridMultilevel"/>
    <w:tmpl w:val="57F81DAA"/>
    <w:lvl w:ilvl="0" w:tplc="52D2D5C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99C671F"/>
    <w:multiLevelType w:val="singleLevel"/>
    <w:tmpl w:val="4DAE7CBE"/>
    <w:lvl w:ilvl="0">
      <w:start w:val="1"/>
      <w:numFmt w:val="decimal"/>
      <w:lvlText w:val="%1."/>
      <w:lvlJc w:val="left"/>
      <w:pPr>
        <w:tabs>
          <w:tab w:val="num" w:pos="720"/>
        </w:tabs>
        <w:ind w:left="720" w:hanging="360"/>
      </w:pPr>
      <w:rPr>
        <w:b/>
      </w:rPr>
    </w:lvl>
  </w:abstractNum>
  <w:abstractNum w:abstractNumId="14">
    <w:nsid w:val="09C75033"/>
    <w:multiLevelType w:val="singleLevel"/>
    <w:tmpl w:val="BE4CDE38"/>
    <w:lvl w:ilvl="0">
      <w:start w:val="1"/>
      <w:numFmt w:val="bullet"/>
      <w:lvlText w:val=""/>
      <w:lvlJc w:val="left"/>
      <w:pPr>
        <w:tabs>
          <w:tab w:val="num" w:pos="360"/>
        </w:tabs>
        <w:ind w:left="360" w:hanging="360"/>
      </w:pPr>
      <w:rPr>
        <w:rFonts w:ascii="Symbol" w:hAnsi="Symbol" w:hint="default"/>
      </w:rPr>
    </w:lvl>
  </w:abstractNum>
  <w:abstractNum w:abstractNumId="15">
    <w:nsid w:val="0A1B5B80"/>
    <w:multiLevelType w:val="hybridMultilevel"/>
    <w:tmpl w:val="F1A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0B61E7"/>
    <w:multiLevelType w:val="singleLevel"/>
    <w:tmpl w:val="E7A2C568"/>
    <w:lvl w:ilvl="0">
      <w:start w:val="1"/>
      <w:numFmt w:val="bullet"/>
      <w:lvlText w:val=""/>
      <w:lvlJc w:val="left"/>
      <w:pPr>
        <w:tabs>
          <w:tab w:val="num" w:pos="360"/>
        </w:tabs>
        <w:ind w:left="360" w:hanging="360"/>
      </w:pPr>
      <w:rPr>
        <w:rFonts w:ascii="Symbol" w:hAnsi="Symbol" w:hint="default"/>
      </w:rPr>
    </w:lvl>
  </w:abstractNum>
  <w:abstractNum w:abstractNumId="17">
    <w:nsid w:val="0E28579E"/>
    <w:multiLevelType w:val="hybridMultilevel"/>
    <w:tmpl w:val="465A6468"/>
    <w:lvl w:ilvl="0" w:tplc="72F0BC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9C08F5"/>
    <w:multiLevelType w:val="hybridMultilevel"/>
    <w:tmpl w:val="A88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FA44977"/>
    <w:multiLevelType w:val="hybridMultilevel"/>
    <w:tmpl w:val="4842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716261"/>
    <w:multiLevelType w:val="hybridMultilevel"/>
    <w:tmpl w:val="6B647508"/>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633571A"/>
    <w:multiLevelType w:val="hybridMultilevel"/>
    <w:tmpl w:val="89AC02C2"/>
    <w:lvl w:ilvl="0" w:tplc="38A0B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962E9B"/>
    <w:multiLevelType w:val="hybridMultilevel"/>
    <w:tmpl w:val="35F0A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74602B3"/>
    <w:multiLevelType w:val="singleLevel"/>
    <w:tmpl w:val="04090011"/>
    <w:lvl w:ilvl="0">
      <w:start w:val="1"/>
      <w:numFmt w:val="decimal"/>
      <w:lvlText w:val="%1)"/>
      <w:lvlJc w:val="left"/>
      <w:pPr>
        <w:ind w:left="720" w:hanging="360"/>
      </w:pPr>
    </w:lvl>
  </w:abstractNum>
  <w:abstractNum w:abstractNumId="24">
    <w:nsid w:val="18621D32"/>
    <w:multiLevelType w:val="singleLevel"/>
    <w:tmpl w:val="95FC70D4"/>
    <w:lvl w:ilvl="0">
      <w:start w:val="8"/>
      <w:numFmt w:val="decimal"/>
      <w:lvlText w:val="%1)"/>
      <w:lvlJc w:val="left"/>
      <w:pPr>
        <w:tabs>
          <w:tab w:val="num" w:pos="360"/>
        </w:tabs>
        <w:ind w:left="360" w:hanging="360"/>
      </w:pPr>
      <w:rPr>
        <w:rFonts w:cs="Times New Roman" w:hint="default"/>
      </w:rPr>
    </w:lvl>
  </w:abstractNum>
  <w:abstractNum w:abstractNumId="25">
    <w:nsid w:val="18C276D5"/>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199A6DF8"/>
    <w:multiLevelType w:val="hybridMultilevel"/>
    <w:tmpl w:val="F986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7A715C"/>
    <w:multiLevelType w:val="hybridMultilevel"/>
    <w:tmpl w:val="4ECC49F2"/>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AF96890"/>
    <w:multiLevelType w:val="singleLevel"/>
    <w:tmpl w:val="04090017"/>
    <w:lvl w:ilvl="0">
      <w:start w:val="1"/>
      <w:numFmt w:val="lowerLetter"/>
      <w:lvlText w:val="%1)"/>
      <w:lvlJc w:val="left"/>
      <w:pPr>
        <w:ind w:left="720" w:hanging="360"/>
      </w:pPr>
    </w:lvl>
  </w:abstractNum>
  <w:abstractNum w:abstractNumId="29">
    <w:nsid w:val="1B7A5740"/>
    <w:multiLevelType w:val="hybridMultilevel"/>
    <w:tmpl w:val="6BDEBE58"/>
    <w:lvl w:ilvl="0" w:tplc="04090011">
      <w:start w:val="1"/>
      <w:numFmt w:val="decimal"/>
      <w:lvlText w:val="%1)"/>
      <w:lvlJc w:val="left"/>
      <w:pPr>
        <w:ind w:left="360" w:hanging="360"/>
      </w:pPr>
      <w:rPr>
        <w:rFonts w:hint="default"/>
      </w:rPr>
    </w:lvl>
    <w:lvl w:ilvl="1" w:tplc="CD26A37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BE54C18"/>
    <w:multiLevelType w:val="hybridMultilevel"/>
    <w:tmpl w:val="C7FC8104"/>
    <w:lvl w:ilvl="0" w:tplc="ED709566">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C2C7F26"/>
    <w:multiLevelType w:val="hybridMultilevel"/>
    <w:tmpl w:val="5784E68C"/>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2">
    <w:nsid w:val="1C5D5D04"/>
    <w:multiLevelType w:val="hybridMultilevel"/>
    <w:tmpl w:val="1188D3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D60261D"/>
    <w:multiLevelType w:val="hybridMultilevel"/>
    <w:tmpl w:val="B928EA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4">
    <w:nsid w:val="1E4E4781"/>
    <w:multiLevelType w:val="hybridMultilevel"/>
    <w:tmpl w:val="CAA21F58"/>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E89C5D3A">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1EDA40B3"/>
    <w:multiLevelType w:val="hybridMultilevel"/>
    <w:tmpl w:val="79CAB7E0"/>
    <w:lvl w:ilvl="0" w:tplc="6D8AD2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646C56"/>
    <w:multiLevelType w:val="hybridMultilevel"/>
    <w:tmpl w:val="37C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7C6F10"/>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211E456D"/>
    <w:multiLevelType w:val="hybridMultilevel"/>
    <w:tmpl w:val="38AEF60E"/>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14E756E"/>
    <w:multiLevelType w:val="singleLevel"/>
    <w:tmpl w:val="3DDEDDC4"/>
    <w:lvl w:ilvl="0">
      <w:start w:val="1"/>
      <w:numFmt w:val="bullet"/>
      <w:lvlText w:val=""/>
      <w:lvlJc w:val="left"/>
      <w:pPr>
        <w:tabs>
          <w:tab w:val="num" w:pos="360"/>
        </w:tabs>
        <w:ind w:left="360" w:hanging="360"/>
      </w:pPr>
      <w:rPr>
        <w:rFonts w:ascii="Symbol" w:hAnsi="Symbol" w:hint="default"/>
        <w:sz w:val="20"/>
      </w:rPr>
    </w:lvl>
  </w:abstractNum>
  <w:abstractNum w:abstractNumId="40">
    <w:nsid w:val="21D3582D"/>
    <w:multiLevelType w:val="hybridMultilevel"/>
    <w:tmpl w:val="FC28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33F601E"/>
    <w:multiLevelType w:val="hybridMultilevel"/>
    <w:tmpl w:val="6F7ED614"/>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nsid w:val="23BF7C67"/>
    <w:multiLevelType w:val="hybridMultilevel"/>
    <w:tmpl w:val="EE04D60E"/>
    <w:lvl w:ilvl="0" w:tplc="67800A46">
      <w:start w:val="1"/>
      <w:numFmt w:val="bullet"/>
      <w:lvlText w:val=""/>
      <w:lvlJc w:val="left"/>
      <w:pPr>
        <w:ind w:left="720" w:hanging="360"/>
      </w:pPr>
      <w:rPr>
        <w:rFonts w:ascii="Wingdings" w:hAnsi="Wingdings" w:hint="default"/>
        <w:b/>
        <w:sz w:val="24"/>
        <w:szCs w:val="24"/>
      </w:rPr>
    </w:lvl>
    <w:lvl w:ilvl="1" w:tplc="CB3A194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41502A7"/>
    <w:multiLevelType w:val="hybridMultilevel"/>
    <w:tmpl w:val="E73EFC1C"/>
    <w:lvl w:ilvl="0" w:tplc="DCEC01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1267F5"/>
    <w:multiLevelType w:val="hybridMultilevel"/>
    <w:tmpl w:val="17B001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63B67F4"/>
    <w:multiLevelType w:val="hybridMultilevel"/>
    <w:tmpl w:val="732AA54A"/>
    <w:lvl w:ilvl="0" w:tplc="7F94D1E8">
      <w:start w:val="1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2D2007"/>
    <w:multiLevelType w:val="hybridMultilevel"/>
    <w:tmpl w:val="E1B2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7D6744D"/>
    <w:multiLevelType w:val="hybridMultilevel"/>
    <w:tmpl w:val="7FEE2C0A"/>
    <w:lvl w:ilvl="0" w:tplc="5AAE5A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9E02222"/>
    <w:multiLevelType w:val="hybridMultilevel"/>
    <w:tmpl w:val="C36EDA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B621C9B"/>
    <w:multiLevelType w:val="hybridMultilevel"/>
    <w:tmpl w:val="C0D8926C"/>
    <w:lvl w:ilvl="0" w:tplc="C5200DB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B8F36A5"/>
    <w:multiLevelType w:val="hybridMultilevel"/>
    <w:tmpl w:val="4DA4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CDB7A30"/>
    <w:multiLevelType w:val="hybridMultilevel"/>
    <w:tmpl w:val="8C56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D636DB5"/>
    <w:multiLevelType w:val="hybridMultilevel"/>
    <w:tmpl w:val="09BA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00D2F19"/>
    <w:multiLevelType w:val="hybridMultilevel"/>
    <w:tmpl w:val="874CE3B0"/>
    <w:lvl w:ilvl="0" w:tplc="04090001">
      <w:start w:val="1"/>
      <w:numFmt w:val="bullet"/>
      <w:lvlText w:val=""/>
      <w:lvlJc w:val="left"/>
      <w:pPr>
        <w:tabs>
          <w:tab w:val="num" w:pos="720"/>
        </w:tabs>
        <w:ind w:left="720" w:hanging="360"/>
      </w:pPr>
      <w:rPr>
        <w:rFonts w:ascii="Symbol" w:hAnsi="Symbol" w:hint="default"/>
      </w:rPr>
    </w:lvl>
    <w:lvl w:ilvl="1" w:tplc="9CCCC2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18032DC"/>
    <w:multiLevelType w:val="hybridMultilevel"/>
    <w:tmpl w:val="EF92619E"/>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AB1A0F"/>
    <w:multiLevelType w:val="hybridMultilevel"/>
    <w:tmpl w:val="8BCC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B179CE"/>
    <w:multiLevelType w:val="hybridMultilevel"/>
    <w:tmpl w:val="67D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5E30DD4"/>
    <w:multiLevelType w:val="hybridMultilevel"/>
    <w:tmpl w:val="CF2EA5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8">
    <w:nsid w:val="36DA7C07"/>
    <w:multiLevelType w:val="singleLevel"/>
    <w:tmpl w:val="D9EE13D2"/>
    <w:lvl w:ilvl="0">
      <w:start w:val="1"/>
      <w:numFmt w:val="decimal"/>
      <w:lvlText w:val="%1."/>
      <w:lvlJc w:val="left"/>
      <w:pPr>
        <w:tabs>
          <w:tab w:val="num" w:pos="720"/>
        </w:tabs>
        <w:ind w:left="720" w:hanging="360"/>
      </w:pPr>
      <w:rPr>
        <w:b/>
      </w:rPr>
    </w:lvl>
  </w:abstractNum>
  <w:abstractNum w:abstractNumId="59">
    <w:nsid w:val="38067AEE"/>
    <w:multiLevelType w:val="hybridMultilevel"/>
    <w:tmpl w:val="BBB80770"/>
    <w:lvl w:ilvl="0" w:tplc="43F2141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4818A4"/>
    <w:multiLevelType w:val="hybridMultilevel"/>
    <w:tmpl w:val="DF208FA0"/>
    <w:lvl w:ilvl="0" w:tplc="C11CF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A982138"/>
    <w:multiLevelType w:val="hybridMultilevel"/>
    <w:tmpl w:val="1EC4A9EE"/>
    <w:lvl w:ilvl="0" w:tplc="E6FABA6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736AA6"/>
    <w:multiLevelType w:val="hybridMultilevel"/>
    <w:tmpl w:val="B1FC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E55483"/>
    <w:multiLevelType w:val="hybridMultilevel"/>
    <w:tmpl w:val="085E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0EC6081"/>
    <w:multiLevelType w:val="hybridMultilevel"/>
    <w:tmpl w:val="4842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7F55E8"/>
    <w:multiLevelType w:val="hybridMultilevel"/>
    <w:tmpl w:val="DA462B18"/>
    <w:lvl w:ilvl="0" w:tplc="9ABA7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456FC"/>
    <w:multiLevelType w:val="singleLevel"/>
    <w:tmpl w:val="3DDEDDC4"/>
    <w:lvl w:ilvl="0">
      <w:start w:val="1"/>
      <w:numFmt w:val="bullet"/>
      <w:lvlText w:val=""/>
      <w:lvlJc w:val="left"/>
      <w:pPr>
        <w:tabs>
          <w:tab w:val="num" w:pos="360"/>
        </w:tabs>
        <w:ind w:left="360" w:hanging="360"/>
      </w:pPr>
      <w:rPr>
        <w:rFonts w:ascii="Symbol" w:hAnsi="Symbol" w:hint="default"/>
        <w:sz w:val="20"/>
      </w:rPr>
    </w:lvl>
  </w:abstractNum>
  <w:abstractNum w:abstractNumId="67">
    <w:nsid w:val="428D518B"/>
    <w:multiLevelType w:val="hybridMultilevel"/>
    <w:tmpl w:val="FB92AB54"/>
    <w:lvl w:ilvl="0" w:tplc="320430C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2DD63FD"/>
    <w:multiLevelType w:val="hybridMultilevel"/>
    <w:tmpl w:val="71261A6E"/>
    <w:lvl w:ilvl="0" w:tplc="2F64818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30427D5"/>
    <w:multiLevelType w:val="hybridMultilevel"/>
    <w:tmpl w:val="9698ADA4"/>
    <w:lvl w:ilvl="0" w:tplc="9CCCC2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32075E0"/>
    <w:multiLevelType w:val="hybridMultilevel"/>
    <w:tmpl w:val="3D9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33B7F39"/>
    <w:multiLevelType w:val="multilevel"/>
    <w:tmpl w:val="E5BC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44A1A5D"/>
    <w:multiLevelType w:val="hybridMultilevel"/>
    <w:tmpl w:val="DAD00508"/>
    <w:lvl w:ilvl="0" w:tplc="38A0B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4A82982"/>
    <w:multiLevelType w:val="multilevel"/>
    <w:tmpl w:val="2BB0722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44E67110"/>
    <w:multiLevelType w:val="hybridMultilevel"/>
    <w:tmpl w:val="D34CA3A8"/>
    <w:lvl w:ilvl="0" w:tplc="47446C74">
      <w:start w:val="1"/>
      <w:numFmt w:val="decimal"/>
      <w:lvlText w:val="%1)"/>
      <w:lvlJc w:val="left"/>
      <w:pPr>
        <w:ind w:left="360" w:hanging="360"/>
      </w:pPr>
      <w:rPr>
        <w:rFonts w:hint="default"/>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5">
    <w:nsid w:val="45F92280"/>
    <w:multiLevelType w:val="hybridMultilevel"/>
    <w:tmpl w:val="5A2CA58C"/>
    <w:lvl w:ilvl="0" w:tplc="8D9079E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6770577"/>
    <w:multiLevelType w:val="hybridMultilevel"/>
    <w:tmpl w:val="514EA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8D676B1"/>
    <w:multiLevelType w:val="hybridMultilevel"/>
    <w:tmpl w:val="71B8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594DE8"/>
    <w:multiLevelType w:val="hybridMultilevel"/>
    <w:tmpl w:val="E7844CAE"/>
    <w:lvl w:ilvl="0" w:tplc="25220B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2A304D"/>
    <w:multiLevelType w:val="multilevel"/>
    <w:tmpl w:val="50D2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0384AF2"/>
    <w:multiLevelType w:val="singleLevel"/>
    <w:tmpl w:val="ED36CB74"/>
    <w:lvl w:ilvl="0">
      <w:start w:val="3"/>
      <w:numFmt w:val="decimal"/>
      <w:lvlText w:val="%1."/>
      <w:lvlJc w:val="left"/>
      <w:pPr>
        <w:ind w:left="720" w:hanging="360"/>
      </w:pPr>
      <w:rPr>
        <w:rFonts w:hint="default"/>
        <w:b/>
      </w:rPr>
    </w:lvl>
  </w:abstractNum>
  <w:abstractNum w:abstractNumId="81">
    <w:nsid w:val="50993DFE"/>
    <w:multiLevelType w:val="multilevel"/>
    <w:tmpl w:val="756420E0"/>
    <w:lvl w:ilvl="0">
      <w:start w:val="1"/>
      <w:numFmt w:val="bullet"/>
      <w:lvlText w:val="Q"/>
      <w:lvlJc w:val="left"/>
      <w:pPr>
        <w:tabs>
          <w:tab w:val="num" w:pos="360"/>
        </w:tabs>
        <w:ind w:left="288" w:hanging="288"/>
      </w:pPr>
      <w:rPr>
        <w:rFonts w:ascii="Arial Black" w:hAnsi="Arial Black" w:hint="default"/>
        <w:sz w:val="24"/>
      </w:rPr>
    </w:lvl>
    <w:lvl w:ilvl="1">
      <w:start w:val="1"/>
      <w:numFmt w:val="bullet"/>
      <w:pStyle w:val="Answer"/>
      <w:lvlText w:val="A"/>
      <w:lvlJc w:val="left"/>
      <w:pPr>
        <w:tabs>
          <w:tab w:val="num" w:pos="360"/>
        </w:tabs>
        <w:ind w:left="288" w:hanging="288"/>
      </w:pPr>
      <w:rPr>
        <w:rFonts w:ascii="Arial Black" w:hAnsi="Arial Black" w:hint="default"/>
        <w:sz w:val="24"/>
      </w:rPr>
    </w:lvl>
    <w:lvl w:ilvl="2">
      <w:start w:val="1"/>
      <w:numFmt w:val="bullet"/>
      <w:lvlText w:val=""/>
      <w:lvlJc w:val="left"/>
      <w:pPr>
        <w:tabs>
          <w:tab w:val="num" w:pos="792"/>
        </w:tabs>
        <w:ind w:left="648" w:hanging="216"/>
      </w:pPr>
      <w:rPr>
        <w:rFonts w:ascii="Wingdings" w:hAnsi="Wingdings" w:hint="default"/>
      </w:rPr>
    </w:lvl>
    <w:lvl w:ilvl="3">
      <w:start w:val="1"/>
      <w:numFmt w:val="bullet"/>
      <w:lvlText w:val=""/>
      <w:lvlJc w:val="left"/>
      <w:pPr>
        <w:tabs>
          <w:tab w:val="num" w:pos="1008"/>
        </w:tabs>
        <w:ind w:left="864" w:hanging="216"/>
      </w:pPr>
      <w:rPr>
        <w:rFonts w:ascii="Wingdings" w:hAnsi="Wingdings"/>
      </w:rPr>
    </w:lvl>
    <w:lvl w:ilvl="4">
      <w:start w:val="1"/>
      <w:numFmt w:val="bullet"/>
      <w:lvlText w:val=""/>
      <w:lvlJc w:val="left"/>
      <w:pPr>
        <w:tabs>
          <w:tab w:val="num" w:pos="1224"/>
        </w:tabs>
        <w:ind w:left="1080" w:hanging="216"/>
      </w:pPr>
      <w:rPr>
        <w:rFonts w:ascii="Wingdings" w:hAnsi="Wingdings"/>
      </w:rPr>
    </w:lvl>
    <w:lvl w:ilvl="5">
      <w:start w:val="1"/>
      <w:numFmt w:val="bullet"/>
      <w:lvlText w:val="»"/>
      <w:lvlJc w:val="left"/>
      <w:pPr>
        <w:tabs>
          <w:tab w:val="num" w:pos="1440"/>
        </w:tabs>
        <w:ind w:left="1296" w:hanging="216"/>
      </w:pPr>
      <w:rPr>
        <w:rFonts w:ascii="Times New Roman" w:hAnsi="Times New Roman"/>
      </w:rPr>
    </w:lvl>
    <w:lvl w:ilvl="6">
      <w:start w:val="1"/>
      <w:numFmt w:val="bullet"/>
      <w:lvlText w:val=""/>
      <w:lvlJc w:val="left"/>
      <w:pPr>
        <w:tabs>
          <w:tab w:val="num" w:pos="1656"/>
        </w:tabs>
        <w:ind w:left="1512" w:hanging="216"/>
      </w:pPr>
      <w:rPr>
        <w:rFonts w:ascii="Symbol" w:hAnsi="Symbol"/>
      </w:rPr>
    </w:lvl>
    <w:lvl w:ilvl="7">
      <w:start w:val="1"/>
      <w:numFmt w:val="bullet"/>
      <w:lvlText w:val="¤"/>
      <w:lvlJc w:val="left"/>
      <w:pPr>
        <w:tabs>
          <w:tab w:val="num" w:pos="1872"/>
        </w:tabs>
        <w:ind w:left="1728" w:hanging="216"/>
      </w:pPr>
      <w:rPr>
        <w:rFonts w:ascii="Times New Roman" w:hAnsi="Times New Roman"/>
      </w:rPr>
    </w:lvl>
    <w:lvl w:ilvl="8">
      <w:start w:val="1"/>
      <w:numFmt w:val="bullet"/>
      <w:lvlText w:val=""/>
      <w:lvlJc w:val="left"/>
      <w:pPr>
        <w:tabs>
          <w:tab w:val="num" w:pos="2088"/>
        </w:tabs>
        <w:ind w:left="1944" w:hanging="216"/>
      </w:pPr>
      <w:rPr>
        <w:rFonts w:ascii="Wingdings" w:hAnsi="Wingdings"/>
      </w:rPr>
    </w:lvl>
  </w:abstractNum>
  <w:abstractNum w:abstractNumId="82">
    <w:nsid w:val="524D16EA"/>
    <w:multiLevelType w:val="hybridMultilevel"/>
    <w:tmpl w:val="35A465D0"/>
    <w:lvl w:ilvl="0" w:tplc="43CAFCF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EF5FED"/>
    <w:multiLevelType w:val="hybridMultilevel"/>
    <w:tmpl w:val="B5E0D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542D08F4"/>
    <w:multiLevelType w:val="hybridMultilevel"/>
    <w:tmpl w:val="31B44050"/>
    <w:lvl w:ilvl="0" w:tplc="C8B8B9A8">
      <w:start w:val="12"/>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74358E"/>
    <w:multiLevelType w:val="hybridMultilevel"/>
    <w:tmpl w:val="6AC0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58920F3"/>
    <w:multiLevelType w:val="multilevel"/>
    <w:tmpl w:val="87E8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6FB29E9"/>
    <w:multiLevelType w:val="hybridMultilevel"/>
    <w:tmpl w:val="59D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8EA4694"/>
    <w:multiLevelType w:val="hybridMultilevel"/>
    <w:tmpl w:val="C2B2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A374AC7"/>
    <w:multiLevelType w:val="hybridMultilevel"/>
    <w:tmpl w:val="E1A8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BE242E8"/>
    <w:multiLevelType w:val="hybridMultilevel"/>
    <w:tmpl w:val="09507BDE"/>
    <w:lvl w:ilvl="0" w:tplc="FFFFFFFF">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5C3072AF"/>
    <w:multiLevelType w:val="hybridMultilevel"/>
    <w:tmpl w:val="365A7CDC"/>
    <w:lvl w:ilvl="0" w:tplc="763C3F50">
      <w:start w:val="1"/>
      <w:numFmt w:val="decimal"/>
      <w:lvlText w:val="%1)"/>
      <w:lvlJc w:val="left"/>
      <w:pPr>
        <w:tabs>
          <w:tab w:val="num" w:pos="576"/>
        </w:tabs>
        <w:ind w:left="576" w:hanging="576"/>
      </w:pPr>
      <w:rPr>
        <w:rFonts w:hint="default"/>
        <w:b/>
        <w:i w:val="0"/>
        <w:color w:val="auto"/>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C660075"/>
    <w:multiLevelType w:val="hybridMultilevel"/>
    <w:tmpl w:val="6B647508"/>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5E8977A5"/>
    <w:multiLevelType w:val="hybridMultilevel"/>
    <w:tmpl w:val="EB8E2F94"/>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F67432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5">
    <w:nsid w:val="5FAC1A95"/>
    <w:multiLevelType w:val="hybridMultilevel"/>
    <w:tmpl w:val="BA5C0C48"/>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FD5346B"/>
    <w:multiLevelType w:val="hybridMultilevel"/>
    <w:tmpl w:val="538A626C"/>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7">
    <w:nsid w:val="5FFF04F5"/>
    <w:multiLevelType w:val="hybridMultilevel"/>
    <w:tmpl w:val="06F2E4DC"/>
    <w:lvl w:ilvl="0" w:tplc="DD30F8B4">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21205E2"/>
    <w:multiLevelType w:val="hybridMultilevel"/>
    <w:tmpl w:val="C774400C"/>
    <w:lvl w:ilvl="0" w:tplc="04090001">
      <w:start w:val="1"/>
      <w:numFmt w:val="bullet"/>
      <w:lvlText w:val=""/>
      <w:lvlJc w:val="left"/>
      <w:pPr>
        <w:tabs>
          <w:tab w:val="num" w:pos="936"/>
        </w:tabs>
        <w:ind w:left="936" w:hanging="360"/>
      </w:pPr>
      <w:rPr>
        <w:rFonts w:ascii="Symbol" w:hAnsi="Symbol" w:hint="default"/>
      </w:rPr>
    </w:lvl>
    <w:lvl w:ilvl="1" w:tplc="0409000F">
      <w:start w:val="1"/>
      <w:numFmt w:val="decimal"/>
      <w:lvlText w:val="%2."/>
      <w:lvlJc w:val="left"/>
      <w:pPr>
        <w:tabs>
          <w:tab w:val="num" w:pos="1656"/>
        </w:tabs>
        <w:ind w:left="1656" w:hanging="360"/>
      </w:pPr>
      <w:rPr>
        <w:rFonts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9">
    <w:nsid w:val="636569E0"/>
    <w:multiLevelType w:val="hybridMultilevel"/>
    <w:tmpl w:val="3F702622"/>
    <w:lvl w:ilvl="0" w:tplc="355EE706">
      <w:start w:val="1"/>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3B26545"/>
    <w:multiLevelType w:val="hybridMultilevel"/>
    <w:tmpl w:val="D898D9C8"/>
    <w:lvl w:ilvl="0" w:tplc="6E1A5FE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50673EE"/>
    <w:multiLevelType w:val="hybridMultilevel"/>
    <w:tmpl w:val="444C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5B10D11"/>
    <w:multiLevelType w:val="multilevel"/>
    <w:tmpl w:val="F9FE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6E77AD3"/>
    <w:multiLevelType w:val="hybridMultilevel"/>
    <w:tmpl w:val="294EEED4"/>
    <w:lvl w:ilvl="0" w:tplc="CF3A791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69A820FE"/>
    <w:multiLevelType w:val="hybridMultilevel"/>
    <w:tmpl w:val="D5B647CC"/>
    <w:lvl w:ilvl="0" w:tplc="B316D5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AD2588F"/>
    <w:multiLevelType w:val="hybridMultilevel"/>
    <w:tmpl w:val="04849CB0"/>
    <w:lvl w:ilvl="0" w:tplc="A736553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AEB03EE"/>
    <w:multiLevelType w:val="hybridMultilevel"/>
    <w:tmpl w:val="38AEF60E"/>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6B601030"/>
    <w:multiLevelType w:val="singleLevel"/>
    <w:tmpl w:val="BE4CDE38"/>
    <w:lvl w:ilvl="0">
      <w:start w:val="1"/>
      <w:numFmt w:val="bullet"/>
      <w:lvlText w:val=""/>
      <w:lvlJc w:val="left"/>
      <w:pPr>
        <w:tabs>
          <w:tab w:val="num" w:pos="360"/>
        </w:tabs>
        <w:ind w:left="360" w:hanging="360"/>
      </w:pPr>
      <w:rPr>
        <w:rFonts w:ascii="Symbol" w:hAnsi="Symbol" w:hint="default"/>
      </w:rPr>
    </w:lvl>
  </w:abstractNum>
  <w:abstractNum w:abstractNumId="108">
    <w:nsid w:val="6CA304F2"/>
    <w:multiLevelType w:val="hybridMultilevel"/>
    <w:tmpl w:val="F7F2A54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6D521FDB"/>
    <w:multiLevelType w:val="hybridMultilevel"/>
    <w:tmpl w:val="C52E1EC4"/>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E3A71F2"/>
    <w:multiLevelType w:val="hybridMultilevel"/>
    <w:tmpl w:val="7D4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E7F41B8"/>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nsid w:val="6FA14278"/>
    <w:multiLevelType w:val="hybridMultilevel"/>
    <w:tmpl w:val="9C24AF1A"/>
    <w:lvl w:ilvl="0" w:tplc="085E5CB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03E4DAB"/>
    <w:multiLevelType w:val="hybridMultilevel"/>
    <w:tmpl w:val="DE1206D4"/>
    <w:lvl w:ilvl="0" w:tplc="EDC076AA">
      <w:start w:val="1"/>
      <w:numFmt w:val="bullet"/>
      <w:lvlText w:val=""/>
      <w:lvlJc w:val="left"/>
      <w:pPr>
        <w:ind w:left="360" w:hanging="360"/>
      </w:pPr>
      <w:rPr>
        <w:rFonts w:ascii="Symbol" w:hAnsi="Symbol" w:hint="default"/>
        <w:color w:val="auto"/>
      </w:rPr>
    </w:lvl>
    <w:lvl w:ilvl="1" w:tplc="39D85EA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0750D7A"/>
    <w:multiLevelType w:val="hybridMultilevel"/>
    <w:tmpl w:val="33DE1A1E"/>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0CA583C"/>
    <w:multiLevelType w:val="hybridMultilevel"/>
    <w:tmpl w:val="65FE5BA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6">
    <w:nsid w:val="71E12032"/>
    <w:multiLevelType w:val="hybridMultilevel"/>
    <w:tmpl w:val="C53E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29A400D"/>
    <w:multiLevelType w:val="multilevel"/>
    <w:tmpl w:val="062E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36C5431"/>
    <w:multiLevelType w:val="hybridMultilevel"/>
    <w:tmpl w:val="5B727AE2"/>
    <w:lvl w:ilvl="0" w:tplc="F1724A1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3764F58"/>
    <w:multiLevelType w:val="hybridMultilevel"/>
    <w:tmpl w:val="E0DACDE0"/>
    <w:lvl w:ilvl="0" w:tplc="04090001">
      <w:start w:val="1"/>
      <w:numFmt w:val="bullet"/>
      <w:lvlText w:val=""/>
      <w:lvlJc w:val="left"/>
      <w:pPr>
        <w:tabs>
          <w:tab w:val="num" w:pos="720"/>
        </w:tabs>
        <w:ind w:left="720" w:hanging="360"/>
      </w:pPr>
      <w:rPr>
        <w:rFonts w:ascii="Symbol" w:hAnsi="Symbol" w:hint="default"/>
      </w:rPr>
    </w:lvl>
    <w:lvl w:ilvl="1" w:tplc="9CCCC2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43A1B6D"/>
    <w:multiLevelType w:val="hybridMultilevel"/>
    <w:tmpl w:val="F7F2A54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764172DC"/>
    <w:multiLevelType w:val="singleLevel"/>
    <w:tmpl w:val="0FFA25D2"/>
    <w:lvl w:ilvl="0">
      <w:start w:val="1"/>
      <w:numFmt w:val="decimal"/>
      <w:lvlText w:val="%1)"/>
      <w:lvlJc w:val="left"/>
      <w:pPr>
        <w:tabs>
          <w:tab w:val="num" w:pos="360"/>
        </w:tabs>
        <w:ind w:left="360" w:hanging="360"/>
      </w:pPr>
      <w:rPr>
        <w:rFonts w:cs="Times New Roman"/>
      </w:rPr>
    </w:lvl>
  </w:abstractNum>
  <w:abstractNum w:abstractNumId="122">
    <w:nsid w:val="771D59A1"/>
    <w:multiLevelType w:val="multilevel"/>
    <w:tmpl w:val="5EEE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F541F2"/>
    <w:multiLevelType w:val="multilevel"/>
    <w:tmpl w:val="4D10EE0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96E472E"/>
    <w:multiLevelType w:val="hybridMultilevel"/>
    <w:tmpl w:val="F32A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A112436"/>
    <w:multiLevelType w:val="hybridMultilevel"/>
    <w:tmpl w:val="40521D2C"/>
    <w:lvl w:ilvl="0" w:tplc="68D04C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E33325D"/>
    <w:multiLevelType w:val="hybridMultilevel"/>
    <w:tmpl w:val="C20C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F105DBD"/>
    <w:multiLevelType w:val="hybridMultilevel"/>
    <w:tmpl w:val="D272EB5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28">
    <w:nsid w:val="7F6F095A"/>
    <w:multiLevelType w:val="singleLevel"/>
    <w:tmpl w:val="67800A46"/>
    <w:lvl w:ilvl="0">
      <w:start w:val="1"/>
      <w:numFmt w:val="bullet"/>
      <w:lvlText w:val=""/>
      <w:lvlJc w:val="left"/>
      <w:pPr>
        <w:ind w:left="720" w:hanging="360"/>
      </w:pPr>
      <w:rPr>
        <w:rFonts w:ascii="Wingdings" w:hAnsi="Wingdings" w:hint="default"/>
        <w:b/>
        <w:sz w:val="24"/>
        <w:szCs w:val="24"/>
      </w:rPr>
    </w:lvl>
  </w:abstractNum>
  <w:abstractNum w:abstractNumId="129">
    <w:nsid w:val="7FF41918"/>
    <w:multiLevelType w:val="hybridMultilevel"/>
    <w:tmpl w:val="0C78A962"/>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1"/>
  </w:num>
  <w:num w:numId="4">
    <w:abstractNumId w:val="24"/>
  </w:num>
  <w:num w:numId="5">
    <w:abstractNumId w:val="14"/>
  </w:num>
  <w:num w:numId="6">
    <w:abstractNumId w:val="111"/>
  </w:num>
  <w:num w:numId="7">
    <w:abstractNumId w:val="94"/>
  </w:num>
  <w:num w:numId="8">
    <w:abstractNumId w:val="39"/>
  </w:num>
  <w:num w:numId="9">
    <w:abstractNumId w:val="66"/>
  </w:num>
  <w:num w:numId="10">
    <w:abstractNumId w:val="16"/>
  </w:num>
  <w:num w:numId="11">
    <w:abstractNumId w:val="90"/>
  </w:num>
  <w:num w:numId="12">
    <w:abstractNumId w:val="11"/>
  </w:num>
  <w:num w:numId="13">
    <w:abstractNumId w:val="67"/>
  </w:num>
  <w:num w:numId="14">
    <w:abstractNumId w:val="60"/>
  </w:num>
  <w:num w:numId="15">
    <w:abstractNumId w:val="30"/>
  </w:num>
  <w:num w:numId="16">
    <w:abstractNumId w:val="25"/>
  </w:num>
  <w:num w:numId="17">
    <w:abstractNumId w:val="34"/>
  </w:num>
  <w:num w:numId="18">
    <w:abstractNumId w:val="7"/>
  </w:num>
  <w:num w:numId="19">
    <w:abstractNumId w:val="37"/>
  </w:num>
  <w:num w:numId="20">
    <w:abstractNumId w:val="82"/>
  </w:num>
  <w:num w:numId="21">
    <w:abstractNumId w:val="76"/>
  </w:num>
  <w:num w:numId="22">
    <w:abstractNumId w:val="63"/>
  </w:num>
  <w:num w:numId="23">
    <w:abstractNumId w:val="75"/>
  </w:num>
  <w:num w:numId="24">
    <w:abstractNumId w:val="47"/>
  </w:num>
  <w:num w:numId="25">
    <w:abstractNumId w:val="92"/>
  </w:num>
  <w:num w:numId="26">
    <w:abstractNumId w:val="27"/>
  </w:num>
  <w:num w:numId="27">
    <w:abstractNumId w:val="10"/>
  </w:num>
  <w:num w:numId="28">
    <w:abstractNumId w:val="0"/>
  </w:num>
  <w:num w:numId="29">
    <w:abstractNumId w:val="81"/>
  </w:num>
  <w:num w:numId="30">
    <w:abstractNumId w:val="80"/>
  </w:num>
  <w:num w:numId="31">
    <w:abstractNumId w:val="19"/>
  </w:num>
  <w:num w:numId="32">
    <w:abstractNumId w:val="58"/>
  </w:num>
  <w:num w:numId="33">
    <w:abstractNumId w:val="125"/>
  </w:num>
  <w:num w:numId="34">
    <w:abstractNumId w:val="105"/>
  </w:num>
  <w:num w:numId="35">
    <w:abstractNumId w:val="99"/>
  </w:num>
  <w:num w:numId="36">
    <w:abstractNumId w:val="69"/>
  </w:num>
  <w:num w:numId="37">
    <w:abstractNumId w:val="83"/>
  </w:num>
  <w:num w:numId="38">
    <w:abstractNumId w:val="119"/>
  </w:num>
  <w:num w:numId="39">
    <w:abstractNumId w:val="53"/>
  </w:num>
  <w:num w:numId="40">
    <w:abstractNumId w:val="40"/>
  </w:num>
  <w:num w:numId="41">
    <w:abstractNumId w:val="107"/>
  </w:num>
  <w:num w:numId="42">
    <w:abstractNumId w:val="13"/>
  </w:num>
  <w:num w:numId="43">
    <w:abstractNumId w:val="5"/>
  </w:num>
  <w:num w:numId="44">
    <w:abstractNumId w:val="89"/>
  </w:num>
  <w:num w:numId="45">
    <w:abstractNumId w:val="73"/>
  </w:num>
  <w:num w:numId="46">
    <w:abstractNumId w:val="128"/>
  </w:num>
  <w:num w:numId="47">
    <w:abstractNumId w:val="65"/>
  </w:num>
  <w:num w:numId="48">
    <w:abstractNumId w:val="8"/>
  </w:num>
  <w:num w:numId="49">
    <w:abstractNumId w:val="70"/>
  </w:num>
  <w:num w:numId="50">
    <w:abstractNumId w:val="85"/>
  </w:num>
  <w:num w:numId="51">
    <w:abstractNumId w:val="35"/>
  </w:num>
  <w:num w:numId="52">
    <w:abstractNumId w:val="6"/>
  </w:num>
  <w:num w:numId="53">
    <w:abstractNumId w:val="32"/>
  </w:num>
  <w:num w:numId="54">
    <w:abstractNumId w:val="44"/>
  </w:num>
  <w:num w:numId="55">
    <w:abstractNumId w:val="106"/>
  </w:num>
  <w:num w:numId="56">
    <w:abstractNumId w:val="29"/>
  </w:num>
  <w:num w:numId="57">
    <w:abstractNumId w:val="120"/>
  </w:num>
  <w:num w:numId="58">
    <w:abstractNumId w:val="49"/>
  </w:num>
  <w:num w:numId="59">
    <w:abstractNumId w:val="110"/>
  </w:num>
  <w:num w:numId="60">
    <w:abstractNumId w:val="61"/>
  </w:num>
  <w:num w:numId="61">
    <w:abstractNumId w:val="126"/>
  </w:num>
  <w:num w:numId="62">
    <w:abstractNumId w:val="100"/>
  </w:num>
  <w:num w:numId="63">
    <w:abstractNumId w:val="28"/>
  </w:num>
  <w:num w:numId="64">
    <w:abstractNumId w:val="56"/>
  </w:num>
  <w:num w:numId="65">
    <w:abstractNumId w:val="12"/>
  </w:num>
  <w:num w:numId="66">
    <w:abstractNumId w:val="91"/>
  </w:num>
  <w:num w:numId="67">
    <w:abstractNumId w:val="96"/>
  </w:num>
  <w:num w:numId="68">
    <w:abstractNumId w:val="127"/>
  </w:num>
  <w:num w:numId="69">
    <w:abstractNumId w:val="115"/>
  </w:num>
  <w:num w:numId="70">
    <w:abstractNumId w:val="98"/>
  </w:num>
  <w:num w:numId="71">
    <w:abstractNumId w:val="33"/>
  </w:num>
  <w:num w:numId="72">
    <w:abstractNumId w:val="31"/>
  </w:num>
  <w:num w:numId="73">
    <w:abstractNumId w:val="57"/>
  </w:num>
  <w:num w:numId="74">
    <w:abstractNumId w:val="41"/>
  </w:num>
  <w:num w:numId="75">
    <w:abstractNumId w:val="51"/>
  </w:num>
  <w:num w:numId="76">
    <w:abstractNumId w:val="104"/>
  </w:num>
  <w:num w:numId="77">
    <w:abstractNumId w:val="42"/>
  </w:num>
  <w:num w:numId="78">
    <w:abstractNumId w:val="9"/>
  </w:num>
  <w:num w:numId="79">
    <w:abstractNumId w:val="36"/>
  </w:num>
  <w:num w:numId="80">
    <w:abstractNumId w:val="87"/>
  </w:num>
  <w:num w:numId="81">
    <w:abstractNumId w:val="38"/>
  </w:num>
  <w:num w:numId="82">
    <w:abstractNumId w:val="50"/>
  </w:num>
  <w:num w:numId="83">
    <w:abstractNumId w:val="122"/>
  </w:num>
  <w:num w:numId="84">
    <w:abstractNumId w:val="79"/>
  </w:num>
  <w:num w:numId="85">
    <w:abstractNumId w:val="117"/>
  </w:num>
  <w:num w:numId="86">
    <w:abstractNumId w:val="71"/>
  </w:num>
  <w:num w:numId="87">
    <w:abstractNumId w:val="86"/>
  </w:num>
  <w:num w:numId="88">
    <w:abstractNumId w:val="102"/>
  </w:num>
  <w:num w:numId="89">
    <w:abstractNumId w:val="123"/>
  </w:num>
  <w:num w:numId="90">
    <w:abstractNumId w:val="101"/>
  </w:num>
  <w:num w:numId="91">
    <w:abstractNumId w:val="113"/>
  </w:num>
  <w:num w:numId="92">
    <w:abstractNumId w:val="93"/>
  </w:num>
  <w:num w:numId="93">
    <w:abstractNumId w:val="95"/>
  </w:num>
  <w:num w:numId="94">
    <w:abstractNumId w:val="54"/>
  </w:num>
  <w:num w:numId="95">
    <w:abstractNumId w:val="18"/>
  </w:num>
  <w:num w:numId="96">
    <w:abstractNumId w:val="88"/>
  </w:num>
  <w:num w:numId="97">
    <w:abstractNumId w:val="68"/>
  </w:num>
  <w:num w:numId="98">
    <w:abstractNumId w:val="78"/>
  </w:num>
  <w:num w:numId="99">
    <w:abstractNumId w:val="59"/>
  </w:num>
  <w:num w:numId="100">
    <w:abstractNumId w:val="118"/>
  </w:num>
  <w:num w:numId="101">
    <w:abstractNumId w:val="20"/>
  </w:num>
  <w:num w:numId="102">
    <w:abstractNumId w:val="116"/>
  </w:num>
  <w:num w:numId="103">
    <w:abstractNumId w:val="48"/>
  </w:num>
  <w:num w:numId="104">
    <w:abstractNumId w:val="2"/>
  </w:num>
  <w:num w:numId="105">
    <w:abstractNumId w:val="74"/>
  </w:num>
  <w:num w:numId="106">
    <w:abstractNumId w:val="97"/>
  </w:num>
  <w:num w:numId="107">
    <w:abstractNumId w:val="3"/>
  </w:num>
  <w:num w:numId="108">
    <w:abstractNumId w:val="46"/>
  </w:num>
  <w:num w:numId="109">
    <w:abstractNumId w:val="84"/>
  </w:num>
  <w:num w:numId="110">
    <w:abstractNumId w:val="45"/>
  </w:num>
  <w:num w:numId="111">
    <w:abstractNumId w:val="114"/>
  </w:num>
  <w:num w:numId="112">
    <w:abstractNumId w:val="109"/>
  </w:num>
  <w:num w:numId="113">
    <w:abstractNumId w:val="129"/>
  </w:num>
  <w:num w:numId="114">
    <w:abstractNumId w:val="17"/>
  </w:num>
  <w:num w:numId="115">
    <w:abstractNumId w:val="43"/>
  </w:num>
  <w:num w:numId="116">
    <w:abstractNumId w:val="26"/>
  </w:num>
  <w:num w:numId="117">
    <w:abstractNumId w:val="15"/>
  </w:num>
  <w:num w:numId="118">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5"/>
  </w:num>
  <w:num w:numId="120">
    <w:abstractNumId w:val="77"/>
  </w:num>
  <w:num w:numId="121">
    <w:abstractNumId w:val="52"/>
  </w:num>
  <w:num w:numId="122">
    <w:abstractNumId w:val="124"/>
  </w:num>
  <w:num w:numId="123">
    <w:abstractNumId w:val="4"/>
  </w:num>
  <w:num w:numId="124">
    <w:abstractNumId w:val="72"/>
  </w:num>
  <w:num w:numId="125">
    <w:abstractNumId w:val="21"/>
  </w:num>
  <w:num w:numId="126">
    <w:abstractNumId w:val="112"/>
  </w:num>
  <w:num w:numId="127">
    <w:abstractNumId w:val="108"/>
  </w:num>
  <w:num w:numId="128">
    <w:abstractNumId w:val="64"/>
  </w:num>
  <w:num w:numId="129">
    <w:abstractNumId w:val="62"/>
  </w:num>
  <w:num w:numId="130">
    <w:abstractNumId w:val="22"/>
  </w:num>
  <w:num w:numId="131">
    <w:abstractNumId w:val="10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AA"/>
    <w:rsid w:val="0000024C"/>
    <w:rsid w:val="00000750"/>
    <w:rsid w:val="0000076B"/>
    <w:rsid w:val="00001533"/>
    <w:rsid w:val="0000184D"/>
    <w:rsid w:val="00001D0A"/>
    <w:rsid w:val="0000296A"/>
    <w:rsid w:val="000030DD"/>
    <w:rsid w:val="000041F1"/>
    <w:rsid w:val="000047F4"/>
    <w:rsid w:val="00004DB4"/>
    <w:rsid w:val="000052E9"/>
    <w:rsid w:val="0000577D"/>
    <w:rsid w:val="000058C2"/>
    <w:rsid w:val="000065FC"/>
    <w:rsid w:val="00006D2F"/>
    <w:rsid w:val="00006DB7"/>
    <w:rsid w:val="00007336"/>
    <w:rsid w:val="00007838"/>
    <w:rsid w:val="000078F1"/>
    <w:rsid w:val="00007C09"/>
    <w:rsid w:val="00007CCE"/>
    <w:rsid w:val="0001134B"/>
    <w:rsid w:val="00012DE2"/>
    <w:rsid w:val="00013842"/>
    <w:rsid w:val="00013916"/>
    <w:rsid w:val="00014248"/>
    <w:rsid w:val="0001472D"/>
    <w:rsid w:val="000147F7"/>
    <w:rsid w:val="00014C8E"/>
    <w:rsid w:val="00014D05"/>
    <w:rsid w:val="0001543D"/>
    <w:rsid w:val="00015E7F"/>
    <w:rsid w:val="0001608C"/>
    <w:rsid w:val="00017726"/>
    <w:rsid w:val="00017855"/>
    <w:rsid w:val="00017A11"/>
    <w:rsid w:val="00020ADA"/>
    <w:rsid w:val="00020B32"/>
    <w:rsid w:val="00021C3A"/>
    <w:rsid w:val="0002363B"/>
    <w:rsid w:val="0002408B"/>
    <w:rsid w:val="00025524"/>
    <w:rsid w:val="00025567"/>
    <w:rsid w:val="00025BD9"/>
    <w:rsid w:val="00025C81"/>
    <w:rsid w:val="00025EEF"/>
    <w:rsid w:val="0002754F"/>
    <w:rsid w:val="00027E6D"/>
    <w:rsid w:val="00027FA6"/>
    <w:rsid w:val="0003003B"/>
    <w:rsid w:val="00030C36"/>
    <w:rsid w:val="00030DE2"/>
    <w:rsid w:val="000310F2"/>
    <w:rsid w:val="00031A09"/>
    <w:rsid w:val="00032A96"/>
    <w:rsid w:val="00032EBA"/>
    <w:rsid w:val="000330AB"/>
    <w:rsid w:val="00033FB4"/>
    <w:rsid w:val="000341C2"/>
    <w:rsid w:val="00034579"/>
    <w:rsid w:val="00034A18"/>
    <w:rsid w:val="00035064"/>
    <w:rsid w:val="00035773"/>
    <w:rsid w:val="00035F09"/>
    <w:rsid w:val="000368F5"/>
    <w:rsid w:val="0003742E"/>
    <w:rsid w:val="00037A67"/>
    <w:rsid w:val="00037EC7"/>
    <w:rsid w:val="00040858"/>
    <w:rsid w:val="0004283A"/>
    <w:rsid w:val="00042CC9"/>
    <w:rsid w:val="00043923"/>
    <w:rsid w:val="00044001"/>
    <w:rsid w:val="000440DB"/>
    <w:rsid w:val="00044942"/>
    <w:rsid w:val="00044E1A"/>
    <w:rsid w:val="00045ED8"/>
    <w:rsid w:val="00045F00"/>
    <w:rsid w:val="000469EC"/>
    <w:rsid w:val="00046B33"/>
    <w:rsid w:val="00046F5E"/>
    <w:rsid w:val="000479D5"/>
    <w:rsid w:val="00047ADA"/>
    <w:rsid w:val="00050081"/>
    <w:rsid w:val="00050569"/>
    <w:rsid w:val="00050DB4"/>
    <w:rsid w:val="00050E05"/>
    <w:rsid w:val="00050FED"/>
    <w:rsid w:val="0005172C"/>
    <w:rsid w:val="000521BE"/>
    <w:rsid w:val="000525C5"/>
    <w:rsid w:val="00054F6D"/>
    <w:rsid w:val="00056BE0"/>
    <w:rsid w:val="000571A6"/>
    <w:rsid w:val="00057911"/>
    <w:rsid w:val="00060660"/>
    <w:rsid w:val="00060762"/>
    <w:rsid w:val="00060910"/>
    <w:rsid w:val="00061D9F"/>
    <w:rsid w:val="00061E4F"/>
    <w:rsid w:val="00062F92"/>
    <w:rsid w:val="00062FD6"/>
    <w:rsid w:val="0006336A"/>
    <w:rsid w:val="00063AC1"/>
    <w:rsid w:val="00063AE8"/>
    <w:rsid w:val="00063C81"/>
    <w:rsid w:val="00064746"/>
    <w:rsid w:val="00065862"/>
    <w:rsid w:val="00066345"/>
    <w:rsid w:val="00066B62"/>
    <w:rsid w:val="00066D42"/>
    <w:rsid w:val="0006782A"/>
    <w:rsid w:val="00067AC8"/>
    <w:rsid w:val="00067B86"/>
    <w:rsid w:val="0007087D"/>
    <w:rsid w:val="00071531"/>
    <w:rsid w:val="0007164D"/>
    <w:rsid w:val="00072193"/>
    <w:rsid w:val="000724DB"/>
    <w:rsid w:val="0007256E"/>
    <w:rsid w:val="0007258A"/>
    <w:rsid w:val="00072835"/>
    <w:rsid w:val="00072954"/>
    <w:rsid w:val="000735C6"/>
    <w:rsid w:val="000746EC"/>
    <w:rsid w:val="000747AE"/>
    <w:rsid w:val="000750E3"/>
    <w:rsid w:val="000751C8"/>
    <w:rsid w:val="000759CC"/>
    <w:rsid w:val="00075DD7"/>
    <w:rsid w:val="000762AB"/>
    <w:rsid w:val="000772F8"/>
    <w:rsid w:val="00077CD6"/>
    <w:rsid w:val="00080339"/>
    <w:rsid w:val="00080712"/>
    <w:rsid w:val="0008157E"/>
    <w:rsid w:val="000820E8"/>
    <w:rsid w:val="0008229B"/>
    <w:rsid w:val="00082CAF"/>
    <w:rsid w:val="00083AEA"/>
    <w:rsid w:val="00083C6C"/>
    <w:rsid w:val="00083DE2"/>
    <w:rsid w:val="0008502C"/>
    <w:rsid w:val="000853A1"/>
    <w:rsid w:val="00085409"/>
    <w:rsid w:val="00087761"/>
    <w:rsid w:val="0008798C"/>
    <w:rsid w:val="000900CB"/>
    <w:rsid w:val="00090231"/>
    <w:rsid w:val="00090572"/>
    <w:rsid w:val="00090588"/>
    <w:rsid w:val="000909C8"/>
    <w:rsid w:val="00090AA6"/>
    <w:rsid w:val="00090F21"/>
    <w:rsid w:val="000916EA"/>
    <w:rsid w:val="00091719"/>
    <w:rsid w:val="0009346A"/>
    <w:rsid w:val="000947A7"/>
    <w:rsid w:val="00095E5B"/>
    <w:rsid w:val="000968DA"/>
    <w:rsid w:val="00096AFB"/>
    <w:rsid w:val="00096D2F"/>
    <w:rsid w:val="00097A77"/>
    <w:rsid w:val="000A0359"/>
    <w:rsid w:val="000A071B"/>
    <w:rsid w:val="000A0821"/>
    <w:rsid w:val="000A1E12"/>
    <w:rsid w:val="000A2248"/>
    <w:rsid w:val="000A3138"/>
    <w:rsid w:val="000A32AC"/>
    <w:rsid w:val="000A34CA"/>
    <w:rsid w:val="000A3FDF"/>
    <w:rsid w:val="000A44D8"/>
    <w:rsid w:val="000A4B38"/>
    <w:rsid w:val="000A4F17"/>
    <w:rsid w:val="000A4F9F"/>
    <w:rsid w:val="000A5D6B"/>
    <w:rsid w:val="000A6630"/>
    <w:rsid w:val="000A6BCC"/>
    <w:rsid w:val="000A7126"/>
    <w:rsid w:val="000A75EC"/>
    <w:rsid w:val="000A76FD"/>
    <w:rsid w:val="000B0143"/>
    <w:rsid w:val="000B06F2"/>
    <w:rsid w:val="000B1462"/>
    <w:rsid w:val="000B17CC"/>
    <w:rsid w:val="000B1D54"/>
    <w:rsid w:val="000B1D5E"/>
    <w:rsid w:val="000B316F"/>
    <w:rsid w:val="000B33B2"/>
    <w:rsid w:val="000B3E76"/>
    <w:rsid w:val="000B469D"/>
    <w:rsid w:val="000B4E73"/>
    <w:rsid w:val="000B67D1"/>
    <w:rsid w:val="000B6EA8"/>
    <w:rsid w:val="000B7352"/>
    <w:rsid w:val="000B7580"/>
    <w:rsid w:val="000B77D0"/>
    <w:rsid w:val="000B7AE2"/>
    <w:rsid w:val="000B7AF3"/>
    <w:rsid w:val="000C0FB5"/>
    <w:rsid w:val="000C1779"/>
    <w:rsid w:val="000C1E78"/>
    <w:rsid w:val="000C201C"/>
    <w:rsid w:val="000C2388"/>
    <w:rsid w:val="000C28F4"/>
    <w:rsid w:val="000C2CCC"/>
    <w:rsid w:val="000C3412"/>
    <w:rsid w:val="000C3436"/>
    <w:rsid w:val="000C38EE"/>
    <w:rsid w:val="000C3A37"/>
    <w:rsid w:val="000C3BE1"/>
    <w:rsid w:val="000C3DCA"/>
    <w:rsid w:val="000C3F52"/>
    <w:rsid w:val="000C41DD"/>
    <w:rsid w:val="000C42AD"/>
    <w:rsid w:val="000C51E6"/>
    <w:rsid w:val="000C59B7"/>
    <w:rsid w:val="000C65B9"/>
    <w:rsid w:val="000C66A7"/>
    <w:rsid w:val="000C66F4"/>
    <w:rsid w:val="000C7221"/>
    <w:rsid w:val="000C7728"/>
    <w:rsid w:val="000C7B09"/>
    <w:rsid w:val="000C7BD6"/>
    <w:rsid w:val="000D0ADD"/>
    <w:rsid w:val="000D1D72"/>
    <w:rsid w:val="000D1F9E"/>
    <w:rsid w:val="000D1FE0"/>
    <w:rsid w:val="000D2A6A"/>
    <w:rsid w:val="000D2BC0"/>
    <w:rsid w:val="000D3209"/>
    <w:rsid w:val="000D3324"/>
    <w:rsid w:val="000D3BA4"/>
    <w:rsid w:val="000D3D0A"/>
    <w:rsid w:val="000D4E81"/>
    <w:rsid w:val="000D5093"/>
    <w:rsid w:val="000D602B"/>
    <w:rsid w:val="000D6054"/>
    <w:rsid w:val="000D6150"/>
    <w:rsid w:val="000D7070"/>
    <w:rsid w:val="000D7F1C"/>
    <w:rsid w:val="000D7FF6"/>
    <w:rsid w:val="000E0406"/>
    <w:rsid w:val="000E1C18"/>
    <w:rsid w:val="000E202D"/>
    <w:rsid w:val="000E29BC"/>
    <w:rsid w:val="000E2D21"/>
    <w:rsid w:val="000E3A0A"/>
    <w:rsid w:val="000E3CA7"/>
    <w:rsid w:val="000E40E3"/>
    <w:rsid w:val="000E4238"/>
    <w:rsid w:val="000E476A"/>
    <w:rsid w:val="000E4B34"/>
    <w:rsid w:val="000E4DFC"/>
    <w:rsid w:val="000E54C1"/>
    <w:rsid w:val="000E5654"/>
    <w:rsid w:val="000E6611"/>
    <w:rsid w:val="000E68C3"/>
    <w:rsid w:val="000E6E4D"/>
    <w:rsid w:val="000E7928"/>
    <w:rsid w:val="000E7C1E"/>
    <w:rsid w:val="000E7E7F"/>
    <w:rsid w:val="000F0571"/>
    <w:rsid w:val="000F07EF"/>
    <w:rsid w:val="000F11C5"/>
    <w:rsid w:val="000F18DD"/>
    <w:rsid w:val="000F1973"/>
    <w:rsid w:val="000F1EE7"/>
    <w:rsid w:val="000F2241"/>
    <w:rsid w:val="000F286C"/>
    <w:rsid w:val="000F2C60"/>
    <w:rsid w:val="000F2CE2"/>
    <w:rsid w:val="000F2DFF"/>
    <w:rsid w:val="000F3384"/>
    <w:rsid w:val="000F3817"/>
    <w:rsid w:val="000F3C6A"/>
    <w:rsid w:val="000F409A"/>
    <w:rsid w:val="000F510F"/>
    <w:rsid w:val="000F5499"/>
    <w:rsid w:val="000F57B2"/>
    <w:rsid w:val="000F5B84"/>
    <w:rsid w:val="000F6814"/>
    <w:rsid w:val="000F6FED"/>
    <w:rsid w:val="000F78C3"/>
    <w:rsid w:val="000F7FB7"/>
    <w:rsid w:val="001000CF"/>
    <w:rsid w:val="00100246"/>
    <w:rsid w:val="0010070C"/>
    <w:rsid w:val="00100E69"/>
    <w:rsid w:val="00101293"/>
    <w:rsid w:val="00101709"/>
    <w:rsid w:val="00101749"/>
    <w:rsid w:val="00101F85"/>
    <w:rsid w:val="001024CA"/>
    <w:rsid w:val="00102512"/>
    <w:rsid w:val="001032BD"/>
    <w:rsid w:val="00103393"/>
    <w:rsid w:val="0010345B"/>
    <w:rsid w:val="0010355C"/>
    <w:rsid w:val="001036AC"/>
    <w:rsid w:val="001036BE"/>
    <w:rsid w:val="001036CE"/>
    <w:rsid w:val="00103D4E"/>
    <w:rsid w:val="00103DD1"/>
    <w:rsid w:val="00103DEB"/>
    <w:rsid w:val="00103E93"/>
    <w:rsid w:val="00104038"/>
    <w:rsid w:val="001041E2"/>
    <w:rsid w:val="00104854"/>
    <w:rsid w:val="00105203"/>
    <w:rsid w:val="00105DB4"/>
    <w:rsid w:val="00106425"/>
    <w:rsid w:val="0010643F"/>
    <w:rsid w:val="0010651C"/>
    <w:rsid w:val="00110457"/>
    <w:rsid w:val="00110D17"/>
    <w:rsid w:val="00110E2E"/>
    <w:rsid w:val="001111EC"/>
    <w:rsid w:val="001117C3"/>
    <w:rsid w:val="00111C8F"/>
    <w:rsid w:val="00112176"/>
    <w:rsid w:val="001127F4"/>
    <w:rsid w:val="00112C33"/>
    <w:rsid w:val="00112D61"/>
    <w:rsid w:val="001131B4"/>
    <w:rsid w:val="001137AC"/>
    <w:rsid w:val="00113AAF"/>
    <w:rsid w:val="00113BBD"/>
    <w:rsid w:val="001143E7"/>
    <w:rsid w:val="00114BC7"/>
    <w:rsid w:val="00116373"/>
    <w:rsid w:val="001163D6"/>
    <w:rsid w:val="00116755"/>
    <w:rsid w:val="00116F29"/>
    <w:rsid w:val="00117814"/>
    <w:rsid w:val="00117DA0"/>
    <w:rsid w:val="0012053F"/>
    <w:rsid w:val="0012054E"/>
    <w:rsid w:val="001207FA"/>
    <w:rsid w:val="00120B33"/>
    <w:rsid w:val="001214CB"/>
    <w:rsid w:val="00121772"/>
    <w:rsid w:val="00121C3B"/>
    <w:rsid w:val="001227EF"/>
    <w:rsid w:val="0012298F"/>
    <w:rsid w:val="00123EB4"/>
    <w:rsid w:val="00124DCD"/>
    <w:rsid w:val="00124E7C"/>
    <w:rsid w:val="0012514B"/>
    <w:rsid w:val="0012542D"/>
    <w:rsid w:val="001256C8"/>
    <w:rsid w:val="0012573C"/>
    <w:rsid w:val="0012712A"/>
    <w:rsid w:val="00127304"/>
    <w:rsid w:val="001273FB"/>
    <w:rsid w:val="00127490"/>
    <w:rsid w:val="00127CCD"/>
    <w:rsid w:val="00130F82"/>
    <w:rsid w:val="00131114"/>
    <w:rsid w:val="001313DC"/>
    <w:rsid w:val="00131E35"/>
    <w:rsid w:val="0013260C"/>
    <w:rsid w:val="0013289C"/>
    <w:rsid w:val="00132F36"/>
    <w:rsid w:val="00133213"/>
    <w:rsid w:val="001332E0"/>
    <w:rsid w:val="001338CC"/>
    <w:rsid w:val="00133CE2"/>
    <w:rsid w:val="0013404A"/>
    <w:rsid w:val="00134560"/>
    <w:rsid w:val="00134EBF"/>
    <w:rsid w:val="001354B2"/>
    <w:rsid w:val="001361C3"/>
    <w:rsid w:val="00137087"/>
    <w:rsid w:val="001370F3"/>
    <w:rsid w:val="00137D1B"/>
    <w:rsid w:val="0014067B"/>
    <w:rsid w:val="00141318"/>
    <w:rsid w:val="00141B70"/>
    <w:rsid w:val="00141F6B"/>
    <w:rsid w:val="0014244D"/>
    <w:rsid w:val="001435C3"/>
    <w:rsid w:val="0014380C"/>
    <w:rsid w:val="00143C75"/>
    <w:rsid w:val="001443A9"/>
    <w:rsid w:val="00144714"/>
    <w:rsid w:val="001453FC"/>
    <w:rsid w:val="00145444"/>
    <w:rsid w:val="00145BE7"/>
    <w:rsid w:val="00150537"/>
    <w:rsid w:val="00151441"/>
    <w:rsid w:val="00151894"/>
    <w:rsid w:val="0015208F"/>
    <w:rsid w:val="00152340"/>
    <w:rsid w:val="001530A8"/>
    <w:rsid w:val="001533E0"/>
    <w:rsid w:val="00153869"/>
    <w:rsid w:val="001547BE"/>
    <w:rsid w:val="00154ED9"/>
    <w:rsid w:val="00154F6C"/>
    <w:rsid w:val="001550B8"/>
    <w:rsid w:val="00156144"/>
    <w:rsid w:val="001561D0"/>
    <w:rsid w:val="001575D5"/>
    <w:rsid w:val="001608E1"/>
    <w:rsid w:val="001609EC"/>
    <w:rsid w:val="00160D1E"/>
    <w:rsid w:val="00161AD6"/>
    <w:rsid w:val="00162B0C"/>
    <w:rsid w:val="0016320B"/>
    <w:rsid w:val="00163586"/>
    <w:rsid w:val="001635E4"/>
    <w:rsid w:val="00164243"/>
    <w:rsid w:val="00164498"/>
    <w:rsid w:val="00164A8A"/>
    <w:rsid w:val="00164DB1"/>
    <w:rsid w:val="001651A4"/>
    <w:rsid w:val="001655E9"/>
    <w:rsid w:val="001658E0"/>
    <w:rsid w:val="00165F84"/>
    <w:rsid w:val="001661E0"/>
    <w:rsid w:val="00166887"/>
    <w:rsid w:val="0016689E"/>
    <w:rsid w:val="00166B81"/>
    <w:rsid w:val="00167766"/>
    <w:rsid w:val="001678B7"/>
    <w:rsid w:val="001703A0"/>
    <w:rsid w:val="001716A4"/>
    <w:rsid w:val="00171850"/>
    <w:rsid w:val="00171BBD"/>
    <w:rsid w:val="0017295A"/>
    <w:rsid w:val="001729F3"/>
    <w:rsid w:val="00172E51"/>
    <w:rsid w:val="0017315F"/>
    <w:rsid w:val="00173818"/>
    <w:rsid w:val="00173EEA"/>
    <w:rsid w:val="001749BA"/>
    <w:rsid w:val="001758C4"/>
    <w:rsid w:val="00176454"/>
    <w:rsid w:val="00176726"/>
    <w:rsid w:val="001779A6"/>
    <w:rsid w:val="00177E7B"/>
    <w:rsid w:val="001800F7"/>
    <w:rsid w:val="00180503"/>
    <w:rsid w:val="001806BB"/>
    <w:rsid w:val="00180A8C"/>
    <w:rsid w:val="001813D7"/>
    <w:rsid w:val="001824FC"/>
    <w:rsid w:val="00182613"/>
    <w:rsid w:val="00183696"/>
    <w:rsid w:val="00183FB6"/>
    <w:rsid w:val="00184370"/>
    <w:rsid w:val="0018485F"/>
    <w:rsid w:val="001848C0"/>
    <w:rsid w:val="00184F4D"/>
    <w:rsid w:val="001850ED"/>
    <w:rsid w:val="0018516D"/>
    <w:rsid w:val="001853EA"/>
    <w:rsid w:val="00185B95"/>
    <w:rsid w:val="00185D0C"/>
    <w:rsid w:val="0018702E"/>
    <w:rsid w:val="001871E9"/>
    <w:rsid w:val="00187230"/>
    <w:rsid w:val="00187534"/>
    <w:rsid w:val="00190205"/>
    <w:rsid w:val="00190470"/>
    <w:rsid w:val="001908CE"/>
    <w:rsid w:val="00190CC2"/>
    <w:rsid w:val="00190DE5"/>
    <w:rsid w:val="00190EED"/>
    <w:rsid w:val="00191EF7"/>
    <w:rsid w:val="00193223"/>
    <w:rsid w:val="0019375E"/>
    <w:rsid w:val="00193C2A"/>
    <w:rsid w:val="00194444"/>
    <w:rsid w:val="00194781"/>
    <w:rsid w:val="00194D25"/>
    <w:rsid w:val="00194EB2"/>
    <w:rsid w:val="001953D3"/>
    <w:rsid w:val="0019593B"/>
    <w:rsid w:val="00197060"/>
    <w:rsid w:val="0019786D"/>
    <w:rsid w:val="00197A9C"/>
    <w:rsid w:val="001A03D0"/>
    <w:rsid w:val="001A06BB"/>
    <w:rsid w:val="001A07D0"/>
    <w:rsid w:val="001A1870"/>
    <w:rsid w:val="001A1C57"/>
    <w:rsid w:val="001A1E9B"/>
    <w:rsid w:val="001A203D"/>
    <w:rsid w:val="001A287F"/>
    <w:rsid w:val="001A387F"/>
    <w:rsid w:val="001A4411"/>
    <w:rsid w:val="001A44F1"/>
    <w:rsid w:val="001A55CD"/>
    <w:rsid w:val="001A56E3"/>
    <w:rsid w:val="001A59BD"/>
    <w:rsid w:val="001A5F1F"/>
    <w:rsid w:val="001A63A4"/>
    <w:rsid w:val="001A6C9C"/>
    <w:rsid w:val="001A767A"/>
    <w:rsid w:val="001A7C68"/>
    <w:rsid w:val="001B0600"/>
    <w:rsid w:val="001B0698"/>
    <w:rsid w:val="001B07B8"/>
    <w:rsid w:val="001B1EEF"/>
    <w:rsid w:val="001B2BA7"/>
    <w:rsid w:val="001B2D7C"/>
    <w:rsid w:val="001B32C9"/>
    <w:rsid w:val="001B3383"/>
    <w:rsid w:val="001B348E"/>
    <w:rsid w:val="001B35EB"/>
    <w:rsid w:val="001B3645"/>
    <w:rsid w:val="001B3923"/>
    <w:rsid w:val="001B3C11"/>
    <w:rsid w:val="001B3C37"/>
    <w:rsid w:val="001B3DAD"/>
    <w:rsid w:val="001B457B"/>
    <w:rsid w:val="001B4E73"/>
    <w:rsid w:val="001B52AD"/>
    <w:rsid w:val="001B595A"/>
    <w:rsid w:val="001B632A"/>
    <w:rsid w:val="001B6F2E"/>
    <w:rsid w:val="001B703B"/>
    <w:rsid w:val="001B748A"/>
    <w:rsid w:val="001B7B1A"/>
    <w:rsid w:val="001C0540"/>
    <w:rsid w:val="001C05CD"/>
    <w:rsid w:val="001C0AEB"/>
    <w:rsid w:val="001C1979"/>
    <w:rsid w:val="001C1C9E"/>
    <w:rsid w:val="001C2AE6"/>
    <w:rsid w:val="001C2B11"/>
    <w:rsid w:val="001C44BD"/>
    <w:rsid w:val="001C4592"/>
    <w:rsid w:val="001C4722"/>
    <w:rsid w:val="001C4A49"/>
    <w:rsid w:val="001C51B7"/>
    <w:rsid w:val="001C5679"/>
    <w:rsid w:val="001C6D4B"/>
    <w:rsid w:val="001C73A6"/>
    <w:rsid w:val="001C77D6"/>
    <w:rsid w:val="001C79C0"/>
    <w:rsid w:val="001D008B"/>
    <w:rsid w:val="001D0C11"/>
    <w:rsid w:val="001D1625"/>
    <w:rsid w:val="001D1758"/>
    <w:rsid w:val="001D2569"/>
    <w:rsid w:val="001D2643"/>
    <w:rsid w:val="001D3396"/>
    <w:rsid w:val="001D3419"/>
    <w:rsid w:val="001D35DD"/>
    <w:rsid w:val="001D41B0"/>
    <w:rsid w:val="001D471C"/>
    <w:rsid w:val="001D4878"/>
    <w:rsid w:val="001D5424"/>
    <w:rsid w:val="001D5983"/>
    <w:rsid w:val="001D6230"/>
    <w:rsid w:val="001D7732"/>
    <w:rsid w:val="001D7AED"/>
    <w:rsid w:val="001E0041"/>
    <w:rsid w:val="001E0C89"/>
    <w:rsid w:val="001E1148"/>
    <w:rsid w:val="001E1449"/>
    <w:rsid w:val="001E1924"/>
    <w:rsid w:val="001E227D"/>
    <w:rsid w:val="001E22C6"/>
    <w:rsid w:val="001E2485"/>
    <w:rsid w:val="001E2FB8"/>
    <w:rsid w:val="001E3954"/>
    <w:rsid w:val="001E3E1B"/>
    <w:rsid w:val="001E5212"/>
    <w:rsid w:val="001E56BE"/>
    <w:rsid w:val="001E5ACE"/>
    <w:rsid w:val="001E5CB5"/>
    <w:rsid w:val="001E6150"/>
    <w:rsid w:val="001E655C"/>
    <w:rsid w:val="001E7469"/>
    <w:rsid w:val="001E77A7"/>
    <w:rsid w:val="001E7ABD"/>
    <w:rsid w:val="001E7DFF"/>
    <w:rsid w:val="001F0A55"/>
    <w:rsid w:val="001F0C77"/>
    <w:rsid w:val="001F0DDE"/>
    <w:rsid w:val="001F139B"/>
    <w:rsid w:val="001F14AA"/>
    <w:rsid w:val="001F173E"/>
    <w:rsid w:val="001F18F1"/>
    <w:rsid w:val="001F192E"/>
    <w:rsid w:val="001F19C8"/>
    <w:rsid w:val="001F1E71"/>
    <w:rsid w:val="001F28CB"/>
    <w:rsid w:val="001F39A9"/>
    <w:rsid w:val="001F3EF6"/>
    <w:rsid w:val="001F4BF2"/>
    <w:rsid w:val="001F4D13"/>
    <w:rsid w:val="001F54AA"/>
    <w:rsid w:val="001F5791"/>
    <w:rsid w:val="001F6888"/>
    <w:rsid w:val="001F6C78"/>
    <w:rsid w:val="001F7168"/>
    <w:rsid w:val="001F72A9"/>
    <w:rsid w:val="001F737C"/>
    <w:rsid w:val="001F762A"/>
    <w:rsid w:val="001F7BA5"/>
    <w:rsid w:val="001F7E11"/>
    <w:rsid w:val="00200554"/>
    <w:rsid w:val="00200B18"/>
    <w:rsid w:val="00200BCC"/>
    <w:rsid w:val="00201210"/>
    <w:rsid w:val="002028BB"/>
    <w:rsid w:val="00202D51"/>
    <w:rsid w:val="002037CD"/>
    <w:rsid w:val="002038E3"/>
    <w:rsid w:val="00203C4E"/>
    <w:rsid w:val="00203F62"/>
    <w:rsid w:val="002047FF"/>
    <w:rsid w:val="002049AF"/>
    <w:rsid w:val="002054B3"/>
    <w:rsid w:val="00205B89"/>
    <w:rsid w:val="002061CD"/>
    <w:rsid w:val="00206912"/>
    <w:rsid w:val="002073DE"/>
    <w:rsid w:val="0020793A"/>
    <w:rsid w:val="00207AD7"/>
    <w:rsid w:val="00207DEB"/>
    <w:rsid w:val="00210351"/>
    <w:rsid w:val="002110E2"/>
    <w:rsid w:val="00211572"/>
    <w:rsid w:val="0021169A"/>
    <w:rsid w:val="00211C7A"/>
    <w:rsid w:val="0021290F"/>
    <w:rsid w:val="00214C96"/>
    <w:rsid w:val="00215B49"/>
    <w:rsid w:val="00216194"/>
    <w:rsid w:val="00216282"/>
    <w:rsid w:val="002168A5"/>
    <w:rsid w:val="002172A4"/>
    <w:rsid w:val="00217A68"/>
    <w:rsid w:val="00217D8D"/>
    <w:rsid w:val="00220071"/>
    <w:rsid w:val="00220448"/>
    <w:rsid w:val="00220B0A"/>
    <w:rsid w:val="00221026"/>
    <w:rsid w:val="002224C9"/>
    <w:rsid w:val="00222623"/>
    <w:rsid w:val="00222718"/>
    <w:rsid w:val="00222F00"/>
    <w:rsid w:val="0022321B"/>
    <w:rsid w:val="00223711"/>
    <w:rsid w:val="00223D48"/>
    <w:rsid w:val="00223EF7"/>
    <w:rsid w:val="002240F4"/>
    <w:rsid w:val="00224374"/>
    <w:rsid w:val="00224D39"/>
    <w:rsid w:val="00224D9B"/>
    <w:rsid w:val="00224E3E"/>
    <w:rsid w:val="0022514F"/>
    <w:rsid w:val="002259AA"/>
    <w:rsid w:val="00226480"/>
    <w:rsid w:val="00226684"/>
    <w:rsid w:val="00226935"/>
    <w:rsid w:val="002269DA"/>
    <w:rsid w:val="00226B26"/>
    <w:rsid w:val="00226BFC"/>
    <w:rsid w:val="00227CF8"/>
    <w:rsid w:val="00230AB0"/>
    <w:rsid w:val="00230EB3"/>
    <w:rsid w:val="00230FCD"/>
    <w:rsid w:val="00231728"/>
    <w:rsid w:val="00231974"/>
    <w:rsid w:val="002319B1"/>
    <w:rsid w:val="00231BAD"/>
    <w:rsid w:val="00232D1D"/>
    <w:rsid w:val="002330CA"/>
    <w:rsid w:val="00233679"/>
    <w:rsid w:val="002336FC"/>
    <w:rsid w:val="002337F5"/>
    <w:rsid w:val="0023409D"/>
    <w:rsid w:val="00234804"/>
    <w:rsid w:val="0023577E"/>
    <w:rsid w:val="002358A6"/>
    <w:rsid w:val="00237D1D"/>
    <w:rsid w:val="00237FCB"/>
    <w:rsid w:val="0024006B"/>
    <w:rsid w:val="0024058F"/>
    <w:rsid w:val="002406D0"/>
    <w:rsid w:val="002410C4"/>
    <w:rsid w:val="00242186"/>
    <w:rsid w:val="002426C7"/>
    <w:rsid w:val="00242910"/>
    <w:rsid w:val="00242925"/>
    <w:rsid w:val="0024329D"/>
    <w:rsid w:val="00243438"/>
    <w:rsid w:val="002436EB"/>
    <w:rsid w:val="002440B5"/>
    <w:rsid w:val="002442B8"/>
    <w:rsid w:val="002444B0"/>
    <w:rsid w:val="00244710"/>
    <w:rsid w:val="00244C90"/>
    <w:rsid w:val="00244CCE"/>
    <w:rsid w:val="00244F3E"/>
    <w:rsid w:val="00246469"/>
    <w:rsid w:val="002464D6"/>
    <w:rsid w:val="002465E1"/>
    <w:rsid w:val="00246606"/>
    <w:rsid w:val="00246630"/>
    <w:rsid w:val="00246698"/>
    <w:rsid w:val="00246DCA"/>
    <w:rsid w:val="00246F49"/>
    <w:rsid w:val="002477CA"/>
    <w:rsid w:val="00247A77"/>
    <w:rsid w:val="00247BE1"/>
    <w:rsid w:val="00247CE7"/>
    <w:rsid w:val="00250382"/>
    <w:rsid w:val="00250D0B"/>
    <w:rsid w:val="00251E53"/>
    <w:rsid w:val="00251F3D"/>
    <w:rsid w:val="00252373"/>
    <w:rsid w:val="002536F3"/>
    <w:rsid w:val="002539CB"/>
    <w:rsid w:val="00253BAA"/>
    <w:rsid w:val="00253D33"/>
    <w:rsid w:val="00254467"/>
    <w:rsid w:val="00254838"/>
    <w:rsid w:val="00254E42"/>
    <w:rsid w:val="00256FB1"/>
    <w:rsid w:val="00256FF2"/>
    <w:rsid w:val="00257367"/>
    <w:rsid w:val="00257F86"/>
    <w:rsid w:val="002607F0"/>
    <w:rsid w:val="002609B0"/>
    <w:rsid w:val="00260BB8"/>
    <w:rsid w:val="00260BFC"/>
    <w:rsid w:val="00260FFA"/>
    <w:rsid w:val="0026145E"/>
    <w:rsid w:val="002614D7"/>
    <w:rsid w:val="0026153D"/>
    <w:rsid w:val="00262803"/>
    <w:rsid w:val="00262BB4"/>
    <w:rsid w:val="00262BED"/>
    <w:rsid w:val="00262D6F"/>
    <w:rsid w:val="00262EAF"/>
    <w:rsid w:val="00263618"/>
    <w:rsid w:val="00263F31"/>
    <w:rsid w:val="0026429A"/>
    <w:rsid w:val="002644DA"/>
    <w:rsid w:val="002647C8"/>
    <w:rsid w:val="00264C69"/>
    <w:rsid w:val="00265528"/>
    <w:rsid w:val="002659F8"/>
    <w:rsid w:val="00265CE7"/>
    <w:rsid w:val="00265FD5"/>
    <w:rsid w:val="00266CC2"/>
    <w:rsid w:val="00266D1B"/>
    <w:rsid w:val="002673BD"/>
    <w:rsid w:val="0026751F"/>
    <w:rsid w:val="002675B5"/>
    <w:rsid w:val="00267946"/>
    <w:rsid w:val="00267F93"/>
    <w:rsid w:val="00270163"/>
    <w:rsid w:val="00271B13"/>
    <w:rsid w:val="00272206"/>
    <w:rsid w:val="0027226D"/>
    <w:rsid w:val="0027291F"/>
    <w:rsid w:val="00273CDE"/>
    <w:rsid w:val="00273D1A"/>
    <w:rsid w:val="00273F15"/>
    <w:rsid w:val="002741BA"/>
    <w:rsid w:val="00274618"/>
    <w:rsid w:val="002747D9"/>
    <w:rsid w:val="002748AF"/>
    <w:rsid w:val="00275683"/>
    <w:rsid w:val="00275C5C"/>
    <w:rsid w:val="00276372"/>
    <w:rsid w:val="00276696"/>
    <w:rsid w:val="00276972"/>
    <w:rsid w:val="00277447"/>
    <w:rsid w:val="002802D0"/>
    <w:rsid w:val="002808C4"/>
    <w:rsid w:val="00280D5F"/>
    <w:rsid w:val="0028150B"/>
    <w:rsid w:val="0028154C"/>
    <w:rsid w:val="002816A2"/>
    <w:rsid w:val="0028173F"/>
    <w:rsid w:val="00281DE4"/>
    <w:rsid w:val="00282027"/>
    <w:rsid w:val="002823E5"/>
    <w:rsid w:val="002827AD"/>
    <w:rsid w:val="00283659"/>
    <w:rsid w:val="00283A08"/>
    <w:rsid w:val="002842C3"/>
    <w:rsid w:val="002843BC"/>
    <w:rsid w:val="00284A52"/>
    <w:rsid w:val="00284E03"/>
    <w:rsid w:val="002864AF"/>
    <w:rsid w:val="00286F83"/>
    <w:rsid w:val="00287207"/>
    <w:rsid w:val="00287D28"/>
    <w:rsid w:val="00287D66"/>
    <w:rsid w:val="002908A0"/>
    <w:rsid w:val="00290C7D"/>
    <w:rsid w:val="00290CB3"/>
    <w:rsid w:val="0029137D"/>
    <w:rsid w:val="002916A4"/>
    <w:rsid w:val="00291C83"/>
    <w:rsid w:val="002923CE"/>
    <w:rsid w:val="00292FFE"/>
    <w:rsid w:val="0029320F"/>
    <w:rsid w:val="00294054"/>
    <w:rsid w:val="00294DCC"/>
    <w:rsid w:val="0029519D"/>
    <w:rsid w:val="00296788"/>
    <w:rsid w:val="00296B88"/>
    <w:rsid w:val="00296D4B"/>
    <w:rsid w:val="00296E69"/>
    <w:rsid w:val="0029713D"/>
    <w:rsid w:val="0029782F"/>
    <w:rsid w:val="00297DB7"/>
    <w:rsid w:val="002A071A"/>
    <w:rsid w:val="002A0E0B"/>
    <w:rsid w:val="002A15A1"/>
    <w:rsid w:val="002A1A1A"/>
    <w:rsid w:val="002A1BB0"/>
    <w:rsid w:val="002A1BED"/>
    <w:rsid w:val="002A27BA"/>
    <w:rsid w:val="002A2F11"/>
    <w:rsid w:val="002A34BD"/>
    <w:rsid w:val="002A3747"/>
    <w:rsid w:val="002A3C3F"/>
    <w:rsid w:val="002A3D05"/>
    <w:rsid w:val="002A3F0F"/>
    <w:rsid w:val="002A499B"/>
    <w:rsid w:val="002A5C1D"/>
    <w:rsid w:val="002A6336"/>
    <w:rsid w:val="002B27EE"/>
    <w:rsid w:val="002B2AE8"/>
    <w:rsid w:val="002B2B09"/>
    <w:rsid w:val="002B2EF3"/>
    <w:rsid w:val="002B3707"/>
    <w:rsid w:val="002B39A7"/>
    <w:rsid w:val="002B3F29"/>
    <w:rsid w:val="002B4CF4"/>
    <w:rsid w:val="002B598A"/>
    <w:rsid w:val="002B64A8"/>
    <w:rsid w:val="002B65BE"/>
    <w:rsid w:val="002B69A4"/>
    <w:rsid w:val="002B6BCD"/>
    <w:rsid w:val="002B6EF5"/>
    <w:rsid w:val="002B7D82"/>
    <w:rsid w:val="002C0968"/>
    <w:rsid w:val="002C1044"/>
    <w:rsid w:val="002C1459"/>
    <w:rsid w:val="002C1510"/>
    <w:rsid w:val="002C1C78"/>
    <w:rsid w:val="002C1F53"/>
    <w:rsid w:val="002C22FF"/>
    <w:rsid w:val="002C2950"/>
    <w:rsid w:val="002C3019"/>
    <w:rsid w:val="002C347A"/>
    <w:rsid w:val="002C3DC5"/>
    <w:rsid w:val="002C3E94"/>
    <w:rsid w:val="002C47F7"/>
    <w:rsid w:val="002C559D"/>
    <w:rsid w:val="002C6F51"/>
    <w:rsid w:val="002C7112"/>
    <w:rsid w:val="002C725C"/>
    <w:rsid w:val="002C7A5F"/>
    <w:rsid w:val="002C7EDC"/>
    <w:rsid w:val="002D0970"/>
    <w:rsid w:val="002D1476"/>
    <w:rsid w:val="002D18A3"/>
    <w:rsid w:val="002D2C49"/>
    <w:rsid w:val="002D2F0A"/>
    <w:rsid w:val="002D3547"/>
    <w:rsid w:val="002D38EF"/>
    <w:rsid w:val="002D4BC9"/>
    <w:rsid w:val="002D4DD4"/>
    <w:rsid w:val="002D5228"/>
    <w:rsid w:val="002D5331"/>
    <w:rsid w:val="002D5BCF"/>
    <w:rsid w:val="002D67D5"/>
    <w:rsid w:val="002D698F"/>
    <w:rsid w:val="002D78E5"/>
    <w:rsid w:val="002D7B66"/>
    <w:rsid w:val="002D7D09"/>
    <w:rsid w:val="002D7E75"/>
    <w:rsid w:val="002E001E"/>
    <w:rsid w:val="002E0540"/>
    <w:rsid w:val="002E05B5"/>
    <w:rsid w:val="002E0A89"/>
    <w:rsid w:val="002E0BAF"/>
    <w:rsid w:val="002E162E"/>
    <w:rsid w:val="002E165D"/>
    <w:rsid w:val="002E1BC4"/>
    <w:rsid w:val="002E1E56"/>
    <w:rsid w:val="002E358B"/>
    <w:rsid w:val="002E4381"/>
    <w:rsid w:val="002E4439"/>
    <w:rsid w:val="002E552E"/>
    <w:rsid w:val="002E59C7"/>
    <w:rsid w:val="002E5D74"/>
    <w:rsid w:val="002E5DE7"/>
    <w:rsid w:val="002E608E"/>
    <w:rsid w:val="002E6B05"/>
    <w:rsid w:val="002E702A"/>
    <w:rsid w:val="002E7931"/>
    <w:rsid w:val="002E79BA"/>
    <w:rsid w:val="002E7C13"/>
    <w:rsid w:val="002E7DAD"/>
    <w:rsid w:val="002F08EF"/>
    <w:rsid w:val="002F0AD7"/>
    <w:rsid w:val="002F1306"/>
    <w:rsid w:val="002F165F"/>
    <w:rsid w:val="002F1946"/>
    <w:rsid w:val="002F334A"/>
    <w:rsid w:val="002F37DA"/>
    <w:rsid w:val="002F5AD9"/>
    <w:rsid w:val="002F5BF7"/>
    <w:rsid w:val="002F6407"/>
    <w:rsid w:val="002F7A7F"/>
    <w:rsid w:val="00302014"/>
    <w:rsid w:val="003020C9"/>
    <w:rsid w:val="00302A7A"/>
    <w:rsid w:val="00302C7D"/>
    <w:rsid w:val="00302F59"/>
    <w:rsid w:val="003030BA"/>
    <w:rsid w:val="00304006"/>
    <w:rsid w:val="00304B64"/>
    <w:rsid w:val="00305078"/>
    <w:rsid w:val="00306643"/>
    <w:rsid w:val="003066F3"/>
    <w:rsid w:val="00306B65"/>
    <w:rsid w:val="00306EED"/>
    <w:rsid w:val="00307783"/>
    <w:rsid w:val="00307F10"/>
    <w:rsid w:val="00307FDD"/>
    <w:rsid w:val="00310565"/>
    <w:rsid w:val="003108E7"/>
    <w:rsid w:val="00310D4F"/>
    <w:rsid w:val="00310DE7"/>
    <w:rsid w:val="00311DC3"/>
    <w:rsid w:val="0031279E"/>
    <w:rsid w:val="00313466"/>
    <w:rsid w:val="0031359B"/>
    <w:rsid w:val="00313C03"/>
    <w:rsid w:val="003145AB"/>
    <w:rsid w:val="0031475D"/>
    <w:rsid w:val="00314BD9"/>
    <w:rsid w:val="00316122"/>
    <w:rsid w:val="0031623E"/>
    <w:rsid w:val="00316F9C"/>
    <w:rsid w:val="00320462"/>
    <w:rsid w:val="0032046B"/>
    <w:rsid w:val="00320872"/>
    <w:rsid w:val="003209E7"/>
    <w:rsid w:val="00320B54"/>
    <w:rsid w:val="00320C18"/>
    <w:rsid w:val="00320E3F"/>
    <w:rsid w:val="0032142B"/>
    <w:rsid w:val="0032186D"/>
    <w:rsid w:val="003222C7"/>
    <w:rsid w:val="00322FAC"/>
    <w:rsid w:val="00323B74"/>
    <w:rsid w:val="00323CD8"/>
    <w:rsid w:val="003244B7"/>
    <w:rsid w:val="003245E9"/>
    <w:rsid w:val="00324ECA"/>
    <w:rsid w:val="00325720"/>
    <w:rsid w:val="00325ED6"/>
    <w:rsid w:val="00326344"/>
    <w:rsid w:val="00326A91"/>
    <w:rsid w:val="0032700B"/>
    <w:rsid w:val="00327E8E"/>
    <w:rsid w:val="00327FFE"/>
    <w:rsid w:val="00330284"/>
    <w:rsid w:val="00330B98"/>
    <w:rsid w:val="00330FA6"/>
    <w:rsid w:val="003310BB"/>
    <w:rsid w:val="00331345"/>
    <w:rsid w:val="0033178B"/>
    <w:rsid w:val="00332380"/>
    <w:rsid w:val="00332706"/>
    <w:rsid w:val="0033316A"/>
    <w:rsid w:val="00333B30"/>
    <w:rsid w:val="00333FA7"/>
    <w:rsid w:val="003341C3"/>
    <w:rsid w:val="003343CA"/>
    <w:rsid w:val="003347E0"/>
    <w:rsid w:val="003348EE"/>
    <w:rsid w:val="00334BF5"/>
    <w:rsid w:val="00334C70"/>
    <w:rsid w:val="0033501A"/>
    <w:rsid w:val="003351AA"/>
    <w:rsid w:val="00335343"/>
    <w:rsid w:val="003356F7"/>
    <w:rsid w:val="00335791"/>
    <w:rsid w:val="003358DE"/>
    <w:rsid w:val="00335BAD"/>
    <w:rsid w:val="00336CE8"/>
    <w:rsid w:val="003373C4"/>
    <w:rsid w:val="00337604"/>
    <w:rsid w:val="00337644"/>
    <w:rsid w:val="00340926"/>
    <w:rsid w:val="003409BC"/>
    <w:rsid w:val="00340D19"/>
    <w:rsid w:val="00341244"/>
    <w:rsid w:val="00341256"/>
    <w:rsid w:val="00341CAC"/>
    <w:rsid w:val="00341CDE"/>
    <w:rsid w:val="00341E55"/>
    <w:rsid w:val="0034356D"/>
    <w:rsid w:val="00343718"/>
    <w:rsid w:val="00344406"/>
    <w:rsid w:val="0034497A"/>
    <w:rsid w:val="00344A9B"/>
    <w:rsid w:val="00345380"/>
    <w:rsid w:val="00347569"/>
    <w:rsid w:val="003520AA"/>
    <w:rsid w:val="00352157"/>
    <w:rsid w:val="00352807"/>
    <w:rsid w:val="00352AE8"/>
    <w:rsid w:val="00352CAF"/>
    <w:rsid w:val="0035332D"/>
    <w:rsid w:val="00354227"/>
    <w:rsid w:val="003544CD"/>
    <w:rsid w:val="0035476A"/>
    <w:rsid w:val="00354814"/>
    <w:rsid w:val="00354B5A"/>
    <w:rsid w:val="00354E59"/>
    <w:rsid w:val="00354E7A"/>
    <w:rsid w:val="00356630"/>
    <w:rsid w:val="003569A1"/>
    <w:rsid w:val="003575BD"/>
    <w:rsid w:val="003577D6"/>
    <w:rsid w:val="003604AC"/>
    <w:rsid w:val="003607F6"/>
    <w:rsid w:val="00360956"/>
    <w:rsid w:val="00360963"/>
    <w:rsid w:val="00360A3B"/>
    <w:rsid w:val="00360BED"/>
    <w:rsid w:val="00360C13"/>
    <w:rsid w:val="003611CC"/>
    <w:rsid w:val="00361325"/>
    <w:rsid w:val="00361F1C"/>
    <w:rsid w:val="00362337"/>
    <w:rsid w:val="00362B11"/>
    <w:rsid w:val="0036428C"/>
    <w:rsid w:val="0036431B"/>
    <w:rsid w:val="0036583F"/>
    <w:rsid w:val="0036616A"/>
    <w:rsid w:val="003672CC"/>
    <w:rsid w:val="00367605"/>
    <w:rsid w:val="00367999"/>
    <w:rsid w:val="00367A93"/>
    <w:rsid w:val="00367BE5"/>
    <w:rsid w:val="00367D72"/>
    <w:rsid w:val="003701A0"/>
    <w:rsid w:val="00370A04"/>
    <w:rsid w:val="00370FD4"/>
    <w:rsid w:val="003724A2"/>
    <w:rsid w:val="00372E43"/>
    <w:rsid w:val="00374112"/>
    <w:rsid w:val="00374D59"/>
    <w:rsid w:val="00374F63"/>
    <w:rsid w:val="00375326"/>
    <w:rsid w:val="0037584C"/>
    <w:rsid w:val="00375903"/>
    <w:rsid w:val="00375EC9"/>
    <w:rsid w:val="003762B2"/>
    <w:rsid w:val="00376AB8"/>
    <w:rsid w:val="00376CF0"/>
    <w:rsid w:val="00377A3B"/>
    <w:rsid w:val="00380B30"/>
    <w:rsid w:val="0038119A"/>
    <w:rsid w:val="003816D2"/>
    <w:rsid w:val="00381DAB"/>
    <w:rsid w:val="00381E2E"/>
    <w:rsid w:val="00382565"/>
    <w:rsid w:val="003827A4"/>
    <w:rsid w:val="00382E09"/>
    <w:rsid w:val="00383479"/>
    <w:rsid w:val="00383620"/>
    <w:rsid w:val="00383D84"/>
    <w:rsid w:val="00383FC4"/>
    <w:rsid w:val="003848F0"/>
    <w:rsid w:val="003851EF"/>
    <w:rsid w:val="00385598"/>
    <w:rsid w:val="00385ABE"/>
    <w:rsid w:val="00386584"/>
    <w:rsid w:val="0038665A"/>
    <w:rsid w:val="00386BE5"/>
    <w:rsid w:val="00387218"/>
    <w:rsid w:val="00387B14"/>
    <w:rsid w:val="00387F2F"/>
    <w:rsid w:val="00387FBB"/>
    <w:rsid w:val="0039026C"/>
    <w:rsid w:val="003911C1"/>
    <w:rsid w:val="00391C84"/>
    <w:rsid w:val="003923FA"/>
    <w:rsid w:val="003924C1"/>
    <w:rsid w:val="00392A10"/>
    <w:rsid w:val="003933E4"/>
    <w:rsid w:val="00393698"/>
    <w:rsid w:val="003945ED"/>
    <w:rsid w:val="0039568D"/>
    <w:rsid w:val="003957CF"/>
    <w:rsid w:val="00397467"/>
    <w:rsid w:val="00397A25"/>
    <w:rsid w:val="003A009D"/>
    <w:rsid w:val="003A10BC"/>
    <w:rsid w:val="003A262A"/>
    <w:rsid w:val="003A2B9B"/>
    <w:rsid w:val="003A38E3"/>
    <w:rsid w:val="003A4DF2"/>
    <w:rsid w:val="003A506A"/>
    <w:rsid w:val="003A529A"/>
    <w:rsid w:val="003A5943"/>
    <w:rsid w:val="003A5E9E"/>
    <w:rsid w:val="003A6236"/>
    <w:rsid w:val="003A6E0B"/>
    <w:rsid w:val="003A7792"/>
    <w:rsid w:val="003A7962"/>
    <w:rsid w:val="003A7B8F"/>
    <w:rsid w:val="003A7DE0"/>
    <w:rsid w:val="003A7E98"/>
    <w:rsid w:val="003B029E"/>
    <w:rsid w:val="003B0F7B"/>
    <w:rsid w:val="003B13D4"/>
    <w:rsid w:val="003B15F7"/>
    <w:rsid w:val="003B1F04"/>
    <w:rsid w:val="003B2747"/>
    <w:rsid w:val="003B4001"/>
    <w:rsid w:val="003B60AE"/>
    <w:rsid w:val="003B6100"/>
    <w:rsid w:val="003B67FB"/>
    <w:rsid w:val="003B698A"/>
    <w:rsid w:val="003B6B0B"/>
    <w:rsid w:val="003B7A44"/>
    <w:rsid w:val="003B7B0F"/>
    <w:rsid w:val="003B7CDB"/>
    <w:rsid w:val="003C0228"/>
    <w:rsid w:val="003C0600"/>
    <w:rsid w:val="003C21D6"/>
    <w:rsid w:val="003C2405"/>
    <w:rsid w:val="003C25C3"/>
    <w:rsid w:val="003C27FD"/>
    <w:rsid w:val="003C2BE9"/>
    <w:rsid w:val="003C3AF1"/>
    <w:rsid w:val="003C422C"/>
    <w:rsid w:val="003C4456"/>
    <w:rsid w:val="003C449A"/>
    <w:rsid w:val="003C5719"/>
    <w:rsid w:val="003C5C5D"/>
    <w:rsid w:val="003C66F8"/>
    <w:rsid w:val="003C672D"/>
    <w:rsid w:val="003C6CA3"/>
    <w:rsid w:val="003C70CC"/>
    <w:rsid w:val="003C7A75"/>
    <w:rsid w:val="003C7B12"/>
    <w:rsid w:val="003C7CE9"/>
    <w:rsid w:val="003C7ECB"/>
    <w:rsid w:val="003D0255"/>
    <w:rsid w:val="003D0BDC"/>
    <w:rsid w:val="003D1388"/>
    <w:rsid w:val="003D155D"/>
    <w:rsid w:val="003D16F0"/>
    <w:rsid w:val="003D1E7E"/>
    <w:rsid w:val="003D207A"/>
    <w:rsid w:val="003D2251"/>
    <w:rsid w:val="003D238C"/>
    <w:rsid w:val="003D2446"/>
    <w:rsid w:val="003D2978"/>
    <w:rsid w:val="003D2FBB"/>
    <w:rsid w:val="003D3363"/>
    <w:rsid w:val="003D4F31"/>
    <w:rsid w:val="003D555A"/>
    <w:rsid w:val="003D5588"/>
    <w:rsid w:val="003D6A23"/>
    <w:rsid w:val="003D6E9D"/>
    <w:rsid w:val="003D7042"/>
    <w:rsid w:val="003D709E"/>
    <w:rsid w:val="003D7645"/>
    <w:rsid w:val="003E0217"/>
    <w:rsid w:val="003E02C4"/>
    <w:rsid w:val="003E03C3"/>
    <w:rsid w:val="003E0843"/>
    <w:rsid w:val="003E0D49"/>
    <w:rsid w:val="003E1EDC"/>
    <w:rsid w:val="003E20AB"/>
    <w:rsid w:val="003E242A"/>
    <w:rsid w:val="003E24F0"/>
    <w:rsid w:val="003E29BD"/>
    <w:rsid w:val="003E2B4C"/>
    <w:rsid w:val="003E2F3C"/>
    <w:rsid w:val="003E3572"/>
    <w:rsid w:val="003E3574"/>
    <w:rsid w:val="003E36BA"/>
    <w:rsid w:val="003E3803"/>
    <w:rsid w:val="003E4139"/>
    <w:rsid w:val="003E4F79"/>
    <w:rsid w:val="003E5C29"/>
    <w:rsid w:val="003E62C4"/>
    <w:rsid w:val="003E79E6"/>
    <w:rsid w:val="003F0FCC"/>
    <w:rsid w:val="003F1084"/>
    <w:rsid w:val="003F22EE"/>
    <w:rsid w:val="003F2403"/>
    <w:rsid w:val="003F24AD"/>
    <w:rsid w:val="003F2F20"/>
    <w:rsid w:val="003F320B"/>
    <w:rsid w:val="003F38D2"/>
    <w:rsid w:val="003F39D3"/>
    <w:rsid w:val="003F5528"/>
    <w:rsid w:val="003F5758"/>
    <w:rsid w:val="003F57BD"/>
    <w:rsid w:val="003F5977"/>
    <w:rsid w:val="003F5ACC"/>
    <w:rsid w:val="003F5C45"/>
    <w:rsid w:val="003F6994"/>
    <w:rsid w:val="003F6CBF"/>
    <w:rsid w:val="003F706F"/>
    <w:rsid w:val="003F763E"/>
    <w:rsid w:val="003F7DDA"/>
    <w:rsid w:val="003F7FFA"/>
    <w:rsid w:val="004001C8"/>
    <w:rsid w:val="00400C94"/>
    <w:rsid w:val="00401185"/>
    <w:rsid w:val="004018B7"/>
    <w:rsid w:val="004018D2"/>
    <w:rsid w:val="00401C38"/>
    <w:rsid w:val="004025D0"/>
    <w:rsid w:val="00402894"/>
    <w:rsid w:val="0040332E"/>
    <w:rsid w:val="00403B93"/>
    <w:rsid w:val="00404258"/>
    <w:rsid w:val="004042B6"/>
    <w:rsid w:val="004042D9"/>
    <w:rsid w:val="004045F6"/>
    <w:rsid w:val="00404B0F"/>
    <w:rsid w:val="004051FB"/>
    <w:rsid w:val="00405D40"/>
    <w:rsid w:val="004064EF"/>
    <w:rsid w:val="004070CA"/>
    <w:rsid w:val="0040722A"/>
    <w:rsid w:val="0040750E"/>
    <w:rsid w:val="00407547"/>
    <w:rsid w:val="00407C9A"/>
    <w:rsid w:val="00407EF0"/>
    <w:rsid w:val="00410672"/>
    <w:rsid w:val="004112FE"/>
    <w:rsid w:val="0041158D"/>
    <w:rsid w:val="00412257"/>
    <w:rsid w:val="00412957"/>
    <w:rsid w:val="00412C7E"/>
    <w:rsid w:val="00412DE5"/>
    <w:rsid w:val="004135E8"/>
    <w:rsid w:val="004136B6"/>
    <w:rsid w:val="00414A21"/>
    <w:rsid w:val="00414B7A"/>
    <w:rsid w:val="00414DB9"/>
    <w:rsid w:val="00414EBA"/>
    <w:rsid w:val="0041581F"/>
    <w:rsid w:val="004171C1"/>
    <w:rsid w:val="00417C11"/>
    <w:rsid w:val="004207F9"/>
    <w:rsid w:val="00420B1A"/>
    <w:rsid w:val="00420B7C"/>
    <w:rsid w:val="00420E31"/>
    <w:rsid w:val="00421A44"/>
    <w:rsid w:val="00421F95"/>
    <w:rsid w:val="004222B0"/>
    <w:rsid w:val="004223E7"/>
    <w:rsid w:val="00422817"/>
    <w:rsid w:val="00422E3E"/>
    <w:rsid w:val="0042352C"/>
    <w:rsid w:val="00424353"/>
    <w:rsid w:val="00426462"/>
    <w:rsid w:val="004266DB"/>
    <w:rsid w:val="00426A89"/>
    <w:rsid w:val="00426AEA"/>
    <w:rsid w:val="00426BC0"/>
    <w:rsid w:val="00427C81"/>
    <w:rsid w:val="00430419"/>
    <w:rsid w:val="00431029"/>
    <w:rsid w:val="00431B4B"/>
    <w:rsid w:val="00432267"/>
    <w:rsid w:val="00432574"/>
    <w:rsid w:val="004326AB"/>
    <w:rsid w:val="00432BEF"/>
    <w:rsid w:val="00432FC2"/>
    <w:rsid w:val="004331C1"/>
    <w:rsid w:val="0043326B"/>
    <w:rsid w:val="004342C2"/>
    <w:rsid w:val="0043433B"/>
    <w:rsid w:val="00434532"/>
    <w:rsid w:val="004354A2"/>
    <w:rsid w:val="00435CED"/>
    <w:rsid w:val="00436525"/>
    <w:rsid w:val="00436BA5"/>
    <w:rsid w:val="00437FEA"/>
    <w:rsid w:val="004400AA"/>
    <w:rsid w:val="004403B5"/>
    <w:rsid w:val="00440629"/>
    <w:rsid w:val="00440B2C"/>
    <w:rsid w:val="004423A7"/>
    <w:rsid w:val="0044257F"/>
    <w:rsid w:val="00443BF2"/>
    <w:rsid w:val="00443F4A"/>
    <w:rsid w:val="0044402C"/>
    <w:rsid w:val="004440E8"/>
    <w:rsid w:val="00444251"/>
    <w:rsid w:val="0044445E"/>
    <w:rsid w:val="004448BB"/>
    <w:rsid w:val="0044494F"/>
    <w:rsid w:val="00444E2E"/>
    <w:rsid w:val="00444F8E"/>
    <w:rsid w:val="00444FD1"/>
    <w:rsid w:val="0044541A"/>
    <w:rsid w:val="0044556D"/>
    <w:rsid w:val="0044587A"/>
    <w:rsid w:val="004466BD"/>
    <w:rsid w:val="00446D22"/>
    <w:rsid w:val="00446EDC"/>
    <w:rsid w:val="00450841"/>
    <w:rsid w:val="00451756"/>
    <w:rsid w:val="0045319A"/>
    <w:rsid w:val="00453724"/>
    <w:rsid w:val="00453994"/>
    <w:rsid w:val="00454BBD"/>
    <w:rsid w:val="004555F0"/>
    <w:rsid w:val="004559D1"/>
    <w:rsid w:val="00456023"/>
    <w:rsid w:val="0045694E"/>
    <w:rsid w:val="00456A42"/>
    <w:rsid w:val="00456BC0"/>
    <w:rsid w:val="00457276"/>
    <w:rsid w:val="004577FE"/>
    <w:rsid w:val="00457887"/>
    <w:rsid w:val="004578B5"/>
    <w:rsid w:val="004604C1"/>
    <w:rsid w:val="004605D7"/>
    <w:rsid w:val="00460E48"/>
    <w:rsid w:val="004610C1"/>
    <w:rsid w:val="00461472"/>
    <w:rsid w:val="004619D7"/>
    <w:rsid w:val="00461D2C"/>
    <w:rsid w:val="0046302F"/>
    <w:rsid w:val="004633F0"/>
    <w:rsid w:val="004635D7"/>
    <w:rsid w:val="004643F3"/>
    <w:rsid w:val="00464AD6"/>
    <w:rsid w:val="00465170"/>
    <w:rsid w:val="0046544E"/>
    <w:rsid w:val="004655A3"/>
    <w:rsid w:val="004656A6"/>
    <w:rsid w:val="00466772"/>
    <w:rsid w:val="004670EF"/>
    <w:rsid w:val="004673E0"/>
    <w:rsid w:val="0046780D"/>
    <w:rsid w:val="00467CC2"/>
    <w:rsid w:val="004705ED"/>
    <w:rsid w:val="00470616"/>
    <w:rsid w:val="00470927"/>
    <w:rsid w:val="00470BC2"/>
    <w:rsid w:val="00471389"/>
    <w:rsid w:val="004714D8"/>
    <w:rsid w:val="00471587"/>
    <w:rsid w:val="0047248F"/>
    <w:rsid w:val="00472543"/>
    <w:rsid w:val="00472D5C"/>
    <w:rsid w:val="00474120"/>
    <w:rsid w:val="004753A5"/>
    <w:rsid w:val="00476095"/>
    <w:rsid w:val="00476D50"/>
    <w:rsid w:val="00477476"/>
    <w:rsid w:val="00477CFA"/>
    <w:rsid w:val="0048005A"/>
    <w:rsid w:val="004801FD"/>
    <w:rsid w:val="004802A3"/>
    <w:rsid w:val="0048040C"/>
    <w:rsid w:val="00480892"/>
    <w:rsid w:val="00480B14"/>
    <w:rsid w:val="00480B74"/>
    <w:rsid w:val="00483919"/>
    <w:rsid w:val="00483C6C"/>
    <w:rsid w:val="00484CA3"/>
    <w:rsid w:val="00484D61"/>
    <w:rsid w:val="00484DA9"/>
    <w:rsid w:val="00485D49"/>
    <w:rsid w:val="00485F6A"/>
    <w:rsid w:val="004871DD"/>
    <w:rsid w:val="0048770F"/>
    <w:rsid w:val="0048785A"/>
    <w:rsid w:val="00490464"/>
    <w:rsid w:val="00490537"/>
    <w:rsid w:val="00490BBF"/>
    <w:rsid w:val="00490D7C"/>
    <w:rsid w:val="00490EAF"/>
    <w:rsid w:val="00490F23"/>
    <w:rsid w:val="00492114"/>
    <w:rsid w:val="004927C4"/>
    <w:rsid w:val="00492C01"/>
    <w:rsid w:val="0049386F"/>
    <w:rsid w:val="00494E33"/>
    <w:rsid w:val="00495D97"/>
    <w:rsid w:val="00495EB4"/>
    <w:rsid w:val="00496241"/>
    <w:rsid w:val="00496D10"/>
    <w:rsid w:val="00496F68"/>
    <w:rsid w:val="004977AD"/>
    <w:rsid w:val="00497B85"/>
    <w:rsid w:val="004A055D"/>
    <w:rsid w:val="004A0561"/>
    <w:rsid w:val="004A0D30"/>
    <w:rsid w:val="004A0DFD"/>
    <w:rsid w:val="004A17E1"/>
    <w:rsid w:val="004A2043"/>
    <w:rsid w:val="004A2107"/>
    <w:rsid w:val="004A2DED"/>
    <w:rsid w:val="004A2FAC"/>
    <w:rsid w:val="004A3393"/>
    <w:rsid w:val="004A33D4"/>
    <w:rsid w:val="004A35C1"/>
    <w:rsid w:val="004A4F7E"/>
    <w:rsid w:val="004A5DE2"/>
    <w:rsid w:val="004A5E4A"/>
    <w:rsid w:val="004A5F30"/>
    <w:rsid w:val="004A6140"/>
    <w:rsid w:val="004A6815"/>
    <w:rsid w:val="004A6C13"/>
    <w:rsid w:val="004A703A"/>
    <w:rsid w:val="004A72BB"/>
    <w:rsid w:val="004A78E5"/>
    <w:rsid w:val="004A7C8E"/>
    <w:rsid w:val="004A7F12"/>
    <w:rsid w:val="004A7F4C"/>
    <w:rsid w:val="004B0CCD"/>
    <w:rsid w:val="004B0D5A"/>
    <w:rsid w:val="004B1212"/>
    <w:rsid w:val="004B1305"/>
    <w:rsid w:val="004B17FE"/>
    <w:rsid w:val="004B276B"/>
    <w:rsid w:val="004B2891"/>
    <w:rsid w:val="004B31CA"/>
    <w:rsid w:val="004B4F94"/>
    <w:rsid w:val="004B531E"/>
    <w:rsid w:val="004B5808"/>
    <w:rsid w:val="004B581A"/>
    <w:rsid w:val="004B681A"/>
    <w:rsid w:val="004B6C1B"/>
    <w:rsid w:val="004B7588"/>
    <w:rsid w:val="004B7F4F"/>
    <w:rsid w:val="004C06D5"/>
    <w:rsid w:val="004C0913"/>
    <w:rsid w:val="004C094B"/>
    <w:rsid w:val="004C0DD4"/>
    <w:rsid w:val="004C12C7"/>
    <w:rsid w:val="004C16F0"/>
    <w:rsid w:val="004C2611"/>
    <w:rsid w:val="004C2C8C"/>
    <w:rsid w:val="004C2D27"/>
    <w:rsid w:val="004C2D6D"/>
    <w:rsid w:val="004C2E25"/>
    <w:rsid w:val="004C3666"/>
    <w:rsid w:val="004C3A39"/>
    <w:rsid w:val="004C3E7B"/>
    <w:rsid w:val="004C4007"/>
    <w:rsid w:val="004C405D"/>
    <w:rsid w:val="004C4864"/>
    <w:rsid w:val="004C4B8D"/>
    <w:rsid w:val="004C53C0"/>
    <w:rsid w:val="004C5B03"/>
    <w:rsid w:val="004C5CBE"/>
    <w:rsid w:val="004C5CE3"/>
    <w:rsid w:val="004C60B1"/>
    <w:rsid w:val="004C69DF"/>
    <w:rsid w:val="004C6D4E"/>
    <w:rsid w:val="004C6FDD"/>
    <w:rsid w:val="004C774F"/>
    <w:rsid w:val="004C785C"/>
    <w:rsid w:val="004C79CB"/>
    <w:rsid w:val="004D015D"/>
    <w:rsid w:val="004D0468"/>
    <w:rsid w:val="004D086C"/>
    <w:rsid w:val="004D1201"/>
    <w:rsid w:val="004D2840"/>
    <w:rsid w:val="004D2854"/>
    <w:rsid w:val="004D3FC1"/>
    <w:rsid w:val="004D41E7"/>
    <w:rsid w:val="004D478A"/>
    <w:rsid w:val="004D4809"/>
    <w:rsid w:val="004D4A1F"/>
    <w:rsid w:val="004D505A"/>
    <w:rsid w:val="004D51DC"/>
    <w:rsid w:val="004D5713"/>
    <w:rsid w:val="004D5C44"/>
    <w:rsid w:val="004D6454"/>
    <w:rsid w:val="004D6571"/>
    <w:rsid w:val="004D65A8"/>
    <w:rsid w:val="004D6C21"/>
    <w:rsid w:val="004D6EB3"/>
    <w:rsid w:val="004D6F90"/>
    <w:rsid w:val="004D7170"/>
    <w:rsid w:val="004D71C7"/>
    <w:rsid w:val="004D727E"/>
    <w:rsid w:val="004E02B9"/>
    <w:rsid w:val="004E152A"/>
    <w:rsid w:val="004E15D1"/>
    <w:rsid w:val="004E23ED"/>
    <w:rsid w:val="004E3288"/>
    <w:rsid w:val="004E36D5"/>
    <w:rsid w:val="004E3827"/>
    <w:rsid w:val="004E3A57"/>
    <w:rsid w:val="004E3A77"/>
    <w:rsid w:val="004E3C00"/>
    <w:rsid w:val="004E4A09"/>
    <w:rsid w:val="004E4C8D"/>
    <w:rsid w:val="004E5BEB"/>
    <w:rsid w:val="004E6494"/>
    <w:rsid w:val="004E6E48"/>
    <w:rsid w:val="004E75A4"/>
    <w:rsid w:val="004E76CC"/>
    <w:rsid w:val="004E7C4E"/>
    <w:rsid w:val="004F0918"/>
    <w:rsid w:val="004F0999"/>
    <w:rsid w:val="004F1389"/>
    <w:rsid w:val="004F16C2"/>
    <w:rsid w:val="004F1742"/>
    <w:rsid w:val="004F17AD"/>
    <w:rsid w:val="004F1FBC"/>
    <w:rsid w:val="004F240A"/>
    <w:rsid w:val="004F2A5A"/>
    <w:rsid w:val="004F336B"/>
    <w:rsid w:val="004F3AC5"/>
    <w:rsid w:val="004F421B"/>
    <w:rsid w:val="004F51BE"/>
    <w:rsid w:val="004F6151"/>
    <w:rsid w:val="004F68CC"/>
    <w:rsid w:val="004F6CA0"/>
    <w:rsid w:val="004F6F89"/>
    <w:rsid w:val="004F71D6"/>
    <w:rsid w:val="004F7210"/>
    <w:rsid w:val="004F7573"/>
    <w:rsid w:val="004F7B96"/>
    <w:rsid w:val="00500824"/>
    <w:rsid w:val="005008BE"/>
    <w:rsid w:val="00501BE9"/>
    <w:rsid w:val="00501FCC"/>
    <w:rsid w:val="0050222B"/>
    <w:rsid w:val="00502594"/>
    <w:rsid w:val="00502A5C"/>
    <w:rsid w:val="00502E26"/>
    <w:rsid w:val="005031A7"/>
    <w:rsid w:val="0050320E"/>
    <w:rsid w:val="0050337F"/>
    <w:rsid w:val="00505BA5"/>
    <w:rsid w:val="00505C3D"/>
    <w:rsid w:val="00505F25"/>
    <w:rsid w:val="00506197"/>
    <w:rsid w:val="00507607"/>
    <w:rsid w:val="005100BD"/>
    <w:rsid w:val="0051023C"/>
    <w:rsid w:val="005109E3"/>
    <w:rsid w:val="00510A50"/>
    <w:rsid w:val="00510CBB"/>
    <w:rsid w:val="00510CF6"/>
    <w:rsid w:val="00511008"/>
    <w:rsid w:val="00511043"/>
    <w:rsid w:val="0051125F"/>
    <w:rsid w:val="00511B77"/>
    <w:rsid w:val="00511BB0"/>
    <w:rsid w:val="00512DE4"/>
    <w:rsid w:val="005132DA"/>
    <w:rsid w:val="005137DD"/>
    <w:rsid w:val="005139C0"/>
    <w:rsid w:val="00513B61"/>
    <w:rsid w:val="00514218"/>
    <w:rsid w:val="0051486F"/>
    <w:rsid w:val="00514C00"/>
    <w:rsid w:val="00514E6B"/>
    <w:rsid w:val="005158B0"/>
    <w:rsid w:val="00516319"/>
    <w:rsid w:val="0051634B"/>
    <w:rsid w:val="00516B12"/>
    <w:rsid w:val="0051709C"/>
    <w:rsid w:val="00517198"/>
    <w:rsid w:val="00517861"/>
    <w:rsid w:val="005204BD"/>
    <w:rsid w:val="00520844"/>
    <w:rsid w:val="00520A29"/>
    <w:rsid w:val="00520CB7"/>
    <w:rsid w:val="00521057"/>
    <w:rsid w:val="00521954"/>
    <w:rsid w:val="00521F84"/>
    <w:rsid w:val="005224BA"/>
    <w:rsid w:val="0052266A"/>
    <w:rsid w:val="005229BF"/>
    <w:rsid w:val="00523071"/>
    <w:rsid w:val="005237CA"/>
    <w:rsid w:val="00523B9F"/>
    <w:rsid w:val="005243DA"/>
    <w:rsid w:val="005244F3"/>
    <w:rsid w:val="00524CED"/>
    <w:rsid w:val="005259DA"/>
    <w:rsid w:val="00525DC8"/>
    <w:rsid w:val="00526901"/>
    <w:rsid w:val="00526E9C"/>
    <w:rsid w:val="005276FF"/>
    <w:rsid w:val="005279DE"/>
    <w:rsid w:val="00527A27"/>
    <w:rsid w:val="005304AD"/>
    <w:rsid w:val="0053067E"/>
    <w:rsid w:val="0053077F"/>
    <w:rsid w:val="00530A10"/>
    <w:rsid w:val="00530A99"/>
    <w:rsid w:val="00530AF1"/>
    <w:rsid w:val="00530BA1"/>
    <w:rsid w:val="00530D6C"/>
    <w:rsid w:val="005314B1"/>
    <w:rsid w:val="00532D41"/>
    <w:rsid w:val="00532F58"/>
    <w:rsid w:val="00533131"/>
    <w:rsid w:val="00534728"/>
    <w:rsid w:val="00535A81"/>
    <w:rsid w:val="00536170"/>
    <w:rsid w:val="005364C8"/>
    <w:rsid w:val="0053692F"/>
    <w:rsid w:val="00536A38"/>
    <w:rsid w:val="00536F53"/>
    <w:rsid w:val="00537417"/>
    <w:rsid w:val="00537488"/>
    <w:rsid w:val="00541081"/>
    <w:rsid w:val="00543F3A"/>
    <w:rsid w:val="005443D1"/>
    <w:rsid w:val="005447DE"/>
    <w:rsid w:val="00544D48"/>
    <w:rsid w:val="00545103"/>
    <w:rsid w:val="005454CA"/>
    <w:rsid w:val="00546651"/>
    <w:rsid w:val="005467F7"/>
    <w:rsid w:val="005471DC"/>
    <w:rsid w:val="005472D6"/>
    <w:rsid w:val="00547731"/>
    <w:rsid w:val="00547958"/>
    <w:rsid w:val="00547B47"/>
    <w:rsid w:val="00550017"/>
    <w:rsid w:val="00551079"/>
    <w:rsid w:val="00551848"/>
    <w:rsid w:val="00551A89"/>
    <w:rsid w:val="00551AE8"/>
    <w:rsid w:val="005520F1"/>
    <w:rsid w:val="005527BA"/>
    <w:rsid w:val="00552E5D"/>
    <w:rsid w:val="0055333C"/>
    <w:rsid w:val="0055371B"/>
    <w:rsid w:val="00553AD5"/>
    <w:rsid w:val="00553B89"/>
    <w:rsid w:val="0055445B"/>
    <w:rsid w:val="00555CF0"/>
    <w:rsid w:val="00555E59"/>
    <w:rsid w:val="0055621D"/>
    <w:rsid w:val="0055635B"/>
    <w:rsid w:val="005569B8"/>
    <w:rsid w:val="00556E51"/>
    <w:rsid w:val="00557100"/>
    <w:rsid w:val="005574F6"/>
    <w:rsid w:val="005577BC"/>
    <w:rsid w:val="00557C00"/>
    <w:rsid w:val="00557C35"/>
    <w:rsid w:val="00560833"/>
    <w:rsid w:val="00561293"/>
    <w:rsid w:val="00561575"/>
    <w:rsid w:val="00561898"/>
    <w:rsid w:val="00562E6E"/>
    <w:rsid w:val="0056399E"/>
    <w:rsid w:val="005642E4"/>
    <w:rsid w:val="00565325"/>
    <w:rsid w:val="0056686A"/>
    <w:rsid w:val="00567E34"/>
    <w:rsid w:val="00570C36"/>
    <w:rsid w:val="00570DAC"/>
    <w:rsid w:val="00571676"/>
    <w:rsid w:val="0057169C"/>
    <w:rsid w:val="005718AC"/>
    <w:rsid w:val="00572F93"/>
    <w:rsid w:val="0057318A"/>
    <w:rsid w:val="005735FF"/>
    <w:rsid w:val="00573876"/>
    <w:rsid w:val="00573AD5"/>
    <w:rsid w:val="00574112"/>
    <w:rsid w:val="00574222"/>
    <w:rsid w:val="00574911"/>
    <w:rsid w:val="00574A0D"/>
    <w:rsid w:val="0057579B"/>
    <w:rsid w:val="0057662B"/>
    <w:rsid w:val="0057687D"/>
    <w:rsid w:val="00577723"/>
    <w:rsid w:val="0057786E"/>
    <w:rsid w:val="00577922"/>
    <w:rsid w:val="005800AE"/>
    <w:rsid w:val="0058024A"/>
    <w:rsid w:val="00580A8A"/>
    <w:rsid w:val="005815EA"/>
    <w:rsid w:val="00581970"/>
    <w:rsid w:val="00581A6A"/>
    <w:rsid w:val="00582A15"/>
    <w:rsid w:val="00582E6B"/>
    <w:rsid w:val="00582EF8"/>
    <w:rsid w:val="00583431"/>
    <w:rsid w:val="005834B8"/>
    <w:rsid w:val="00583738"/>
    <w:rsid w:val="00583E5D"/>
    <w:rsid w:val="00583EC8"/>
    <w:rsid w:val="00584450"/>
    <w:rsid w:val="00585EF8"/>
    <w:rsid w:val="00590079"/>
    <w:rsid w:val="00590114"/>
    <w:rsid w:val="00590C44"/>
    <w:rsid w:val="00590E25"/>
    <w:rsid w:val="00590EBF"/>
    <w:rsid w:val="00591607"/>
    <w:rsid w:val="005916FD"/>
    <w:rsid w:val="00592358"/>
    <w:rsid w:val="005923D6"/>
    <w:rsid w:val="005923DC"/>
    <w:rsid w:val="005923E4"/>
    <w:rsid w:val="00593998"/>
    <w:rsid w:val="00593B00"/>
    <w:rsid w:val="005942F0"/>
    <w:rsid w:val="005957A1"/>
    <w:rsid w:val="005957D1"/>
    <w:rsid w:val="00596A7D"/>
    <w:rsid w:val="00596D5A"/>
    <w:rsid w:val="005970F4"/>
    <w:rsid w:val="00597B63"/>
    <w:rsid w:val="00597C6F"/>
    <w:rsid w:val="005A0375"/>
    <w:rsid w:val="005A21C4"/>
    <w:rsid w:val="005A25AD"/>
    <w:rsid w:val="005A2670"/>
    <w:rsid w:val="005A2722"/>
    <w:rsid w:val="005A2832"/>
    <w:rsid w:val="005A293C"/>
    <w:rsid w:val="005A2B65"/>
    <w:rsid w:val="005A2DF0"/>
    <w:rsid w:val="005A3234"/>
    <w:rsid w:val="005A3317"/>
    <w:rsid w:val="005A378A"/>
    <w:rsid w:val="005A37E0"/>
    <w:rsid w:val="005A41AD"/>
    <w:rsid w:val="005A4323"/>
    <w:rsid w:val="005A521E"/>
    <w:rsid w:val="005A533F"/>
    <w:rsid w:val="005A5600"/>
    <w:rsid w:val="005A59BF"/>
    <w:rsid w:val="005A611A"/>
    <w:rsid w:val="005A73E5"/>
    <w:rsid w:val="005A74C7"/>
    <w:rsid w:val="005B01AE"/>
    <w:rsid w:val="005B0703"/>
    <w:rsid w:val="005B0DED"/>
    <w:rsid w:val="005B1312"/>
    <w:rsid w:val="005B137C"/>
    <w:rsid w:val="005B16BA"/>
    <w:rsid w:val="005B1AFA"/>
    <w:rsid w:val="005B2D9A"/>
    <w:rsid w:val="005B2EEB"/>
    <w:rsid w:val="005B389F"/>
    <w:rsid w:val="005B4265"/>
    <w:rsid w:val="005B447F"/>
    <w:rsid w:val="005B4703"/>
    <w:rsid w:val="005B4BC3"/>
    <w:rsid w:val="005B4BE7"/>
    <w:rsid w:val="005B5CAD"/>
    <w:rsid w:val="005B5E84"/>
    <w:rsid w:val="005B689D"/>
    <w:rsid w:val="005B7128"/>
    <w:rsid w:val="005B720F"/>
    <w:rsid w:val="005B78E1"/>
    <w:rsid w:val="005B7CB8"/>
    <w:rsid w:val="005C01D6"/>
    <w:rsid w:val="005C05FF"/>
    <w:rsid w:val="005C141D"/>
    <w:rsid w:val="005C2B38"/>
    <w:rsid w:val="005C316D"/>
    <w:rsid w:val="005C3293"/>
    <w:rsid w:val="005C347A"/>
    <w:rsid w:val="005C3994"/>
    <w:rsid w:val="005C3E54"/>
    <w:rsid w:val="005C4F59"/>
    <w:rsid w:val="005C4F7B"/>
    <w:rsid w:val="005C51BC"/>
    <w:rsid w:val="005C53B5"/>
    <w:rsid w:val="005C5C78"/>
    <w:rsid w:val="005C6B81"/>
    <w:rsid w:val="005C6E46"/>
    <w:rsid w:val="005C71F3"/>
    <w:rsid w:val="005C71FE"/>
    <w:rsid w:val="005C732F"/>
    <w:rsid w:val="005C7531"/>
    <w:rsid w:val="005C7985"/>
    <w:rsid w:val="005D03E1"/>
    <w:rsid w:val="005D0BEE"/>
    <w:rsid w:val="005D149C"/>
    <w:rsid w:val="005D1588"/>
    <w:rsid w:val="005D1AFF"/>
    <w:rsid w:val="005D237F"/>
    <w:rsid w:val="005D28E6"/>
    <w:rsid w:val="005D2B97"/>
    <w:rsid w:val="005D2C20"/>
    <w:rsid w:val="005D2DE8"/>
    <w:rsid w:val="005D3426"/>
    <w:rsid w:val="005D39A3"/>
    <w:rsid w:val="005D3AC7"/>
    <w:rsid w:val="005D4B73"/>
    <w:rsid w:val="005D5389"/>
    <w:rsid w:val="005D53E7"/>
    <w:rsid w:val="005D7304"/>
    <w:rsid w:val="005D7A3B"/>
    <w:rsid w:val="005E0CCA"/>
    <w:rsid w:val="005E148C"/>
    <w:rsid w:val="005E1848"/>
    <w:rsid w:val="005E1FC5"/>
    <w:rsid w:val="005E23F2"/>
    <w:rsid w:val="005E24B3"/>
    <w:rsid w:val="005E2B92"/>
    <w:rsid w:val="005E2E3A"/>
    <w:rsid w:val="005E39EC"/>
    <w:rsid w:val="005E49B1"/>
    <w:rsid w:val="005E4C26"/>
    <w:rsid w:val="005E4DE6"/>
    <w:rsid w:val="005E59D8"/>
    <w:rsid w:val="005E5CDC"/>
    <w:rsid w:val="005E5CE0"/>
    <w:rsid w:val="005E6146"/>
    <w:rsid w:val="005E7479"/>
    <w:rsid w:val="005E74A2"/>
    <w:rsid w:val="005E7C7C"/>
    <w:rsid w:val="005E7F07"/>
    <w:rsid w:val="005F029A"/>
    <w:rsid w:val="005F0973"/>
    <w:rsid w:val="005F1134"/>
    <w:rsid w:val="005F293D"/>
    <w:rsid w:val="005F2F6C"/>
    <w:rsid w:val="005F34F8"/>
    <w:rsid w:val="005F3BD2"/>
    <w:rsid w:val="005F497A"/>
    <w:rsid w:val="005F5270"/>
    <w:rsid w:val="005F58D3"/>
    <w:rsid w:val="005F68DF"/>
    <w:rsid w:val="005F6A6F"/>
    <w:rsid w:val="005F6BB1"/>
    <w:rsid w:val="005F6C6F"/>
    <w:rsid w:val="005F6CD2"/>
    <w:rsid w:val="005F6EA4"/>
    <w:rsid w:val="006000B9"/>
    <w:rsid w:val="0060128B"/>
    <w:rsid w:val="006014D6"/>
    <w:rsid w:val="006020A9"/>
    <w:rsid w:val="00602272"/>
    <w:rsid w:val="00602714"/>
    <w:rsid w:val="0060336C"/>
    <w:rsid w:val="006039AB"/>
    <w:rsid w:val="00604417"/>
    <w:rsid w:val="006049B0"/>
    <w:rsid w:val="00605199"/>
    <w:rsid w:val="006059BA"/>
    <w:rsid w:val="00606157"/>
    <w:rsid w:val="006065BF"/>
    <w:rsid w:val="0060690C"/>
    <w:rsid w:val="00607CD9"/>
    <w:rsid w:val="00607D0C"/>
    <w:rsid w:val="00607DA7"/>
    <w:rsid w:val="00607DB3"/>
    <w:rsid w:val="006109D7"/>
    <w:rsid w:val="00610A02"/>
    <w:rsid w:val="00611230"/>
    <w:rsid w:val="006114BE"/>
    <w:rsid w:val="006114C5"/>
    <w:rsid w:val="0061158D"/>
    <w:rsid w:val="006118BB"/>
    <w:rsid w:val="006119CF"/>
    <w:rsid w:val="00611BD6"/>
    <w:rsid w:val="006129EF"/>
    <w:rsid w:val="006136B9"/>
    <w:rsid w:val="00613883"/>
    <w:rsid w:val="00613902"/>
    <w:rsid w:val="00614016"/>
    <w:rsid w:val="006145BF"/>
    <w:rsid w:val="00615551"/>
    <w:rsid w:val="006155A7"/>
    <w:rsid w:val="006159D8"/>
    <w:rsid w:val="00615A3C"/>
    <w:rsid w:val="00615CE0"/>
    <w:rsid w:val="006161E4"/>
    <w:rsid w:val="00616894"/>
    <w:rsid w:val="00616CAF"/>
    <w:rsid w:val="00616FC5"/>
    <w:rsid w:val="00617308"/>
    <w:rsid w:val="00617557"/>
    <w:rsid w:val="00617D35"/>
    <w:rsid w:val="00617DF8"/>
    <w:rsid w:val="00617E31"/>
    <w:rsid w:val="00620A83"/>
    <w:rsid w:val="00621099"/>
    <w:rsid w:val="006214C4"/>
    <w:rsid w:val="0062165A"/>
    <w:rsid w:val="006218CC"/>
    <w:rsid w:val="00621FA7"/>
    <w:rsid w:val="006229CA"/>
    <w:rsid w:val="00622D92"/>
    <w:rsid w:val="006233A1"/>
    <w:rsid w:val="00623596"/>
    <w:rsid w:val="00624112"/>
    <w:rsid w:val="006249DB"/>
    <w:rsid w:val="00624C15"/>
    <w:rsid w:val="00624D83"/>
    <w:rsid w:val="00624F65"/>
    <w:rsid w:val="0062504C"/>
    <w:rsid w:val="006251B7"/>
    <w:rsid w:val="00625D0F"/>
    <w:rsid w:val="00626517"/>
    <w:rsid w:val="006269C6"/>
    <w:rsid w:val="00626F98"/>
    <w:rsid w:val="00627396"/>
    <w:rsid w:val="00627405"/>
    <w:rsid w:val="006275D3"/>
    <w:rsid w:val="0062793D"/>
    <w:rsid w:val="00627C4E"/>
    <w:rsid w:val="006306D8"/>
    <w:rsid w:val="00631AF2"/>
    <w:rsid w:val="00631BD8"/>
    <w:rsid w:val="00632E91"/>
    <w:rsid w:val="00632F96"/>
    <w:rsid w:val="00633157"/>
    <w:rsid w:val="00633203"/>
    <w:rsid w:val="006332E2"/>
    <w:rsid w:val="00633D38"/>
    <w:rsid w:val="00634613"/>
    <w:rsid w:val="00634733"/>
    <w:rsid w:val="00634D2F"/>
    <w:rsid w:val="0063571A"/>
    <w:rsid w:val="00635B41"/>
    <w:rsid w:val="006366A0"/>
    <w:rsid w:val="00636D22"/>
    <w:rsid w:val="00637465"/>
    <w:rsid w:val="006404F0"/>
    <w:rsid w:val="00640950"/>
    <w:rsid w:val="00640C88"/>
    <w:rsid w:val="00640E85"/>
    <w:rsid w:val="0064106F"/>
    <w:rsid w:val="00641384"/>
    <w:rsid w:val="00641BA5"/>
    <w:rsid w:val="0064237E"/>
    <w:rsid w:val="00642847"/>
    <w:rsid w:val="006429C6"/>
    <w:rsid w:val="00643E8C"/>
    <w:rsid w:val="00643F1B"/>
    <w:rsid w:val="00643F39"/>
    <w:rsid w:val="00644DA9"/>
    <w:rsid w:val="00646550"/>
    <w:rsid w:val="00647C49"/>
    <w:rsid w:val="00650210"/>
    <w:rsid w:val="00650375"/>
    <w:rsid w:val="00650690"/>
    <w:rsid w:val="00650C64"/>
    <w:rsid w:val="00651644"/>
    <w:rsid w:val="006517AA"/>
    <w:rsid w:val="00651B7D"/>
    <w:rsid w:val="006520C1"/>
    <w:rsid w:val="00652422"/>
    <w:rsid w:val="006533B5"/>
    <w:rsid w:val="00653673"/>
    <w:rsid w:val="00653966"/>
    <w:rsid w:val="006542A0"/>
    <w:rsid w:val="006543C9"/>
    <w:rsid w:val="0065444E"/>
    <w:rsid w:val="00654A66"/>
    <w:rsid w:val="00655953"/>
    <w:rsid w:val="00655B2A"/>
    <w:rsid w:val="00655EEC"/>
    <w:rsid w:val="006561E3"/>
    <w:rsid w:val="006572A6"/>
    <w:rsid w:val="0065777E"/>
    <w:rsid w:val="006603A6"/>
    <w:rsid w:val="006605AB"/>
    <w:rsid w:val="006606EB"/>
    <w:rsid w:val="0066075A"/>
    <w:rsid w:val="0066087D"/>
    <w:rsid w:val="00660CE4"/>
    <w:rsid w:val="00660E6F"/>
    <w:rsid w:val="006613AC"/>
    <w:rsid w:val="00662F6D"/>
    <w:rsid w:val="00663474"/>
    <w:rsid w:val="006635B2"/>
    <w:rsid w:val="00664101"/>
    <w:rsid w:val="00664380"/>
    <w:rsid w:val="0066441F"/>
    <w:rsid w:val="00664B1E"/>
    <w:rsid w:val="00665798"/>
    <w:rsid w:val="00665ECC"/>
    <w:rsid w:val="0066612B"/>
    <w:rsid w:val="00666A45"/>
    <w:rsid w:val="00666DDA"/>
    <w:rsid w:val="0066711E"/>
    <w:rsid w:val="006708B3"/>
    <w:rsid w:val="00670C3B"/>
    <w:rsid w:val="00671228"/>
    <w:rsid w:val="006712DD"/>
    <w:rsid w:val="006714C0"/>
    <w:rsid w:val="00671B9B"/>
    <w:rsid w:val="00671BE9"/>
    <w:rsid w:val="0067229F"/>
    <w:rsid w:val="006725DF"/>
    <w:rsid w:val="006732B5"/>
    <w:rsid w:val="00674239"/>
    <w:rsid w:val="00674905"/>
    <w:rsid w:val="00675249"/>
    <w:rsid w:val="0067550E"/>
    <w:rsid w:val="00675A52"/>
    <w:rsid w:val="006761E8"/>
    <w:rsid w:val="0067665B"/>
    <w:rsid w:val="00676775"/>
    <w:rsid w:val="006768D9"/>
    <w:rsid w:val="00676937"/>
    <w:rsid w:val="00676C76"/>
    <w:rsid w:val="006770C2"/>
    <w:rsid w:val="006778F7"/>
    <w:rsid w:val="006802C9"/>
    <w:rsid w:val="00680BFC"/>
    <w:rsid w:val="00680F20"/>
    <w:rsid w:val="006816C7"/>
    <w:rsid w:val="00681B89"/>
    <w:rsid w:val="006826FB"/>
    <w:rsid w:val="00682CD1"/>
    <w:rsid w:val="00682D4C"/>
    <w:rsid w:val="0068304F"/>
    <w:rsid w:val="006836D4"/>
    <w:rsid w:val="0068372E"/>
    <w:rsid w:val="00683D2D"/>
    <w:rsid w:val="006848CC"/>
    <w:rsid w:val="00684BD4"/>
    <w:rsid w:val="006851FF"/>
    <w:rsid w:val="006856B3"/>
    <w:rsid w:val="00685F05"/>
    <w:rsid w:val="0068613F"/>
    <w:rsid w:val="00690129"/>
    <w:rsid w:val="006901C2"/>
    <w:rsid w:val="00690231"/>
    <w:rsid w:val="00690D9E"/>
    <w:rsid w:val="00691565"/>
    <w:rsid w:val="00691846"/>
    <w:rsid w:val="00691A2A"/>
    <w:rsid w:val="006928BA"/>
    <w:rsid w:val="00692B4F"/>
    <w:rsid w:val="006931C9"/>
    <w:rsid w:val="006934E2"/>
    <w:rsid w:val="00693A8A"/>
    <w:rsid w:val="00693CBE"/>
    <w:rsid w:val="006942CF"/>
    <w:rsid w:val="006942DD"/>
    <w:rsid w:val="00695227"/>
    <w:rsid w:val="00695626"/>
    <w:rsid w:val="00696040"/>
    <w:rsid w:val="00696DB4"/>
    <w:rsid w:val="00696F4D"/>
    <w:rsid w:val="006972B6"/>
    <w:rsid w:val="006973D1"/>
    <w:rsid w:val="00697507"/>
    <w:rsid w:val="00697601"/>
    <w:rsid w:val="00697615"/>
    <w:rsid w:val="006977F3"/>
    <w:rsid w:val="006A0E00"/>
    <w:rsid w:val="006A1800"/>
    <w:rsid w:val="006A30CE"/>
    <w:rsid w:val="006A316E"/>
    <w:rsid w:val="006A33B8"/>
    <w:rsid w:val="006A3E69"/>
    <w:rsid w:val="006A3FDE"/>
    <w:rsid w:val="006A4D1D"/>
    <w:rsid w:val="006A5507"/>
    <w:rsid w:val="006A5A50"/>
    <w:rsid w:val="006A5A82"/>
    <w:rsid w:val="006A5E66"/>
    <w:rsid w:val="006A6287"/>
    <w:rsid w:val="006A6739"/>
    <w:rsid w:val="006A68B6"/>
    <w:rsid w:val="006A71AB"/>
    <w:rsid w:val="006A733E"/>
    <w:rsid w:val="006A7541"/>
    <w:rsid w:val="006A7B46"/>
    <w:rsid w:val="006A7B66"/>
    <w:rsid w:val="006A7E41"/>
    <w:rsid w:val="006B0679"/>
    <w:rsid w:val="006B0958"/>
    <w:rsid w:val="006B0FEB"/>
    <w:rsid w:val="006B19E3"/>
    <w:rsid w:val="006B1D89"/>
    <w:rsid w:val="006B287B"/>
    <w:rsid w:val="006B3B8C"/>
    <w:rsid w:val="006B4932"/>
    <w:rsid w:val="006B5931"/>
    <w:rsid w:val="006B778C"/>
    <w:rsid w:val="006B7E72"/>
    <w:rsid w:val="006B7EC6"/>
    <w:rsid w:val="006C165F"/>
    <w:rsid w:val="006C1775"/>
    <w:rsid w:val="006C19DE"/>
    <w:rsid w:val="006C1A8E"/>
    <w:rsid w:val="006C1E86"/>
    <w:rsid w:val="006C1FB8"/>
    <w:rsid w:val="006C27F7"/>
    <w:rsid w:val="006C2A05"/>
    <w:rsid w:val="006C333D"/>
    <w:rsid w:val="006C3A34"/>
    <w:rsid w:val="006C47D8"/>
    <w:rsid w:val="006C61CD"/>
    <w:rsid w:val="006C65C8"/>
    <w:rsid w:val="006C7020"/>
    <w:rsid w:val="006C7A17"/>
    <w:rsid w:val="006C7D41"/>
    <w:rsid w:val="006D003E"/>
    <w:rsid w:val="006D0155"/>
    <w:rsid w:val="006D12EB"/>
    <w:rsid w:val="006D22E6"/>
    <w:rsid w:val="006D28F3"/>
    <w:rsid w:val="006D2992"/>
    <w:rsid w:val="006D2E27"/>
    <w:rsid w:val="006D30FD"/>
    <w:rsid w:val="006D344B"/>
    <w:rsid w:val="006D3FF4"/>
    <w:rsid w:val="006D4189"/>
    <w:rsid w:val="006D42BE"/>
    <w:rsid w:val="006D4ABF"/>
    <w:rsid w:val="006D4DD4"/>
    <w:rsid w:val="006D5C5E"/>
    <w:rsid w:val="006D5D07"/>
    <w:rsid w:val="006D67B3"/>
    <w:rsid w:val="006D7C3E"/>
    <w:rsid w:val="006E0E0B"/>
    <w:rsid w:val="006E1232"/>
    <w:rsid w:val="006E1239"/>
    <w:rsid w:val="006E1B91"/>
    <w:rsid w:val="006E1E55"/>
    <w:rsid w:val="006E21B3"/>
    <w:rsid w:val="006E21B5"/>
    <w:rsid w:val="006E21B6"/>
    <w:rsid w:val="006E2BE6"/>
    <w:rsid w:val="006E32AA"/>
    <w:rsid w:val="006E368B"/>
    <w:rsid w:val="006E3793"/>
    <w:rsid w:val="006E3E89"/>
    <w:rsid w:val="006E4707"/>
    <w:rsid w:val="006E4BB1"/>
    <w:rsid w:val="006E50EF"/>
    <w:rsid w:val="006E5CEA"/>
    <w:rsid w:val="006E6D81"/>
    <w:rsid w:val="006E75AD"/>
    <w:rsid w:val="006F1537"/>
    <w:rsid w:val="006F157D"/>
    <w:rsid w:val="006F19E7"/>
    <w:rsid w:val="006F2842"/>
    <w:rsid w:val="006F342F"/>
    <w:rsid w:val="006F3661"/>
    <w:rsid w:val="006F4717"/>
    <w:rsid w:val="006F4D33"/>
    <w:rsid w:val="006F4E34"/>
    <w:rsid w:val="006F5A29"/>
    <w:rsid w:val="006F61FB"/>
    <w:rsid w:val="006F635D"/>
    <w:rsid w:val="006F685E"/>
    <w:rsid w:val="006F7343"/>
    <w:rsid w:val="006F7378"/>
    <w:rsid w:val="006F7407"/>
    <w:rsid w:val="006F7B4B"/>
    <w:rsid w:val="006F7F1B"/>
    <w:rsid w:val="0070049F"/>
    <w:rsid w:val="00700D92"/>
    <w:rsid w:val="00700E25"/>
    <w:rsid w:val="00701540"/>
    <w:rsid w:val="0070197E"/>
    <w:rsid w:val="00701C3C"/>
    <w:rsid w:val="007023CB"/>
    <w:rsid w:val="00702512"/>
    <w:rsid w:val="00702993"/>
    <w:rsid w:val="00702B66"/>
    <w:rsid w:val="007042E9"/>
    <w:rsid w:val="00704FDE"/>
    <w:rsid w:val="00706950"/>
    <w:rsid w:val="00710511"/>
    <w:rsid w:val="007117BD"/>
    <w:rsid w:val="00711B50"/>
    <w:rsid w:val="00711D3A"/>
    <w:rsid w:val="00712DD3"/>
    <w:rsid w:val="00713920"/>
    <w:rsid w:val="00713944"/>
    <w:rsid w:val="00713D3B"/>
    <w:rsid w:val="0071467F"/>
    <w:rsid w:val="0071482E"/>
    <w:rsid w:val="00714892"/>
    <w:rsid w:val="00714967"/>
    <w:rsid w:val="00714B5E"/>
    <w:rsid w:val="007151C9"/>
    <w:rsid w:val="00715FCA"/>
    <w:rsid w:val="007162B1"/>
    <w:rsid w:val="00716787"/>
    <w:rsid w:val="00716FF0"/>
    <w:rsid w:val="007179BA"/>
    <w:rsid w:val="00720277"/>
    <w:rsid w:val="00720312"/>
    <w:rsid w:val="007204A0"/>
    <w:rsid w:val="00721A1B"/>
    <w:rsid w:val="0072213F"/>
    <w:rsid w:val="00722411"/>
    <w:rsid w:val="00722A3C"/>
    <w:rsid w:val="00722BD7"/>
    <w:rsid w:val="00722DEA"/>
    <w:rsid w:val="007232E9"/>
    <w:rsid w:val="00723517"/>
    <w:rsid w:val="007240E9"/>
    <w:rsid w:val="007246AE"/>
    <w:rsid w:val="00725152"/>
    <w:rsid w:val="00725220"/>
    <w:rsid w:val="007252FC"/>
    <w:rsid w:val="0072530E"/>
    <w:rsid w:val="007255F7"/>
    <w:rsid w:val="00726F20"/>
    <w:rsid w:val="007279DB"/>
    <w:rsid w:val="00727F20"/>
    <w:rsid w:val="00730AB6"/>
    <w:rsid w:val="0073192B"/>
    <w:rsid w:val="007319CF"/>
    <w:rsid w:val="00731ACA"/>
    <w:rsid w:val="00731E37"/>
    <w:rsid w:val="007333D7"/>
    <w:rsid w:val="00733536"/>
    <w:rsid w:val="00733926"/>
    <w:rsid w:val="007341B1"/>
    <w:rsid w:val="00734361"/>
    <w:rsid w:val="007352FE"/>
    <w:rsid w:val="00735853"/>
    <w:rsid w:val="007358BF"/>
    <w:rsid w:val="00735CC7"/>
    <w:rsid w:val="00735D57"/>
    <w:rsid w:val="00736B9B"/>
    <w:rsid w:val="0073727D"/>
    <w:rsid w:val="007379B6"/>
    <w:rsid w:val="0074030B"/>
    <w:rsid w:val="0074110B"/>
    <w:rsid w:val="0074197E"/>
    <w:rsid w:val="0074262D"/>
    <w:rsid w:val="00742696"/>
    <w:rsid w:val="00742AA9"/>
    <w:rsid w:val="00742C50"/>
    <w:rsid w:val="007431C8"/>
    <w:rsid w:val="00743229"/>
    <w:rsid w:val="00743982"/>
    <w:rsid w:val="0074460F"/>
    <w:rsid w:val="0074497F"/>
    <w:rsid w:val="00744CB8"/>
    <w:rsid w:val="007452CE"/>
    <w:rsid w:val="007459EC"/>
    <w:rsid w:val="0074622E"/>
    <w:rsid w:val="00746387"/>
    <w:rsid w:val="00746A0E"/>
    <w:rsid w:val="0074715C"/>
    <w:rsid w:val="007477C6"/>
    <w:rsid w:val="00747B01"/>
    <w:rsid w:val="00747C34"/>
    <w:rsid w:val="007506CA"/>
    <w:rsid w:val="00750DD5"/>
    <w:rsid w:val="00751044"/>
    <w:rsid w:val="00751138"/>
    <w:rsid w:val="00751DDE"/>
    <w:rsid w:val="00752B8E"/>
    <w:rsid w:val="00753237"/>
    <w:rsid w:val="007534B3"/>
    <w:rsid w:val="00753E7E"/>
    <w:rsid w:val="00755986"/>
    <w:rsid w:val="007559DA"/>
    <w:rsid w:val="00755C15"/>
    <w:rsid w:val="00755CAB"/>
    <w:rsid w:val="00756202"/>
    <w:rsid w:val="00756536"/>
    <w:rsid w:val="00756F02"/>
    <w:rsid w:val="007571E9"/>
    <w:rsid w:val="00760EB2"/>
    <w:rsid w:val="007619F0"/>
    <w:rsid w:val="00762734"/>
    <w:rsid w:val="00762756"/>
    <w:rsid w:val="007632E1"/>
    <w:rsid w:val="00763995"/>
    <w:rsid w:val="0076466C"/>
    <w:rsid w:val="00764B45"/>
    <w:rsid w:val="00765461"/>
    <w:rsid w:val="007655D4"/>
    <w:rsid w:val="00766291"/>
    <w:rsid w:val="007668C1"/>
    <w:rsid w:val="00766E99"/>
    <w:rsid w:val="0076753F"/>
    <w:rsid w:val="00767724"/>
    <w:rsid w:val="007679E5"/>
    <w:rsid w:val="00767C56"/>
    <w:rsid w:val="00767D8E"/>
    <w:rsid w:val="0077023F"/>
    <w:rsid w:val="00770995"/>
    <w:rsid w:val="00770A88"/>
    <w:rsid w:val="00770D72"/>
    <w:rsid w:val="00770FD2"/>
    <w:rsid w:val="00771A8B"/>
    <w:rsid w:val="00772141"/>
    <w:rsid w:val="007722A1"/>
    <w:rsid w:val="0077257E"/>
    <w:rsid w:val="00772639"/>
    <w:rsid w:val="00772B6F"/>
    <w:rsid w:val="00773D25"/>
    <w:rsid w:val="00774DCB"/>
    <w:rsid w:val="0077602C"/>
    <w:rsid w:val="007762FC"/>
    <w:rsid w:val="0077651D"/>
    <w:rsid w:val="007770D3"/>
    <w:rsid w:val="00777CF3"/>
    <w:rsid w:val="007802DE"/>
    <w:rsid w:val="007808D0"/>
    <w:rsid w:val="007817E4"/>
    <w:rsid w:val="00781BDA"/>
    <w:rsid w:val="00783330"/>
    <w:rsid w:val="007836E6"/>
    <w:rsid w:val="00783C51"/>
    <w:rsid w:val="0078410D"/>
    <w:rsid w:val="0078471E"/>
    <w:rsid w:val="007849B0"/>
    <w:rsid w:val="00784B68"/>
    <w:rsid w:val="00786A7D"/>
    <w:rsid w:val="0078701B"/>
    <w:rsid w:val="00787BB0"/>
    <w:rsid w:val="007903D1"/>
    <w:rsid w:val="0079087A"/>
    <w:rsid w:val="00790CDE"/>
    <w:rsid w:val="00791D5B"/>
    <w:rsid w:val="00791DFB"/>
    <w:rsid w:val="0079226E"/>
    <w:rsid w:val="007924AC"/>
    <w:rsid w:val="00792957"/>
    <w:rsid w:val="00792A72"/>
    <w:rsid w:val="007933B4"/>
    <w:rsid w:val="0079370C"/>
    <w:rsid w:val="00793F76"/>
    <w:rsid w:val="00793F8E"/>
    <w:rsid w:val="007942B5"/>
    <w:rsid w:val="007944DC"/>
    <w:rsid w:val="00794557"/>
    <w:rsid w:val="00794A36"/>
    <w:rsid w:val="00794AFD"/>
    <w:rsid w:val="00794CCC"/>
    <w:rsid w:val="00794E67"/>
    <w:rsid w:val="00795002"/>
    <w:rsid w:val="0079504C"/>
    <w:rsid w:val="007955DF"/>
    <w:rsid w:val="0079593E"/>
    <w:rsid w:val="00796154"/>
    <w:rsid w:val="00796ED1"/>
    <w:rsid w:val="0079722D"/>
    <w:rsid w:val="00797829"/>
    <w:rsid w:val="007A0BB5"/>
    <w:rsid w:val="007A1594"/>
    <w:rsid w:val="007A19DD"/>
    <w:rsid w:val="007A2200"/>
    <w:rsid w:val="007A2540"/>
    <w:rsid w:val="007A263F"/>
    <w:rsid w:val="007A2F89"/>
    <w:rsid w:val="007A4190"/>
    <w:rsid w:val="007A4221"/>
    <w:rsid w:val="007A44CB"/>
    <w:rsid w:val="007A4C8B"/>
    <w:rsid w:val="007A544B"/>
    <w:rsid w:val="007A56A0"/>
    <w:rsid w:val="007A5FCD"/>
    <w:rsid w:val="007A62C4"/>
    <w:rsid w:val="007A6593"/>
    <w:rsid w:val="007A6CF8"/>
    <w:rsid w:val="007A712F"/>
    <w:rsid w:val="007A7396"/>
    <w:rsid w:val="007A7528"/>
    <w:rsid w:val="007A7D31"/>
    <w:rsid w:val="007B0024"/>
    <w:rsid w:val="007B0D25"/>
    <w:rsid w:val="007B0D79"/>
    <w:rsid w:val="007B1273"/>
    <w:rsid w:val="007B1741"/>
    <w:rsid w:val="007B1764"/>
    <w:rsid w:val="007B1991"/>
    <w:rsid w:val="007B2508"/>
    <w:rsid w:val="007B27EA"/>
    <w:rsid w:val="007B318A"/>
    <w:rsid w:val="007B39AD"/>
    <w:rsid w:val="007B3A32"/>
    <w:rsid w:val="007B3B54"/>
    <w:rsid w:val="007B42A0"/>
    <w:rsid w:val="007B42D0"/>
    <w:rsid w:val="007B46AF"/>
    <w:rsid w:val="007B51DD"/>
    <w:rsid w:val="007B5A1B"/>
    <w:rsid w:val="007B740C"/>
    <w:rsid w:val="007B76E7"/>
    <w:rsid w:val="007C0B75"/>
    <w:rsid w:val="007C108F"/>
    <w:rsid w:val="007C1596"/>
    <w:rsid w:val="007C1A9F"/>
    <w:rsid w:val="007C2055"/>
    <w:rsid w:val="007C2746"/>
    <w:rsid w:val="007C2A37"/>
    <w:rsid w:val="007C3262"/>
    <w:rsid w:val="007C36FF"/>
    <w:rsid w:val="007C39FE"/>
    <w:rsid w:val="007C45AD"/>
    <w:rsid w:val="007C498E"/>
    <w:rsid w:val="007C4AE8"/>
    <w:rsid w:val="007C52BA"/>
    <w:rsid w:val="007C5559"/>
    <w:rsid w:val="007C591B"/>
    <w:rsid w:val="007C7021"/>
    <w:rsid w:val="007C7DBD"/>
    <w:rsid w:val="007D0D9A"/>
    <w:rsid w:val="007D0E5C"/>
    <w:rsid w:val="007D0F79"/>
    <w:rsid w:val="007D12AA"/>
    <w:rsid w:val="007D1421"/>
    <w:rsid w:val="007D16F9"/>
    <w:rsid w:val="007D1EA1"/>
    <w:rsid w:val="007D2DD1"/>
    <w:rsid w:val="007D39A6"/>
    <w:rsid w:val="007D39F9"/>
    <w:rsid w:val="007D411B"/>
    <w:rsid w:val="007D425B"/>
    <w:rsid w:val="007D47E3"/>
    <w:rsid w:val="007D4C98"/>
    <w:rsid w:val="007D4CA8"/>
    <w:rsid w:val="007D5250"/>
    <w:rsid w:val="007D58B8"/>
    <w:rsid w:val="007D6354"/>
    <w:rsid w:val="007D641A"/>
    <w:rsid w:val="007D68BC"/>
    <w:rsid w:val="007D6F07"/>
    <w:rsid w:val="007E0083"/>
    <w:rsid w:val="007E025B"/>
    <w:rsid w:val="007E127C"/>
    <w:rsid w:val="007E1482"/>
    <w:rsid w:val="007E14B1"/>
    <w:rsid w:val="007E1945"/>
    <w:rsid w:val="007E1CAA"/>
    <w:rsid w:val="007E1CFD"/>
    <w:rsid w:val="007E22D0"/>
    <w:rsid w:val="007E2DEF"/>
    <w:rsid w:val="007E2EF2"/>
    <w:rsid w:val="007E3B9F"/>
    <w:rsid w:val="007E3CA8"/>
    <w:rsid w:val="007E407F"/>
    <w:rsid w:val="007E43E3"/>
    <w:rsid w:val="007E4655"/>
    <w:rsid w:val="007E48F1"/>
    <w:rsid w:val="007E495E"/>
    <w:rsid w:val="007E4FAA"/>
    <w:rsid w:val="007E5454"/>
    <w:rsid w:val="007E575A"/>
    <w:rsid w:val="007E5CE1"/>
    <w:rsid w:val="007E6426"/>
    <w:rsid w:val="007E6637"/>
    <w:rsid w:val="007E6A1B"/>
    <w:rsid w:val="007E79A9"/>
    <w:rsid w:val="007F0431"/>
    <w:rsid w:val="007F08D3"/>
    <w:rsid w:val="007F144B"/>
    <w:rsid w:val="007F1825"/>
    <w:rsid w:val="007F1FE1"/>
    <w:rsid w:val="007F23EE"/>
    <w:rsid w:val="007F27D1"/>
    <w:rsid w:val="007F3345"/>
    <w:rsid w:val="007F35F0"/>
    <w:rsid w:val="007F3B8C"/>
    <w:rsid w:val="007F3F62"/>
    <w:rsid w:val="007F4015"/>
    <w:rsid w:val="007F415F"/>
    <w:rsid w:val="007F448D"/>
    <w:rsid w:val="007F46DF"/>
    <w:rsid w:val="007F48DE"/>
    <w:rsid w:val="007F526D"/>
    <w:rsid w:val="007F5706"/>
    <w:rsid w:val="007F58CF"/>
    <w:rsid w:val="007F5962"/>
    <w:rsid w:val="007F623A"/>
    <w:rsid w:val="007F6A53"/>
    <w:rsid w:val="007F6CE2"/>
    <w:rsid w:val="007F7C05"/>
    <w:rsid w:val="007F7D36"/>
    <w:rsid w:val="0080187A"/>
    <w:rsid w:val="008018E8"/>
    <w:rsid w:val="00801A03"/>
    <w:rsid w:val="00801AF9"/>
    <w:rsid w:val="00801D95"/>
    <w:rsid w:val="00801FD9"/>
    <w:rsid w:val="008021E1"/>
    <w:rsid w:val="0080261B"/>
    <w:rsid w:val="0080299B"/>
    <w:rsid w:val="00803259"/>
    <w:rsid w:val="008035DE"/>
    <w:rsid w:val="00804408"/>
    <w:rsid w:val="00804F4A"/>
    <w:rsid w:val="0080537B"/>
    <w:rsid w:val="008053E2"/>
    <w:rsid w:val="00805DAC"/>
    <w:rsid w:val="00806329"/>
    <w:rsid w:val="00806BAF"/>
    <w:rsid w:val="008071C6"/>
    <w:rsid w:val="00807241"/>
    <w:rsid w:val="00807DF8"/>
    <w:rsid w:val="00807FA4"/>
    <w:rsid w:val="008103A0"/>
    <w:rsid w:val="008109A0"/>
    <w:rsid w:val="008109B7"/>
    <w:rsid w:val="00810DBF"/>
    <w:rsid w:val="008110F5"/>
    <w:rsid w:val="008113D7"/>
    <w:rsid w:val="008118A0"/>
    <w:rsid w:val="008118CF"/>
    <w:rsid w:val="00811AF0"/>
    <w:rsid w:val="00811E9B"/>
    <w:rsid w:val="0081248B"/>
    <w:rsid w:val="008124D6"/>
    <w:rsid w:val="00812CD1"/>
    <w:rsid w:val="00812F2E"/>
    <w:rsid w:val="0081367D"/>
    <w:rsid w:val="00813783"/>
    <w:rsid w:val="00814569"/>
    <w:rsid w:val="00814D29"/>
    <w:rsid w:val="00815047"/>
    <w:rsid w:val="008154D6"/>
    <w:rsid w:val="00815653"/>
    <w:rsid w:val="00816944"/>
    <w:rsid w:val="00816D2E"/>
    <w:rsid w:val="00816E00"/>
    <w:rsid w:val="0081734B"/>
    <w:rsid w:val="0081786B"/>
    <w:rsid w:val="00817AC1"/>
    <w:rsid w:val="008203E8"/>
    <w:rsid w:val="0082055F"/>
    <w:rsid w:val="00821996"/>
    <w:rsid w:val="0082244C"/>
    <w:rsid w:val="00822C5C"/>
    <w:rsid w:val="00822CCF"/>
    <w:rsid w:val="008241A1"/>
    <w:rsid w:val="00824972"/>
    <w:rsid w:val="00824B3C"/>
    <w:rsid w:val="00824DD6"/>
    <w:rsid w:val="00825321"/>
    <w:rsid w:val="00825A2A"/>
    <w:rsid w:val="008266F0"/>
    <w:rsid w:val="008276A0"/>
    <w:rsid w:val="00827A31"/>
    <w:rsid w:val="00830EBA"/>
    <w:rsid w:val="00831650"/>
    <w:rsid w:val="00831C70"/>
    <w:rsid w:val="00832641"/>
    <w:rsid w:val="00833321"/>
    <w:rsid w:val="008334A3"/>
    <w:rsid w:val="00833F85"/>
    <w:rsid w:val="0083456D"/>
    <w:rsid w:val="00834856"/>
    <w:rsid w:val="00834A44"/>
    <w:rsid w:val="00834F22"/>
    <w:rsid w:val="00837133"/>
    <w:rsid w:val="00837144"/>
    <w:rsid w:val="0083742D"/>
    <w:rsid w:val="00837C3E"/>
    <w:rsid w:val="00840E07"/>
    <w:rsid w:val="008410B3"/>
    <w:rsid w:val="00841C71"/>
    <w:rsid w:val="0084243D"/>
    <w:rsid w:val="0084262A"/>
    <w:rsid w:val="00842EF6"/>
    <w:rsid w:val="008434B7"/>
    <w:rsid w:val="00843E8A"/>
    <w:rsid w:val="0084403C"/>
    <w:rsid w:val="00844FB2"/>
    <w:rsid w:val="0084500D"/>
    <w:rsid w:val="00845CCA"/>
    <w:rsid w:val="008460A7"/>
    <w:rsid w:val="00846177"/>
    <w:rsid w:val="00846709"/>
    <w:rsid w:val="00847004"/>
    <w:rsid w:val="008473CB"/>
    <w:rsid w:val="00847820"/>
    <w:rsid w:val="00847E1D"/>
    <w:rsid w:val="008517AB"/>
    <w:rsid w:val="008518EB"/>
    <w:rsid w:val="00851D5C"/>
    <w:rsid w:val="00852284"/>
    <w:rsid w:val="008526DF"/>
    <w:rsid w:val="00852839"/>
    <w:rsid w:val="00852EBA"/>
    <w:rsid w:val="00852ECA"/>
    <w:rsid w:val="0085320B"/>
    <w:rsid w:val="00853F2F"/>
    <w:rsid w:val="008550D9"/>
    <w:rsid w:val="008558C1"/>
    <w:rsid w:val="008559DD"/>
    <w:rsid w:val="0085621B"/>
    <w:rsid w:val="008575F8"/>
    <w:rsid w:val="00857E36"/>
    <w:rsid w:val="008602AB"/>
    <w:rsid w:val="008615ED"/>
    <w:rsid w:val="00861B77"/>
    <w:rsid w:val="00862314"/>
    <w:rsid w:val="0086231B"/>
    <w:rsid w:val="008626B9"/>
    <w:rsid w:val="008629C4"/>
    <w:rsid w:val="00862ECA"/>
    <w:rsid w:val="00862F7E"/>
    <w:rsid w:val="00863317"/>
    <w:rsid w:val="0086371E"/>
    <w:rsid w:val="00863752"/>
    <w:rsid w:val="00864CF5"/>
    <w:rsid w:val="0086593A"/>
    <w:rsid w:val="00865C7F"/>
    <w:rsid w:val="00865DAB"/>
    <w:rsid w:val="0086770B"/>
    <w:rsid w:val="008677E7"/>
    <w:rsid w:val="008678FD"/>
    <w:rsid w:val="0086797A"/>
    <w:rsid w:val="0087013E"/>
    <w:rsid w:val="0087020F"/>
    <w:rsid w:val="00870322"/>
    <w:rsid w:val="00870329"/>
    <w:rsid w:val="00870687"/>
    <w:rsid w:val="008709B0"/>
    <w:rsid w:val="008709C2"/>
    <w:rsid w:val="00871364"/>
    <w:rsid w:val="00872296"/>
    <w:rsid w:val="00872404"/>
    <w:rsid w:val="00872938"/>
    <w:rsid w:val="008733FC"/>
    <w:rsid w:val="008739FC"/>
    <w:rsid w:val="00875494"/>
    <w:rsid w:val="00880948"/>
    <w:rsid w:val="00881088"/>
    <w:rsid w:val="00881663"/>
    <w:rsid w:val="00883B32"/>
    <w:rsid w:val="00884856"/>
    <w:rsid w:val="00884FB7"/>
    <w:rsid w:val="0088516F"/>
    <w:rsid w:val="00885370"/>
    <w:rsid w:val="008857D7"/>
    <w:rsid w:val="00886ABC"/>
    <w:rsid w:val="00887286"/>
    <w:rsid w:val="0088771B"/>
    <w:rsid w:val="00890191"/>
    <w:rsid w:val="0089049E"/>
    <w:rsid w:val="008910AA"/>
    <w:rsid w:val="00891389"/>
    <w:rsid w:val="008913B5"/>
    <w:rsid w:val="008916DA"/>
    <w:rsid w:val="00891789"/>
    <w:rsid w:val="008926B1"/>
    <w:rsid w:val="00892982"/>
    <w:rsid w:val="00892FAA"/>
    <w:rsid w:val="00893071"/>
    <w:rsid w:val="00893CA3"/>
    <w:rsid w:val="00893F12"/>
    <w:rsid w:val="00893F95"/>
    <w:rsid w:val="00894578"/>
    <w:rsid w:val="00894697"/>
    <w:rsid w:val="00895400"/>
    <w:rsid w:val="008955A6"/>
    <w:rsid w:val="00895D6A"/>
    <w:rsid w:val="008964AC"/>
    <w:rsid w:val="00896A97"/>
    <w:rsid w:val="00896D16"/>
    <w:rsid w:val="00897801"/>
    <w:rsid w:val="00897A68"/>
    <w:rsid w:val="008A0BD1"/>
    <w:rsid w:val="008A0C49"/>
    <w:rsid w:val="008A0FAE"/>
    <w:rsid w:val="008A1447"/>
    <w:rsid w:val="008A3108"/>
    <w:rsid w:val="008A32DF"/>
    <w:rsid w:val="008A41A3"/>
    <w:rsid w:val="008A4406"/>
    <w:rsid w:val="008A6018"/>
    <w:rsid w:val="008A6059"/>
    <w:rsid w:val="008A6546"/>
    <w:rsid w:val="008A68E3"/>
    <w:rsid w:val="008A6A1B"/>
    <w:rsid w:val="008A7BEF"/>
    <w:rsid w:val="008B05B9"/>
    <w:rsid w:val="008B075C"/>
    <w:rsid w:val="008B1C42"/>
    <w:rsid w:val="008B1E7E"/>
    <w:rsid w:val="008B1F33"/>
    <w:rsid w:val="008B2A09"/>
    <w:rsid w:val="008B335C"/>
    <w:rsid w:val="008B34CC"/>
    <w:rsid w:val="008B3DED"/>
    <w:rsid w:val="008B4262"/>
    <w:rsid w:val="008B42DA"/>
    <w:rsid w:val="008B49BB"/>
    <w:rsid w:val="008B5F08"/>
    <w:rsid w:val="008B6153"/>
    <w:rsid w:val="008B75F6"/>
    <w:rsid w:val="008B7AEB"/>
    <w:rsid w:val="008C02BE"/>
    <w:rsid w:val="008C0787"/>
    <w:rsid w:val="008C2842"/>
    <w:rsid w:val="008C2907"/>
    <w:rsid w:val="008C31A0"/>
    <w:rsid w:val="008C3BAA"/>
    <w:rsid w:val="008C46F7"/>
    <w:rsid w:val="008C47D7"/>
    <w:rsid w:val="008C4F84"/>
    <w:rsid w:val="008C5275"/>
    <w:rsid w:val="008C693C"/>
    <w:rsid w:val="008C6DB9"/>
    <w:rsid w:val="008C6E9E"/>
    <w:rsid w:val="008C7527"/>
    <w:rsid w:val="008C7611"/>
    <w:rsid w:val="008C765E"/>
    <w:rsid w:val="008C7D5B"/>
    <w:rsid w:val="008D06A6"/>
    <w:rsid w:val="008D0EAF"/>
    <w:rsid w:val="008D1ED1"/>
    <w:rsid w:val="008D2265"/>
    <w:rsid w:val="008D2906"/>
    <w:rsid w:val="008D2BA1"/>
    <w:rsid w:val="008D2FFC"/>
    <w:rsid w:val="008D3385"/>
    <w:rsid w:val="008D3727"/>
    <w:rsid w:val="008D384B"/>
    <w:rsid w:val="008D38D4"/>
    <w:rsid w:val="008D46D8"/>
    <w:rsid w:val="008D5D8A"/>
    <w:rsid w:val="008D6141"/>
    <w:rsid w:val="008D694B"/>
    <w:rsid w:val="008D7B73"/>
    <w:rsid w:val="008D7FF4"/>
    <w:rsid w:val="008E01D1"/>
    <w:rsid w:val="008E04E8"/>
    <w:rsid w:val="008E0BEA"/>
    <w:rsid w:val="008E23A2"/>
    <w:rsid w:val="008E2FB3"/>
    <w:rsid w:val="008E3254"/>
    <w:rsid w:val="008E32AA"/>
    <w:rsid w:val="008E4211"/>
    <w:rsid w:val="008E4965"/>
    <w:rsid w:val="008E4D12"/>
    <w:rsid w:val="008E4FE8"/>
    <w:rsid w:val="008E5DBF"/>
    <w:rsid w:val="008E60F2"/>
    <w:rsid w:val="008E64E4"/>
    <w:rsid w:val="008E667E"/>
    <w:rsid w:val="008E6924"/>
    <w:rsid w:val="008E6973"/>
    <w:rsid w:val="008E717C"/>
    <w:rsid w:val="008E72EF"/>
    <w:rsid w:val="008F00F3"/>
    <w:rsid w:val="008F0184"/>
    <w:rsid w:val="008F02CE"/>
    <w:rsid w:val="008F08E9"/>
    <w:rsid w:val="008F0E19"/>
    <w:rsid w:val="008F1C64"/>
    <w:rsid w:val="008F2200"/>
    <w:rsid w:val="008F2D26"/>
    <w:rsid w:val="008F30B4"/>
    <w:rsid w:val="008F33BA"/>
    <w:rsid w:val="008F43EB"/>
    <w:rsid w:val="008F4C72"/>
    <w:rsid w:val="008F4CE5"/>
    <w:rsid w:val="008F55E6"/>
    <w:rsid w:val="008F585C"/>
    <w:rsid w:val="008F6309"/>
    <w:rsid w:val="008F685E"/>
    <w:rsid w:val="008F75E0"/>
    <w:rsid w:val="008F7730"/>
    <w:rsid w:val="008F79E7"/>
    <w:rsid w:val="009007C4"/>
    <w:rsid w:val="0090080F"/>
    <w:rsid w:val="009009D1"/>
    <w:rsid w:val="00900B08"/>
    <w:rsid w:val="00900F02"/>
    <w:rsid w:val="00901AE3"/>
    <w:rsid w:val="0090215D"/>
    <w:rsid w:val="009032A5"/>
    <w:rsid w:val="009043DC"/>
    <w:rsid w:val="00904FBB"/>
    <w:rsid w:val="009051D8"/>
    <w:rsid w:val="00905270"/>
    <w:rsid w:val="00905C82"/>
    <w:rsid w:val="009068DC"/>
    <w:rsid w:val="00906B1B"/>
    <w:rsid w:val="00906CEC"/>
    <w:rsid w:val="009077FA"/>
    <w:rsid w:val="00907C1B"/>
    <w:rsid w:val="00907E44"/>
    <w:rsid w:val="00910038"/>
    <w:rsid w:val="009106A9"/>
    <w:rsid w:val="00910D29"/>
    <w:rsid w:val="00910DD8"/>
    <w:rsid w:val="00910F3C"/>
    <w:rsid w:val="00911A6F"/>
    <w:rsid w:val="0091278F"/>
    <w:rsid w:val="00912FBC"/>
    <w:rsid w:val="00913144"/>
    <w:rsid w:val="00913F55"/>
    <w:rsid w:val="00914837"/>
    <w:rsid w:val="00914FAE"/>
    <w:rsid w:val="0091537A"/>
    <w:rsid w:val="009163A6"/>
    <w:rsid w:val="009169D9"/>
    <w:rsid w:val="00917130"/>
    <w:rsid w:val="00917687"/>
    <w:rsid w:val="009202B6"/>
    <w:rsid w:val="00920708"/>
    <w:rsid w:val="00920A74"/>
    <w:rsid w:val="00920D45"/>
    <w:rsid w:val="00920EF6"/>
    <w:rsid w:val="0092134E"/>
    <w:rsid w:val="00921AB2"/>
    <w:rsid w:val="00921C5A"/>
    <w:rsid w:val="00921DEC"/>
    <w:rsid w:val="0092265F"/>
    <w:rsid w:val="00922844"/>
    <w:rsid w:val="00922CF8"/>
    <w:rsid w:val="009234F5"/>
    <w:rsid w:val="0092455F"/>
    <w:rsid w:val="00924682"/>
    <w:rsid w:val="009248E0"/>
    <w:rsid w:val="00924AEA"/>
    <w:rsid w:val="00924FF9"/>
    <w:rsid w:val="00925A7E"/>
    <w:rsid w:val="00926CC5"/>
    <w:rsid w:val="00926CFF"/>
    <w:rsid w:val="0092703F"/>
    <w:rsid w:val="00927841"/>
    <w:rsid w:val="0092786C"/>
    <w:rsid w:val="009278AF"/>
    <w:rsid w:val="00927F3E"/>
    <w:rsid w:val="00930000"/>
    <w:rsid w:val="00930339"/>
    <w:rsid w:val="0093035E"/>
    <w:rsid w:val="0093086E"/>
    <w:rsid w:val="00930CE9"/>
    <w:rsid w:val="009314F8"/>
    <w:rsid w:val="0093190A"/>
    <w:rsid w:val="009319CA"/>
    <w:rsid w:val="00931DA1"/>
    <w:rsid w:val="00931E3A"/>
    <w:rsid w:val="00932BC1"/>
    <w:rsid w:val="0093311D"/>
    <w:rsid w:val="00933854"/>
    <w:rsid w:val="00933C0E"/>
    <w:rsid w:val="00933C3C"/>
    <w:rsid w:val="009345AC"/>
    <w:rsid w:val="00934FD2"/>
    <w:rsid w:val="00935A92"/>
    <w:rsid w:val="00935DF3"/>
    <w:rsid w:val="00936968"/>
    <w:rsid w:val="00937518"/>
    <w:rsid w:val="0093758E"/>
    <w:rsid w:val="009376FC"/>
    <w:rsid w:val="00937933"/>
    <w:rsid w:val="00937E9B"/>
    <w:rsid w:val="00937FEA"/>
    <w:rsid w:val="00940A59"/>
    <w:rsid w:val="00940EA2"/>
    <w:rsid w:val="0094168C"/>
    <w:rsid w:val="0094185F"/>
    <w:rsid w:val="00941D43"/>
    <w:rsid w:val="0094202D"/>
    <w:rsid w:val="00942529"/>
    <w:rsid w:val="009425F0"/>
    <w:rsid w:val="00942D8C"/>
    <w:rsid w:val="00942DB7"/>
    <w:rsid w:val="00943472"/>
    <w:rsid w:val="00943BA3"/>
    <w:rsid w:val="0094401D"/>
    <w:rsid w:val="00945948"/>
    <w:rsid w:val="00945E99"/>
    <w:rsid w:val="00945F47"/>
    <w:rsid w:val="00946674"/>
    <w:rsid w:val="00946E43"/>
    <w:rsid w:val="00946FD4"/>
    <w:rsid w:val="00947F00"/>
    <w:rsid w:val="009500E9"/>
    <w:rsid w:val="00950281"/>
    <w:rsid w:val="00950575"/>
    <w:rsid w:val="00951242"/>
    <w:rsid w:val="009524E7"/>
    <w:rsid w:val="00952E16"/>
    <w:rsid w:val="0095357E"/>
    <w:rsid w:val="00953BEC"/>
    <w:rsid w:val="0095495E"/>
    <w:rsid w:val="00954B73"/>
    <w:rsid w:val="00954E19"/>
    <w:rsid w:val="00955832"/>
    <w:rsid w:val="00955D2C"/>
    <w:rsid w:val="00955F8B"/>
    <w:rsid w:val="00955F8C"/>
    <w:rsid w:val="00956597"/>
    <w:rsid w:val="009570D1"/>
    <w:rsid w:val="009573A0"/>
    <w:rsid w:val="009576D7"/>
    <w:rsid w:val="00957A73"/>
    <w:rsid w:val="009604C4"/>
    <w:rsid w:val="00960BF5"/>
    <w:rsid w:val="00960D76"/>
    <w:rsid w:val="00960E6A"/>
    <w:rsid w:val="00961071"/>
    <w:rsid w:val="0096117E"/>
    <w:rsid w:val="00961313"/>
    <w:rsid w:val="009615E7"/>
    <w:rsid w:val="00961DBA"/>
    <w:rsid w:val="009622EB"/>
    <w:rsid w:val="009624EE"/>
    <w:rsid w:val="00962563"/>
    <w:rsid w:val="009632AD"/>
    <w:rsid w:val="00963ED7"/>
    <w:rsid w:val="00963F55"/>
    <w:rsid w:val="009646BD"/>
    <w:rsid w:val="00964842"/>
    <w:rsid w:val="00965066"/>
    <w:rsid w:val="009652B9"/>
    <w:rsid w:val="00965881"/>
    <w:rsid w:val="00965B98"/>
    <w:rsid w:val="00966B18"/>
    <w:rsid w:val="0096757D"/>
    <w:rsid w:val="009700FA"/>
    <w:rsid w:val="0097198F"/>
    <w:rsid w:val="00971C4D"/>
    <w:rsid w:val="0097210B"/>
    <w:rsid w:val="009722F9"/>
    <w:rsid w:val="009723B9"/>
    <w:rsid w:val="00972879"/>
    <w:rsid w:val="009728BE"/>
    <w:rsid w:val="00972AE3"/>
    <w:rsid w:val="00972C2D"/>
    <w:rsid w:val="0097321B"/>
    <w:rsid w:val="009737FA"/>
    <w:rsid w:val="00974346"/>
    <w:rsid w:val="0097465C"/>
    <w:rsid w:val="009747E0"/>
    <w:rsid w:val="00974919"/>
    <w:rsid w:val="00975425"/>
    <w:rsid w:val="00976EE6"/>
    <w:rsid w:val="00977980"/>
    <w:rsid w:val="00977A60"/>
    <w:rsid w:val="00977AAF"/>
    <w:rsid w:val="0098054D"/>
    <w:rsid w:val="00980752"/>
    <w:rsid w:val="0098157B"/>
    <w:rsid w:val="00981C49"/>
    <w:rsid w:val="00982366"/>
    <w:rsid w:val="009824FF"/>
    <w:rsid w:val="00982D70"/>
    <w:rsid w:val="009833CF"/>
    <w:rsid w:val="00983EE2"/>
    <w:rsid w:val="009868CC"/>
    <w:rsid w:val="00986A3C"/>
    <w:rsid w:val="00986B3E"/>
    <w:rsid w:val="00986FFD"/>
    <w:rsid w:val="0098794C"/>
    <w:rsid w:val="00990C23"/>
    <w:rsid w:val="00990D75"/>
    <w:rsid w:val="00990EC1"/>
    <w:rsid w:val="00991580"/>
    <w:rsid w:val="00992808"/>
    <w:rsid w:val="00992F92"/>
    <w:rsid w:val="0099387B"/>
    <w:rsid w:val="009944E4"/>
    <w:rsid w:val="00994638"/>
    <w:rsid w:val="00994A9E"/>
    <w:rsid w:val="00994B7E"/>
    <w:rsid w:val="00995231"/>
    <w:rsid w:val="009956E1"/>
    <w:rsid w:val="00995D96"/>
    <w:rsid w:val="009A03E9"/>
    <w:rsid w:val="009A05C0"/>
    <w:rsid w:val="009A0A4D"/>
    <w:rsid w:val="009A19A7"/>
    <w:rsid w:val="009A1BC1"/>
    <w:rsid w:val="009A1F7C"/>
    <w:rsid w:val="009A27E1"/>
    <w:rsid w:val="009A2C15"/>
    <w:rsid w:val="009A2F13"/>
    <w:rsid w:val="009A35CF"/>
    <w:rsid w:val="009A361A"/>
    <w:rsid w:val="009A399D"/>
    <w:rsid w:val="009A39E6"/>
    <w:rsid w:val="009A41D4"/>
    <w:rsid w:val="009A4257"/>
    <w:rsid w:val="009A477A"/>
    <w:rsid w:val="009A5412"/>
    <w:rsid w:val="009A58B7"/>
    <w:rsid w:val="009A6176"/>
    <w:rsid w:val="009A66FB"/>
    <w:rsid w:val="009A71F7"/>
    <w:rsid w:val="009A7C51"/>
    <w:rsid w:val="009A7FD5"/>
    <w:rsid w:val="009B0732"/>
    <w:rsid w:val="009B0AEF"/>
    <w:rsid w:val="009B0B0A"/>
    <w:rsid w:val="009B14AC"/>
    <w:rsid w:val="009B1EF1"/>
    <w:rsid w:val="009B1FFB"/>
    <w:rsid w:val="009B2298"/>
    <w:rsid w:val="009B2B2D"/>
    <w:rsid w:val="009B2C60"/>
    <w:rsid w:val="009B2E40"/>
    <w:rsid w:val="009B2FDD"/>
    <w:rsid w:val="009B3238"/>
    <w:rsid w:val="009B3424"/>
    <w:rsid w:val="009B3AE5"/>
    <w:rsid w:val="009B3CD5"/>
    <w:rsid w:val="009B4336"/>
    <w:rsid w:val="009B47B8"/>
    <w:rsid w:val="009B4F92"/>
    <w:rsid w:val="009B5ADB"/>
    <w:rsid w:val="009B65AF"/>
    <w:rsid w:val="009B7C94"/>
    <w:rsid w:val="009C11EE"/>
    <w:rsid w:val="009C21A9"/>
    <w:rsid w:val="009C3715"/>
    <w:rsid w:val="009C39C2"/>
    <w:rsid w:val="009C4ECC"/>
    <w:rsid w:val="009C4F36"/>
    <w:rsid w:val="009C538B"/>
    <w:rsid w:val="009C53AC"/>
    <w:rsid w:val="009C5A4E"/>
    <w:rsid w:val="009C65CB"/>
    <w:rsid w:val="009C690D"/>
    <w:rsid w:val="009C6B6F"/>
    <w:rsid w:val="009C78F8"/>
    <w:rsid w:val="009D00E0"/>
    <w:rsid w:val="009D01D1"/>
    <w:rsid w:val="009D12E7"/>
    <w:rsid w:val="009D2A6C"/>
    <w:rsid w:val="009D387F"/>
    <w:rsid w:val="009D3EE4"/>
    <w:rsid w:val="009D4EAF"/>
    <w:rsid w:val="009D517D"/>
    <w:rsid w:val="009D53DD"/>
    <w:rsid w:val="009D5698"/>
    <w:rsid w:val="009D57A4"/>
    <w:rsid w:val="009D5AC2"/>
    <w:rsid w:val="009D5FFF"/>
    <w:rsid w:val="009D7E78"/>
    <w:rsid w:val="009E0006"/>
    <w:rsid w:val="009E0974"/>
    <w:rsid w:val="009E0DC2"/>
    <w:rsid w:val="009E268A"/>
    <w:rsid w:val="009E39A5"/>
    <w:rsid w:val="009E3AFC"/>
    <w:rsid w:val="009E3DD2"/>
    <w:rsid w:val="009E3FFC"/>
    <w:rsid w:val="009E55BA"/>
    <w:rsid w:val="009E5708"/>
    <w:rsid w:val="009E6872"/>
    <w:rsid w:val="009E6905"/>
    <w:rsid w:val="009E6D89"/>
    <w:rsid w:val="009E7330"/>
    <w:rsid w:val="009F1467"/>
    <w:rsid w:val="009F29DC"/>
    <w:rsid w:val="009F3288"/>
    <w:rsid w:val="009F4D43"/>
    <w:rsid w:val="009F5108"/>
    <w:rsid w:val="009F61C0"/>
    <w:rsid w:val="009F6C33"/>
    <w:rsid w:val="009F731C"/>
    <w:rsid w:val="009F7F39"/>
    <w:rsid w:val="00A00030"/>
    <w:rsid w:val="00A0039D"/>
    <w:rsid w:val="00A0046B"/>
    <w:rsid w:val="00A00473"/>
    <w:rsid w:val="00A008F4"/>
    <w:rsid w:val="00A00AFF"/>
    <w:rsid w:val="00A00EC0"/>
    <w:rsid w:val="00A0100A"/>
    <w:rsid w:val="00A02841"/>
    <w:rsid w:val="00A02948"/>
    <w:rsid w:val="00A02DBA"/>
    <w:rsid w:val="00A02F5C"/>
    <w:rsid w:val="00A02FB1"/>
    <w:rsid w:val="00A03078"/>
    <w:rsid w:val="00A03140"/>
    <w:rsid w:val="00A0329D"/>
    <w:rsid w:val="00A0361A"/>
    <w:rsid w:val="00A03ED5"/>
    <w:rsid w:val="00A04BFE"/>
    <w:rsid w:val="00A0543B"/>
    <w:rsid w:val="00A05D23"/>
    <w:rsid w:val="00A06C82"/>
    <w:rsid w:val="00A0728D"/>
    <w:rsid w:val="00A07CE2"/>
    <w:rsid w:val="00A10590"/>
    <w:rsid w:val="00A108CE"/>
    <w:rsid w:val="00A10C81"/>
    <w:rsid w:val="00A115A7"/>
    <w:rsid w:val="00A116E1"/>
    <w:rsid w:val="00A11782"/>
    <w:rsid w:val="00A117F0"/>
    <w:rsid w:val="00A11B88"/>
    <w:rsid w:val="00A12474"/>
    <w:rsid w:val="00A12822"/>
    <w:rsid w:val="00A12AFF"/>
    <w:rsid w:val="00A12BA9"/>
    <w:rsid w:val="00A12C8F"/>
    <w:rsid w:val="00A12FDF"/>
    <w:rsid w:val="00A13288"/>
    <w:rsid w:val="00A134F5"/>
    <w:rsid w:val="00A139F0"/>
    <w:rsid w:val="00A13BBA"/>
    <w:rsid w:val="00A14147"/>
    <w:rsid w:val="00A144E7"/>
    <w:rsid w:val="00A14A5A"/>
    <w:rsid w:val="00A14C49"/>
    <w:rsid w:val="00A15048"/>
    <w:rsid w:val="00A154FE"/>
    <w:rsid w:val="00A15EC6"/>
    <w:rsid w:val="00A168E1"/>
    <w:rsid w:val="00A2034C"/>
    <w:rsid w:val="00A20EF0"/>
    <w:rsid w:val="00A213AC"/>
    <w:rsid w:val="00A21AD3"/>
    <w:rsid w:val="00A220F3"/>
    <w:rsid w:val="00A23291"/>
    <w:rsid w:val="00A232FD"/>
    <w:rsid w:val="00A23C7E"/>
    <w:rsid w:val="00A2432C"/>
    <w:rsid w:val="00A24398"/>
    <w:rsid w:val="00A25028"/>
    <w:rsid w:val="00A25494"/>
    <w:rsid w:val="00A25E3F"/>
    <w:rsid w:val="00A260EA"/>
    <w:rsid w:val="00A2642F"/>
    <w:rsid w:val="00A2658C"/>
    <w:rsid w:val="00A2693E"/>
    <w:rsid w:val="00A26EF5"/>
    <w:rsid w:val="00A26F28"/>
    <w:rsid w:val="00A2750A"/>
    <w:rsid w:val="00A27608"/>
    <w:rsid w:val="00A27F3B"/>
    <w:rsid w:val="00A3027B"/>
    <w:rsid w:val="00A309AB"/>
    <w:rsid w:val="00A315A2"/>
    <w:rsid w:val="00A3421E"/>
    <w:rsid w:val="00A35A9E"/>
    <w:rsid w:val="00A36B4D"/>
    <w:rsid w:val="00A37C0F"/>
    <w:rsid w:val="00A37DC5"/>
    <w:rsid w:val="00A407F0"/>
    <w:rsid w:val="00A4106D"/>
    <w:rsid w:val="00A41B94"/>
    <w:rsid w:val="00A42C3F"/>
    <w:rsid w:val="00A43085"/>
    <w:rsid w:val="00A437A9"/>
    <w:rsid w:val="00A43BDB"/>
    <w:rsid w:val="00A43E25"/>
    <w:rsid w:val="00A4418C"/>
    <w:rsid w:val="00A4465A"/>
    <w:rsid w:val="00A447D7"/>
    <w:rsid w:val="00A44B48"/>
    <w:rsid w:val="00A44BAF"/>
    <w:rsid w:val="00A4543F"/>
    <w:rsid w:val="00A4550B"/>
    <w:rsid w:val="00A45C4A"/>
    <w:rsid w:val="00A45E01"/>
    <w:rsid w:val="00A45E81"/>
    <w:rsid w:val="00A46118"/>
    <w:rsid w:val="00A464DA"/>
    <w:rsid w:val="00A4652F"/>
    <w:rsid w:val="00A465A7"/>
    <w:rsid w:val="00A467E9"/>
    <w:rsid w:val="00A4787E"/>
    <w:rsid w:val="00A50D3D"/>
    <w:rsid w:val="00A51136"/>
    <w:rsid w:val="00A5272C"/>
    <w:rsid w:val="00A527CD"/>
    <w:rsid w:val="00A53DAF"/>
    <w:rsid w:val="00A55A15"/>
    <w:rsid w:val="00A55AFF"/>
    <w:rsid w:val="00A56317"/>
    <w:rsid w:val="00A57122"/>
    <w:rsid w:val="00A60474"/>
    <w:rsid w:val="00A60B51"/>
    <w:rsid w:val="00A61625"/>
    <w:rsid w:val="00A61E5C"/>
    <w:rsid w:val="00A6241E"/>
    <w:rsid w:val="00A62775"/>
    <w:rsid w:val="00A62AA3"/>
    <w:rsid w:val="00A63315"/>
    <w:rsid w:val="00A6412A"/>
    <w:rsid w:val="00A65419"/>
    <w:rsid w:val="00A66172"/>
    <w:rsid w:val="00A6680C"/>
    <w:rsid w:val="00A67237"/>
    <w:rsid w:val="00A67347"/>
    <w:rsid w:val="00A67397"/>
    <w:rsid w:val="00A67836"/>
    <w:rsid w:val="00A6795C"/>
    <w:rsid w:val="00A67DFF"/>
    <w:rsid w:val="00A67F56"/>
    <w:rsid w:val="00A67F76"/>
    <w:rsid w:val="00A705F7"/>
    <w:rsid w:val="00A71EAA"/>
    <w:rsid w:val="00A725B3"/>
    <w:rsid w:val="00A73006"/>
    <w:rsid w:val="00A737F1"/>
    <w:rsid w:val="00A73B3B"/>
    <w:rsid w:val="00A73EB6"/>
    <w:rsid w:val="00A741C5"/>
    <w:rsid w:val="00A7430E"/>
    <w:rsid w:val="00A74531"/>
    <w:rsid w:val="00A74CE3"/>
    <w:rsid w:val="00A74F35"/>
    <w:rsid w:val="00A7507B"/>
    <w:rsid w:val="00A75524"/>
    <w:rsid w:val="00A755B5"/>
    <w:rsid w:val="00A75E87"/>
    <w:rsid w:val="00A75EF4"/>
    <w:rsid w:val="00A768E9"/>
    <w:rsid w:val="00A771AA"/>
    <w:rsid w:val="00A77555"/>
    <w:rsid w:val="00A77BB0"/>
    <w:rsid w:val="00A80412"/>
    <w:rsid w:val="00A8048C"/>
    <w:rsid w:val="00A8091B"/>
    <w:rsid w:val="00A80B11"/>
    <w:rsid w:val="00A80D89"/>
    <w:rsid w:val="00A80E51"/>
    <w:rsid w:val="00A811E5"/>
    <w:rsid w:val="00A82565"/>
    <w:rsid w:val="00A825F2"/>
    <w:rsid w:val="00A828BA"/>
    <w:rsid w:val="00A83243"/>
    <w:rsid w:val="00A83A9F"/>
    <w:rsid w:val="00A840C7"/>
    <w:rsid w:val="00A8462F"/>
    <w:rsid w:val="00A84D18"/>
    <w:rsid w:val="00A84D9B"/>
    <w:rsid w:val="00A8549F"/>
    <w:rsid w:val="00A8574A"/>
    <w:rsid w:val="00A8584E"/>
    <w:rsid w:val="00A85A2E"/>
    <w:rsid w:val="00A85D0E"/>
    <w:rsid w:val="00A86269"/>
    <w:rsid w:val="00A86AF1"/>
    <w:rsid w:val="00A874D7"/>
    <w:rsid w:val="00A87833"/>
    <w:rsid w:val="00A87A9D"/>
    <w:rsid w:val="00A9062B"/>
    <w:rsid w:val="00A90D3F"/>
    <w:rsid w:val="00A90D65"/>
    <w:rsid w:val="00A91361"/>
    <w:rsid w:val="00A92091"/>
    <w:rsid w:val="00A92295"/>
    <w:rsid w:val="00A924FE"/>
    <w:rsid w:val="00A926B0"/>
    <w:rsid w:val="00A92D49"/>
    <w:rsid w:val="00A92DEB"/>
    <w:rsid w:val="00A938FC"/>
    <w:rsid w:val="00A94159"/>
    <w:rsid w:val="00A942EA"/>
    <w:rsid w:val="00A943F2"/>
    <w:rsid w:val="00A9480D"/>
    <w:rsid w:val="00A9676B"/>
    <w:rsid w:val="00A96805"/>
    <w:rsid w:val="00A96CCB"/>
    <w:rsid w:val="00A96D05"/>
    <w:rsid w:val="00A971BE"/>
    <w:rsid w:val="00A975E2"/>
    <w:rsid w:val="00AA127E"/>
    <w:rsid w:val="00AA16C8"/>
    <w:rsid w:val="00AA2107"/>
    <w:rsid w:val="00AA2590"/>
    <w:rsid w:val="00AA3309"/>
    <w:rsid w:val="00AA36B3"/>
    <w:rsid w:val="00AA3848"/>
    <w:rsid w:val="00AA40F8"/>
    <w:rsid w:val="00AA4704"/>
    <w:rsid w:val="00AA5400"/>
    <w:rsid w:val="00AA5514"/>
    <w:rsid w:val="00AA655F"/>
    <w:rsid w:val="00AA6B62"/>
    <w:rsid w:val="00AA6BE8"/>
    <w:rsid w:val="00AA799E"/>
    <w:rsid w:val="00AB053E"/>
    <w:rsid w:val="00AB09A1"/>
    <w:rsid w:val="00AB0BB9"/>
    <w:rsid w:val="00AB0CBD"/>
    <w:rsid w:val="00AB199F"/>
    <w:rsid w:val="00AB1E7B"/>
    <w:rsid w:val="00AB2043"/>
    <w:rsid w:val="00AB24CB"/>
    <w:rsid w:val="00AB26A6"/>
    <w:rsid w:val="00AB26F6"/>
    <w:rsid w:val="00AB272E"/>
    <w:rsid w:val="00AB2927"/>
    <w:rsid w:val="00AB298E"/>
    <w:rsid w:val="00AB32DA"/>
    <w:rsid w:val="00AB3860"/>
    <w:rsid w:val="00AB3B35"/>
    <w:rsid w:val="00AB3B98"/>
    <w:rsid w:val="00AB3FDA"/>
    <w:rsid w:val="00AB4561"/>
    <w:rsid w:val="00AB4802"/>
    <w:rsid w:val="00AB4D94"/>
    <w:rsid w:val="00AB61D4"/>
    <w:rsid w:val="00AB7128"/>
    <w:rsid w:val="00AB7CDE"/>
    <w:rsid w:val="00AC0682"/>
    <w:rsid w:val="00AC0766"/>
    <w:rsid w:val="00AC126B"/>
    <w:rsid w:val="00AC1445"/>
    <w:rsid w:val="00AC1511"/>
    <w:rsid w:val="00AC167A"/>
    <w:rsid w:val="00AC17D1"/>
    <w:rsid w:val="00AC1A18"/>
    <w:rsid w:val="00AC25D7"/>
    <w:rsid w:val="00AC2682"/>
    <w:rsid w:val="00AC2A1F"/>
    <w:rsid w:val="00AC2A21"/>
    <w:rsid w:val="00AC2C2E"/>
    <w:rsid w:val="00AC3C60"/>
    <w:rsid w:val="00AC3D26"/>
    <w:rsid w:val="00AC4022"/>
    <w:rsid w:val="00AC40A3"/>
    <w:rsid w:val="00AC4388"/>
    <w:rsid w:val="00AC457D"/>
    <w:rsid w:val="00AC5174"/>
    <w:rsid w:val="00AC579B"/>
    <w:rsid w:val="00AC597E"/>
    <w:rsid w:val="00AC62E4"/>
    <w:rsid w:val="00AC66DF"/>
    <w:rsid w:val="00AC6EDC"/>
    <w:rsid w:val="00AC72D8"/>
    <w:rsid w:val="00AC769E"/>
    <w:rsid w:val="00AC7AD8"/>
    <w:rsid w:val="00AC7E69"/>
    <w:rsid w:val="00AD0134"/>
    <w:rsid w:val="00AD0243"/>
    <w:rsid w:val="00AD046A"/>
    <w:rsid w:val="00AD07BE"/>
    <w:rsid w:val="00AD0A76"/>
    <w:rsid w:val="00AD0B13"/>
    <w:rsid w:val="00AD0CA0"/>
    <w:rsid w:val="00AD0FCA"/>
    <w:rsid w:val="00AD0FE2"/>
    <w:rsid w:val="00AD1901"/>
    <w:rsid w:val="00AD23D7"/>
    <w:rsid w:val="00AD3202"/>
    <w:rsid w:val="00AD3571"/>
    <w:rsid w:val="00AD3D25"/>
    <w:rsid w:val="00AD4014"/>
    <w:rsid w:val="00AD4620"/>
    <w:rsid w:val="00AD50A5"/>
    <w:rsid w:val="00AD50F4"/>
    <w:rsid w:val="00AD574E"/>
    <w:rsid w:val="00AD580A"/>
    <w:rsid w:val="00AD6A77"/>
    <w:rsid w:val="00AE02F3"/>
    <w:rsid w:val="00AE0382"/>
    <w:rsid w:val="00AE078C"/>
    <w:rsid w:val="00AE09BE"/>
    <w:rsid w:val="00AE1866"/>
    <w:rsid w:val="00AE1A2D"/>
    <w:rsid w:val="00AE1AED"/>
    <w:rsid w:val="00AE1D87"/>
    <w:rsid w:val="00AE2119"/>
    <w:rsid w:val="00AE2C07"/>
    <w:rsid w:val="00AE2CE1"/>
    <w:rsid w:val="00AE33E9"/>
    <w:rsid w:val="00AE34B1"/>
    <w:rsid w:val="00AE4409"/>
    <w:rsid w:val="00AE4CDB"/>
    <w:rsid w:val="00AE4E77"/>
    <w:rsid w:val="00AE528D"/>
    <w:rsid w:val="00AE61D1"/>
    <w:rsid w:val="00AE6212"/>
    <w:rsid w:val="00AE647A"/>
    <w:rsid w:val="00AE6920"/>
    <w:rsid w:val="00AE7CCA"/>
    <w:rsid w:val="00AE7D27"/>
    <w:rsid w:val="00AF0457"/>
    <w:rsid w:val="00AF07C0"/>
    <w:rsid w:val="00AF0869"/>
    <w:rsid w:val="00AF0E03"/>
    <w:rsid w:val="00AF1305"/>
    <w:rsid w:val="00AF221D"/>
    <w:rsid w:val="00AF2DB6"/>
    <w:rsid w:val="00AF30CB"/>
    <w:rsid w:val="00AF3557"/>
    <w:rsid w:val="00AF3835"/>
    <w:rsid w:val="00AF4429"/>
    <w:rsid w:val="00AF47D0"/>
    <w:rsid w:val="00AF4995"/>
    <w:rsid w:val="00AF565A"/>
    <w:rsid w:val="00AF6BD9"/>
    <w:rsid w:val="00AF7112"/>
    <w:rsid w:val="00AF73AA"/>
    <w:rsid w:val="00B016F2"/>
    <w:rsid w:val="00B01852"/>
    <w:rsid w:val="00B01F40"/>
    <w:rsid w:val="00B02A73"/>
    <w:rsid w:val="00B0355B"/>
    <w:rsid w:val="00B037BD"/>
    <w:rsid w:val="00B041D8"/>
    <w:rsid w:val="00B04F65"/>
    <w:rsid w:val="00B050FC"/>
    <w:rsid w:val="00B05422"/>
    <w:rsid w:val="00B062F5"/>
    <w:rsid w:val="00B06977"/>
    <w:rsid w:val="00B069ED"/>
    <w:rsid w:val="00B074D7"/>
    <w:rsid w:val="00B078D5"/>
    <w:rsid w:val="00B07F6E"/>
    <w:rsid w:val="00B105D0"/>
    <w:rsid w:val="00B10BFF"/>
    <w:rsid w:val="00B11D44"/>
    <w:rsid w:val="00B11D4D"/>
    <w:rsid w:val="00B125A3"/>
    <w:rsid w:val="00B12DB2"/>
    <w:rsid w:val="00B12EC9"/>
    <w:rsid w:val="00B13032"/>
    <w:rsid w:val="00B13271"/>
    <w:rsid w:val="00B1335E"/>
    <w:rsid w:val="00B135D7"/>
    <w:rsid w:val="00B138D9"/>
    <w:rsid w:val="00B13A56"/>
    <w:rsid w:val="00B13AFD"/>
    <w:rsid w:val="00B13D4E"/>
    <w:rsid w:val="00B13FE3"/>
    <w:rsid w:val="00B14A6A"/>
    <w:rsid w:val="00B14FE1"/>
    <w:rsid w:val="00B153BB"/>
    <w:rsid w:val="00B15A43"/>
    <w:rsid w:val="00B166AF"/>
    <w:rsid w:val="00B16D18"/>
    <w:rsid w:val="00B1737D"/>
    <w:rsid w:val="00B17795"/>
    <w:rsid w:val="00B17C9D"/>
    <w:rsid w:val="00B17EC2"/>
    <w:rsid w:val="00B201B6"/>
    <w:rsid w:val="00B20DD5"/>
    <w:rsid w:val="00B20E62"/>
    <w:rsid w:val="00B214AB"/>
    <w:rsid w:val="00B21947"/>
    <w:rsid w:val="00B21AF1"/>
    <w:rsid w:val="00B2202B"/>
    <w:rsid w:val="00B22313"/>
    <w:rsid w:val="00B22B89"/>
    <w:rsid w:val="00B23683"/>
    <w:rsid w:val="00B23C79"/>
    <w:rsid w:val="00B243D6"/>
    <w:rsid w:val="00B269C1"/>
    <w:rsid w:val="00B27373"/>
    <w:rsid w:val="00B27578"/>
    <w:rsid w:val="00B27617"/>
    <w:rsid w:val="00B27776"/>
    <w:rsid w:val="00B306E2"/>
    <w:rsid w:val="00B31B8C"/>
    <w:rsid w:val="00B31D3F"/>
    <w:rsid w:val="00B33404"/>
    <w:rsid w:val="00B33552"/>
    <w:rsid w:val="00B338F4"/>
    <w:rsid w:val="00B342B6"/>
    <w:rsid w:val="00B342E6"/>
    <w:rsid w:val="00B35977"/>
    <w:rsid w:val="00B35BC5"/>
    <w:rsid w:val="00B36972"/>
    <w:rsid w:val="00B36AA8"/>
    <w:rsid w:val="00B36C59"/>
    <w:rsid w:val="00B36CBD"/>
    <w:rsid w:val="00B3755C"/>
    <w:rsid w:val="00B37638"/>
    <w:rsid w:val="00B378F1"/>
    <w:rsid w:val="00B40040"/>
    <w:rsid w:val="00B405FC"/>
    <w:rsid w:val="00B41914"/>
    <w:rsid w:val="00B42DF0"/>
    <w:rsid w:val="00B42FE7"/>
    <w:rsid w:val="00B43DBC"/>
    <w:rsid w:val="00B4418F"/>
    <w:rsid w:val="00B441E9"/>
    <w:rsid w:val="00B44E0D"/>
    <w:rsid w:val="00B44E5D"/>
    <w:rsid w:val="00B45B92"/>
    <w:rsid w:val="00B45EF0"/>
    <w:rsid w:val="00B46769"/>
    <w:rsid w:val="00B468AE"/>
    <w:rsid w:val="00B46972"/>
    <w:rsid w:val="00B473BA"/>
    <w:rsid w:val="00B475D0"/>
    <w:rsid w:val="00B475F3"/>
    <w:rsid w:val="00B47EFC"/>
    <w:rsid w:val="00B50222"/>
    <w:rsid w:val="00B511B8"/>
    <w:rsid w:val="00B51673"/>
    <w:rsid w:val="00B52BBD"/>
    <w:rsid w:val="00B52C5E"/>
    <w:rsid w:val="00B52DC7"/>
    <w:rsid w:val="00B532CE"/>
    <w:rsid w:val="00B53747"/>
    <w:rsid w:val="00B53917"/>
    <w:rsid w:val="00B54730"/>
    <w:rsid w:val="00B547EC"/>
    <w:rsid w:val="00B54CF3"/>
    <w:rsid w:val="00B55902"/>
    <w:rsid w:val="00B55B96"/>
    <w:rsid w:val="00B56313"/>
    <w:rsid w:val="00B563E2"/>
    <w:rsid w:val="00B56412"/>
    <w:rsid w:val="00B56BC3"/>
    <w:rsid w:val="00B56CC1"/>
    <w:rsid w:val="00B56F32"/>
    <w:rsid w:val="00B579CE"/>
    <w:rsid w:val="00B60308"/>
    <w:rsid w:val="00B6092D"/>
    <w:rsid w:val="00B62C63"/>
    <w:rsid w:val="00B633AE"/>
    <w:rsid w:val="00B63467"/>
    <w:rsid w:val="00B63580"/>
    <w:rsid w:val="00B64620"/>
    <w:rsid w:val="00B646CC"/>
    <w:rsid w:val="00B64F9C"/>
    <w:rsid w:val="00B65282"/>
    <w:rsid w:val="00B702B8"/>
    <w:rsid w:val="00B709A9"/>
    <w:rsid w:val="00B70D11"/>
    <w:rsid w:val="00B71B5D"/>
    <w:rsid w:val="00B72246"/>
    <w:rsid w:val="00B73A25"/>
    <w:rsid w:val="00B73BA3"/>
    <w:rsid w:val="00B73FF8"/>
    <w:rsid w:val="00B74818"/>
    <w:rsid w:val="00B7566B"/>
    <w:rsid w:val="00B75A52"/>
    <w:rsid w:val="00B76006"/>
    <w:rsid w:val="00B76433"/>
    <w:rsid w:val="00B764A0"/>
    <w:rsid w:val="00B77CDF"/>
    <w:rsid w:val="00B804CC"/>
    <w:rsid w:val="00B81046"/>
    <w:rsid w:val="00B816FA"/>
    <w:rsid w:val="00B823AA"/>
    <w:rsid w:val="00B82E68"/>
    <w:rsid w:val="00B82E87"/>
    <w:rsid w:val="00B83D6F"/>
    <w:rsid w:val="00B842D3"/>
    <w:rsid w:val="00B8464B"/>
    <w:rsid w:val="00B846BC"/>
    <w:rsid w:val="00B84731"/>
    <w:rsid w:val="00B848AA"/>
    <w:rsid w:val="00B858E5"/>
    <w:rsid w:val="00B86043"/>
    <w:rsid w:val="00B86077"/>
    <w:rsid w:val="00B86317"/>
    <w:rsid w:val="00B870E0"/>
    <w:rsid w:val="00B876B2"/>
    <w:rsid w:val="00B90182"/>
    <w:rsid w:val="00B90584"/>
    <w:rsid w:val="00B90ACF"/>
    <w:rsid w:val="00B90B91"/>
    <w:rsid w:val="00B9109A"/>
    <w:rsid w:val="00B91177"/>
    <w:rsid w:val="00B9167D"/>
    <w:rsid w:val="00B9170C"/>
    <w:rsid w:val="00B92060"/>
    <w:rsid w:val="00B92FA1"/>
    <w:rsid w:val="00B9391B"/>
    <w:rsid w:val="00B93FDD"/>
    <w:rsid w:val="00B943D3"/>
    <w:rsid w:val="00B943DC"/>
    <w:rsid w:val="00B94686"/>
    <w:rsid w:val="00B94757"/>
    <w:rsid w:val="00B9488C"/>
    <w:rsid w:val="00B94AA8"/>
    <w:rsid w:val="00B95041"/>
    <w:rsid w:val="00B954EC"/>
    <w:rsid w:val="00B95669"/>
    <w:rsid w:val="00B96B37"/>
    <w:rsid w:val="00B96C5D"/>
    <w:rsid w:val="00B96EE5"/>
    <w:rsid w:val="00B974BF"/>
    <w:rsid w:val="00B97E24"/>
    <w:rsid w:val="00BA066C"/>
    <w:rsid w:val="00BA096D"/>
    <w:rsid w:val="00BA1620"/>
    <w:rsid w:val="00BA19A3"/>
    <w:rsid w:val="00BA1B73"/>
    <w:rsid w:val="00BA2324"/>
    <w:rsid w:val="00BA25BB"/>
    <w:rsid w:val="00BA3240"/>
    <w:rsid w:val="00BA3AAA"/>
    <w:rsid w:val="00BA3D2C"/>
    <w:rsid w:val="00BA3EBD"/>
    <w:rsid w:val="00BA4C4A"/>
    <w:rsid w:val="00BA5274"/>
    <w:rsid w:val="00BA5413"/>
    <w:rsid w:val="00BA5576"/>
    <w:rsid w:val="00BA58F6"/>
    <w:rsid w:val="00BA6436"/>
    <w:rsid w:val="00BA6696"/>
    <w:rsid w:val="00BA6D26"/>
    <w:rsid w:val="00BA7333"/>
    <w:rsid w:val="00BA7C7D"/>
    <w:rsid w:val="00BA7E8D"/>
    <w:rsid w:val="00BB02C9"/>
    <w:rsid w:val="00BB0515"/>
    <w:rsid w:val="00BB054B"/>
    <w:rsid w:val="00BB1A7B"/>
    <w:rsid w:val="00BB1AF9"/>
    <w:rsid w:val="00BB1F3E"/>
    <w:rsid w:val="00BB22B5"/>
    <w:rsid w:val="00BB2A3B"/>
    <w:rsid w:val="00BB2FF5"/>
    <w:rsid w:val="00BB3109"/>
    <w:rsid w:val="00BB3D49"/>
    <w:rsid w:val="00BB3F27"/>
    <w:rsid w:val="00BB41A9"/>
    <w:rsid w:val="00BB4A2C"/>
    <w:rsid w:val="00BB4EBA"/>
    <w:rsid w:val="00BB5297"/>
    <w:rsid w:val="00BB5B4C"/>
    <w:rsid w:val="00BB5CDD"/>
    <w:rsid w:val="00BB5FD5"/>
    <w:rsid w:val="00BB6764"/>
    <w:rsid w:val="00BB6F9E"/>
    <w:rsid w:val="00BB7F28"/>
    <w:rsid w:val="00BC17F0"/>
    <w:rsid w:val="00BC283A"/>
    <w:rsid w:val="00BC2A99"/>
    <w:rsid w:val="00BC380E"/>
    <w:rsid w:val="00BC5075"/>
    <w:rsid w:val="00BC522F"/>
    <w:rsid w:val="00BC569C"/>
    <w:rsid w:val="00BC57FF"/>
    <w:rsid w:val="00BC59C6"/>
    <w:rsid w:val="00BC5B5E"/>
    <w:rsid w:val="00BC61C0"/>
    <w:rsid w:val="00BC63DE"/>
    <w:rsid w:val="00BC6F44"/>
    <w:rsid w:val="00BC6FFB"/>
    <w:rsid w:val="00BD01E8"/>
    <w:rsid w:val="00BD02D3"/>
    <w:rsid w:val="00BD0884"/>
    <w:rsid w:val="00BD10D7"/>
    <w:rsid w:val="00BD157F"/>
    <w:rsid w:val="00BD17E2"/>
    <w:rsid w:val="00BD1914"/>
    <w:rsid w:val="00BD1BB1"/>
    <w:rsid w:val="00BD221E"/>
    <w:rsid w:val="00BD24F1"/>
    <w:rsid w:val="00BD2929"/>
    <w:rsid w:val="00BD350A"/>
    <w:rsid w:val="00BD39E4"/>
    <w:rsid w:val="00BD4259"/>
    <w:rsid w:val="00BD4A20"/>
    <w:rsid w:val="00BD5C4B"/>
    <w:rsid w:val="00BD5EC2"/>
    <w:rsid w:val="00BD648C"/>
    <w:rsid w:val="00BD66D9"/>
    <w:rsid w:val="00BD67BF"/>
    <w:rsid w:val="00BD6AEC"/>
    <w:rsid w:val="00BD6C6C"/>
    <w:rsid w:val="00BD6F35"/>
    <w:rsid w:val="00BD7E6E"/>
    <w:rsid w:val="00BE073C"/>
    <w:rsid w:val="00BE0FE2"/>
    <w:rsid w:val="00BE11E6"/>
    <w:rsid w:val="00BE1453"/>
    <w:rsid w:val="00BE2AD0"/>
    <w:rsid w:val="00BE2D35"/>
    <w:rsid w:val="00BE32AE"/>
    <w:rsid w:val="00BE366E"/>
    <w:rsid w:val="00BE4605"/>
    <w:rsid w:val="00BE4712"/>
    <w:rsid w:val="00BE4FC5"/>
    <w:rsid w:val="00BE5C91"/>
    <w:rsid w:val="00BE68D9"/>
    <w:rsid w:val="00BE6E89"/>
    <w:rsid w:val="00BE71F2"/>
    <w:rsid w:val="00BE72E9"/>
    <w:rsid w:val="00BE7B45"/>
    <w:rsid w:val="00BE7CED"/>
    <w:rsid w:val="00BE7EFE"/>
    <w:rsid w:val="00BF04F9"/>
    <w:rsid w:val="00BF09C2"/>
    <w:rsid w:val="00BF0D52"/>
    <w:rsid w:val="00BF0F2F"/>
    <w:rsid w:val="00BF222F"/>
    <w:rsid w:val="00BF240D"/>
    <w:rsid w:val="00BF257E"/>
    <w:rsid w:val="00BF2675"/>
    <w:rsid w:val="00BF27F1"/>
    <w:rsid w:val="00BF2A39"/>
    <w:rsid w:val="00BF2D62"/>
    <w:rsid w:val="00BF32DE"/>
    <w:rsid w:val="00BF3411"/>
    <w:rsid w:val="00BF3B9C"/>
    <w:rsid w:val="00BF46D8"/>
    <w:rsid w:val="00BF531C"/>
    <w:rsid w:val="00BF5F91"/>
    <w:rsid w:val="00BF5FD9"/>
    <w:rsid w:val="00BF630F"/>
    <w:rsid w:val="00BF6439"/>
    <w:rsid w:val="00BF66F5"/>
    <w:rsid w:val="00BF726E"/>
    <w:rsid w:val="00BF7764"/>
    <w:rsid w:val="00BF7ACA"/>
    <w:rsid w:val="00BF7B1A"/>
    <w:rsid w:val="00BF7DF9"/>
    <w:rsid w:val="00C0073A"/>
    <w:rsid w:val="00C0113E"/>
    <w:rsid w:val="00C01152"/>
    <w:rsid w:val="00C015A7"/>
    <w:rsid w:val="00C015B2"/>
    <w:rsid w:val="00C0211B"/>
    <w:rsid w:val="00C02EB3"/>
    <w:rsid w:val="00C0410B"/>
    <w:rsid w:val="00C0444F"/>
    <w:rsid w:val="00C057EE"/>
    <w:rsid w:val="00C0593A"/>
    <w:rsid w:val="00C05B1F"/>
    <w:rsid w:val="00C05D68"/>
    <w:rsid w:val="00C06D0D"/>
    <w:rsid w:val="00C075C3"/>
    <w:rsid w:val="00C07D40"/>
    <w:rsid w:val="00C1036F"/>
    <w:rsid w:val="00C1038A"/>
    <w:rsid w:val="00C10644"/>
    <w:rsid w:val="00C10B93"/>
    <w:rsid w:val="00C10F26"/>
    <w:rsid w:val="00C12B81"/>
    <w:rsid w:val="00C12D24"/>
    <w:rsid w:val="00C12D98"/>
    <w:rsid w:val="00C12E7C"/>
    <w:rsid w:val="00C13028"/>
    <w:rsid w:val="00C1349E"/>
    <w:rsid w:val="00C13A3B"/>
    <w:rsid w:val="00C13A67"/>
    <w:rsid w:val="00C13A92"/>
    <w:rsid w:val="00C141DD"/>
    <w:rsid w:val="00C14492"/>
    <w:rsid w:val="00C14715"/>
    <w:rsid w:val="00C165DB"/>
    <w:rsid w:val="00C16ABC"/>
    <w:rsid w:val="00C17811"/>
    <w:rsid w:val="00C20C3B"/>
    <w:rsid w:val="00C20D55"/>
    <w:rsid w:val="00C2217A"/>
    <w:rsid w:val="00C224E8"/>
    <w:rsid w:val="00C22E49"/>
    <w:rsid w:val="00C2330D"/>
    <w:rsid w:val="00C23682"/>
    <w:rsid w:val="00C238C0"/>
    <w:rsid w:val="00C23A99"/>
    <w:rsid w:val="00C23F96"/>
    <w:rsid w:val="00C243D0"/>
    <w:rsid w:val="00C2502E"/>
    <w:rsid w:val="00C25787"/>
    <w:rsid w:val="00C2652D"/>
    <w:rsid w:val="00C267F1"/>
    <w:rsid w:val="00C26E03"/>
    <w:rsid w:val="00C26F4E"/>
    <w:rsid w:val="00C306D8"/>
    <w:rsid w:val="00C30C14"/>
    <w:rsid w:val="00C30E7D"/>
    <w:rsid w:val="00C31280"/>
    <w:rsid w:val="00C31813"/>
    <w:rsid w:val="00C319AF"/>
    <w:rsid w:val="00C31A10"/>
    <w:rsid w:val="00C31AC3"/>
    <w:rsid w:val="00C31B30"/>
    <w:rsid w:val="00C33709"/>
    <w:rsid w:val="00C33725"/>
    <w:rsid w:val="00C3391A"/>
    <w:rsid w:val="00C33B2A"/>
    <w:rsid w:val="00C34C47"/>
    <w:rsid w:val="00C3532A"/>
    <w:rsid w:val="00C35B32"/>
    <w:rsid w:val="00C35C80"/>
    <w:rsid w:val="00C35DF0"/>
    <w:rsid w:val="00C3617A"/>
    <w:rsid w:val="00C4085C"/>
    <w:rsid w:val="00C41355"/>
    <w:rsid w:val="00C4211C"/>
    <w:rsid w:val="00C4232F"/>
    <w:rsid w:val="00C4254C"/>
    <w:rsid w:val="00C42669"/>
    <w:rsid w:val="00C429B8"/>
    <w:rsid w:val="00C42A9D"/>
    <w:rsid w:val="00C42BED"/>
    <w:rsid w:val="00C43880"/>
    <w:rsid w:val="00C442E4"/>
    <w:rsid w:val="00C44B4E"/>
    <w:rsid w:val="00C44CB7"/>
    <w:rsid w:val="00C44E41"/>
    <w:rsid w:val="00C4580A"/>
    <w:rsid w:val="00C4586D"/>
    <w:rsid w:val="00C45EEC"/>
    <w:rsid w:val="00C46C3A"/>
    <w:rsid w:val="00C46D49"/>
    <w:rsid w:val="00C46FE4"/>
    <w:rsid w:val="00C47713"/>
    <w:rsid w:val="00C4778D"/>
    <w:rsid w:val="00C478B8"/>
    <w:rsid w:val="00C50263"/>
    <w:rsid w:val="00C50838"/>
    <w:rsid w:val="00C5108B"/>
    <w:rsid w:val="00C519E9"/>
    <w:rsid w:val="00C51E6F"/>
    <w:rsid w:val="00C524A2"/>
    <w:rsid w:val="00C52666"/>
    <w:rsid w:val="00C527B4"/>
    <w:rsid w:val="00C52CD3"/>
    <w:rsid w:val="00C53100"/>
    <w:rsid w:val="00C53997"/>
    <w:rsid w:val="00C53B65"/>
    <w:rsid w:val="00C53D39"/>
    <w:rsid w:val="00C53F59"/>
    <w:rsid w:val="00C54263"/>
    <w:rsid w:val="00C5575B"/>
    <w:rsid w:val="00C5593E"/>
    <w:rsid w:val="00C56BA5"/>
    <w:rsid w:val="00C56D9D"/>
    <w:rsid w:val="00C5777E"/>
    <w:rsid w:val="00C57BDC"/>
    <w:rsid w:val="00C57CCE"/>
    <w:rsid w:val="00C60CFD"/>
    <w:rsid w:val="00C61D36"/>
    <w:rsid w:val="00C627A7"/>
    <w:rsid w:val="00C632C5"/>
    <w:rsid w:val="00C63FCE"/>
    <w:rsid w:val="00C646A3"/>
    <w:rsid w:val="00C64709"/>
    <w:rsid w:val="00C64770"/>
    <w:rsid w:val="00C6498F"/>
    <w:rsid w:val="00C64BF5"/>
    <w:rsid w:val="00C64E84"/>
    <w:rsid w:val="00C64E9F"/>
    <w:rsid w:val="00C66199"/>
    <w:rsid w:val="00C661FD"/>
    <w:rsid w:val="00C66265"/>
    <w:rsid w:val="00C66703"/>
    <w:rsid w:val="00C66906"/>
    <w:rsid w:val="00C66B80"/>
    <w:rsid w:val="00C66BC4"/>
    <w:rsid w:val="00C67350"/>
    <w:rsid w:val="00C67E87"/>
    <w:rsid w:val="00C706A0"/>
    <w:rsid w:val="00C70BE2"/>
    <w:rsid w:val="00C70E86"/>
    <w:rsid w:val="00C71C15"/>
    <w:rsid w:val="00C72A5C"/>
    <w:rsid w:val="00C72D21"/>
    <w:rsid w:val="00C730D0"/>
    <w:rsid w:val="00C73B87"/>
    <w:rsid w:val="00C74AB7"/>
    <w:rsid w:val="00C74EDF"/>
    <w:rsid w:val="00C74FCA"/>
    <w:rsid w:val="00C7520B"/>
    <w:rsid w:val="00C755AC"/>
    <w:rsid w:val="00C7583A"/>
    <w:rsid w:val="00C75D9D"/>
    <w:rsid w:val="00C75E10"/>
    <w:rsid w:val="00C75E1A"/>
    <w:rsid w:val="00C764E3"/>
    <w:rsid w:val="00C7655D"/>
    <w:rsid w:val="00C765FC"/>
    <w:rsid w:val="00C76D87"/>
    <w:rsid w:val="00C76EDD"/>
    <w:rsid w:val="00C76FE1"/>
    <w:rsid w:val="00C779BF"/>
    <w:rsid w:val="00C80178"/>
    <w:rsid w:val="00C817D0"/>
    <w:rsid w:val="00C8183B"/>
    <w:rsid w:val="00C82064"/>
    <w:rsid w:val="00C82097"/>
    <w:rsid w:val="00C82307"/>
    <w:rsid w:val="00C836F8"/>
    <w:rsid w:val="00C83706"/>
    <w:rsid w:val="00C84038"/>
    <w:rsid w:val="00C84824"/>
    <w:rsid w:val="00C8499B"/>
    <w:rsid w:val="00C84D07"/>
    <w:rsid w:val="00C8556D"/>
    <w:rsid w:val="00C8570F"/>
    <w:rsid w:val="00C85747"/>
    <w:rsid w:val="00C85A8E"/>
    <w:rsid w:val="00C85ABC"/>
    <w:rsid w:val="00C86D78"/>
    <w:rsid w:val="00C86EDB"/>
    <w:rsid w:val="00C87222"/>
    <w:rsid w:val="00C87C2F"/>
    <w:rsid w:val="00C87CA0"/>
    <w:rsid w:val="00C90025"/>
    <w:rsid w:val="00C90306"/>
    <w:rsid w:val="00C906B4"/>
    <w:rsid w:val="00C90C13"/>
    <w:rsid w:val="00C90D63"/>
    <w:rsid w:val="00C90EE8"/>
    <w:rsid w:val="00C9106A"/>
    <w:rsid w:val="00C911BD"/>
    <w:rsid w:val="00C9121E"/>
    <w:rsid w:val="00C91EB6"/>
    <w:rsid w:val="00C92E37"/>
    <w:rsid w:val="00C92F0A"/>
    <w:rsid w:val="00C9326A"/>
    <w:rsid w:val="00C9360B"/>
    <w:rsid w:val="00C9514C"/>
    <w:rsid w:val="00C9516D"/>
    <w:rsid w:val="00C961E4"/>
    <w:rsid w:val="00C967C1"/>
    <w:rsid w:val="00C96B15"/>
    <w:rsid w:val="00C974CD"/>
    <w:rsid w:val="00C97ABF"/>
    <w:rsid w:val="00CA0022"/>
    <w:rsid w:val="00CA00D0"/>
    <w:rsid w:val="00CA03F9"/>
    <w:rsid w:val="00CA08B3"/>
    <w:rsid w:val="00CA0960"/>
    <w:rsid w:val="00CA1206"/>
    <w:rsid w:val="00CA1D26"/>
    <w:rsid w:val="00CA2255"/>
    <w:rsid w:val="00CA2ADC"/>
    <w:rsid w:val="00CA2AFB"/>
    <w:rsid w:val="00CA2C0B"/>
    <w:rsid w:val="00CA3004"/>
    <w:rsid w:val="00CA30E2"/>
    <w:rsid w:val="00CA32D1"/>
    <w:rsid w:val="00CA3AE6"/>
    <w:rsid w:val="00CA4068"/>
    <w:rsid w:val="00CA407F"/>
    <w:rsid w:val="00CA45EC"/>
    <w:rsid w:val="00CA4847"/>
    <w:rsid w:val="00CA56D8"/>
    <w:rsid w:val="00CA5A29"/>
    <w:rsid w:val="00CA5B96"/>
    <w:rsid w:val="00CA5E4C"/>
    <w:rsid w:val="00CA611C"/>
    <w:rsid w:val="00CA641B"/>
    <w:rsid w:val="00CA6C29"/>
    <w:rsid w:val="00CA6F31"/>
    <w:rsid w:val="00CA7078"/>
    <w:rsid w:val="00CA7EAE"/>
    <w:rsid w:val="00CB062D"/>
    <w:rsid w:val="00CB0BDE"/>
    <w:rsid w:val="00CB0E5C"/>
    <w:rsid w:val="00CB117C"/>
    <w:rsid w:val="00CB1774"/>
    <w:rsid w:val="00CB1983"/>
    <w:rsid w:val="00CB1A5F"/>
    <w:rsid w:val="00CB1F18"/>
    <w:rsid w:val="00CB2476"/>
    <w:rsid w:val="00CB2A3F"/>
    <w:rsid w:val="00CB2CA1"/>
    <w:rsid w:val="00CB2DEA"/>
    <w:rsid w:val="00CB2EDB"/>
    <w:rsid w:val="00CB3018"/>
    <w:rsid w:val="00CB3710"/>
    <w:rsid w:val="00CB42DA"/>
    <w:rsid w:val="00CB43CD"/>
    <w:rsid w:val="00CB4734"/>
    <w:rsid w:val="00CB4924"/>
    <w:rsid w:val="00CB4959"/>
    <w:rsid w:val="00CB4C32"/>
    <w:rsid w:val="00CB4F68"/>
    <w:rsid w:val="00CB5065"/>
    <w:rsid w:val="00CB5519"/>
    <w:rsid w:val="00CB5BDB"/>
    <w:rsid w:val="00CB6025"/>
    <w:rsid w:val="00CB6420"/>
    <w:rsid w:val="00CB69B9"/>
    <w:rsid w:val="00CB6B36"/>
    <w:rsid w:val="00CB6D59"/>
    <w:rsid w:val="00CB727B"/>
    <w:rsid w:val="00CB742D"/>
    <w:rsid w:val="00CB7522"/>
    <w:rsid w:val="00CB76E4"/>
    <w:rsid w:val="00CB77C0"/>
    <w:rsid w:val="00CB78F3"/>
    <w:rsid w:val="00CC078E"/>
    <w:rsid w:val="00CC0E2D"/>
    <w:rsid w:val="00CC1A17"/>
    <w:rsid w:val="00CC203D"/>
    <w:rsid w:val="00CC2910"/>
    <w:rsid w:val="00CC2915"/>
    <w:rsid w:val="00CC2E61"/>
    <w:rsid w:val="00CC3392"/>
    <w:rsid w:val="00CC3B48"/>
    <w:rsid w:val="00CC3D27"/>
    <w:rsid w:val="00CC3F5B"/>
    <w:rsid w:val="00CC4486"/>
    <w:rsid w:val="00CC4598"/>
    <w:rsid w:val="00CC467F"/>
    <w:rsid w:val="00CC4B19"/>
    <w:rsid w:val="00CC52F5"/>
    <w:rsid w:val="00CC562F"/>
    <w:rsid w:val="00CC5A3C"/>
    <w:rsid w:val="00CC5A68"/>
    <w:rsid w:val="00CC5F02"/>
    <w:rsid w:val="00CC6148"/>
    <w:rsid w:val="00CC637B"/>
    <w:rsid w:val="00CC658D"/>
    <w:rsid w:val="00CD0B0C"/>
    <w:rsid w:val="00CD1878"/>
    <w:rsid w:val="00CD4AC2"/>
    <w:rsid w:val="00CD4E13"/>
    <w:rsid w:val="00CD518A"/>
    <w:rsid w:val="00CD5602"/>
    <w:rsid w:val="00CD590F"/>
    <w:rsid w:val="00CD5A63"/>
    <w:rsid w:val="00CD5B8B"/>
    <w:rsid w:val="00CD5F8F"/>
    <w:rsid w:val="00CD6028"/>
    <w:rsid w:val="00CD7AE6"/>
    <w:rsid w:val="00CE0633"/>
    <w:rsid w:val="00CE1739"/>
    <w:rsid w:val="00CE20F8"/>
    <w:rsid w:val="00CE2E99"/>
    <w:rsid w:val="00CE36B8"/>
    <w:rsid w:val="00CE4D1A"/>
    <w:rsid w:val="00CE4D7F"/>
    <w:rsid w:val="00CE550E"/>
    <w:rsid w:val="00CE5795"/>
    <w:rsid w:val="00CE66BF"/>
    <w:rsid w:val="00CE67E3"/>
    <w:rsid w:val="00CE7322"/>
    <w:rsid w:val="00CE781D"/>
    <w:rsid w:val="00CF01F4"/>
    <w:rsid w:val="00CF0B69"/>
    <w:rsid w:val="00CF0B79"/>
    <w:rsid w:val="00CF0FD6"/>
    <w:rsid w:val="00CF1281"/>
    <w:rsid w:val="00CF1873"/>
    <w:rsid w:val="00CF1881"/>
    <w:rsid w:val="00CF1983"/>
    <w:rsid w:val="00CF19E5"/>
    <w:rsid w:val="00CF2DD1"/>
    <w:rsid w:val="00CF3B7C"/>
    <w:rsid w:val="00CF3C27"/>
    <w:rsid w:val="00CF3E56"/>
    <w:rsid w:val="00CF40BC"/>
    <w:rsid w:val="00CF41DC"/>
    <w:rsid w:val="00CF5058"/>
    <w:rsid w:val="00CF5A9F"/>
    <w:rsid w:val="00CF62AD"/>
    <w:rsid w:val="00CF6678"/>
    <w:rsid w:val="00CF6E32"/>
    <w:rsid w:val="00CF6F5B"/>
    <w:rsid w:val="00CF769E"/>
    <w:rsid w:val="00CF7C6B"/>
    <w:rsid w:val="00CF7E11"/>
    <w:rsid w:val="00D00108"/>
    <w:rsid w:val="00D008B3"/>
    <w:rsid w:val="00D00916"/>
    <w:rsid w:val="00D01039"/>
    <w:rsid w:val="00D013CA"/>
    <w:rsid w:val="00D01544"/>
    <w:rsid w:val="00D0241E"/>
    <w:rsid w:val="00D02D92"/>
    <w:rsid w:val="00D03FB8"/>
    <w:rsid w:val="00D045E4"/>
    <w:rsid w:val="00D04A09"/>
    <w:rsid w:val="00D04CE3"/>
    <w:rsid w:val="00D04EF6"/>
    <w:rsid w:val="00D04FFF"/>
    <w:rsid w:val="00D053EF"/>
    <w:rsid w:val="00D058EE"/>
    <w:rsid w:val="00D05DFD"/>
    <w:rsid w:val="00D06832"/>
    <w:rsid w:val="00D079E7"/>
    <w:rsid w:val="00D1050E"/>
    <w:rsid w:val="00D10C94"/>
    <w:rsid w:val="00D10EC9"/>
    <w:rsid w:val="00D11161"/>
    <w:rsid w:val="00D11379"/>
    <w:rsid w:val="00D11436"/>
    <w:rsid w:val="00D11E43"/>
    <w:rsid w:val="00D1257B"/>
    <w:rsid w:val="00D138A7"/>
    <w:rsid w:val="00D13E80"/>
    <w:rsid w:val="00D13EB5"/>
    <w:rsid w:val="00D14BB9"/>
    <w:rsid w:val="00D14BCA"/>
    <w:rsid w:val="00D150C6"/>
    <w:rsid w:val="00D1572F"/>
    <w:rsid w:val="00D15B34"/>
    <w:rsid w:val="00D16CAC"/>
    <w:rsid w:val="00D1736C"/>
    <w:rsid w:val="00D17415"/>
    <w:rsid w:val="00D20217"/>
    <w:rsid w:val="00D20F32"/>
    <w:rsid w:val="00D21104"/>
    <w:rsid w:val="00D212EA"/>
    <w:rsid w:val="00D21DBB"/>
    <w:rsid w:val="00D22377"/>
    <w:rsid w:val="00D23307"/>
    <w:rsid w:val="00D23985"/>
    <w:rsid w:val="00D23BFE"/>
    <w:rsid w:val="00D23E76"/>
    <w:rsid w:val="00D23EC7"/>
    <w:rsid w:val="00D241E2"/>
    <w:rsid w:val="00D242AC"/>
    <w:rsid w:val="00D2472C"/>
    <w:rsid w:val="00D247B1"/>
    <w:rsid w:val="00D24D9D"/>
    <w:rsid w:val="00D24E59"/>
    <w:rsid w:val="00D24FC1"/>
    <w:rsid w:val="00D254BD"/>
    <w:rsid w:val="00D25999"/>
    <w:rsid w:val="00D26943"/>
    <w:rsid w:val="00D2699C"/>
    <w:rsid w:val="00D2735B"/>
    <w:rsid w:val="00D27F51"/>
    <w:rsid w:val="00D3097E"/>
    <w:rsid w:val="00D31992"/>
    <w:rsid w:val="00D31B2E"/>
    <w:rsid w:val="00D31CE7"/>
    <w:rsid w:val="00D322BA"/>
    <w:rsid w:val="00D32FAE"/>
    <w:rsid w:val="00D3334E"/>
    <w:rsid w:val="00D33559"/>
    <w:rsid w:val="00D33723"/>
    <w:rsid w:val="00D3389D"/>
    <w:rsid w:val="00D33DD0"/>
    <w:rsid w:val="00D33EE9"/>
    <w:rsid w:val="00D34262"/>
    <w:rsid w:val="00D34636"/>
    <w:rsid w:val="00D34976"/>
    <w:rsid w:val="00D34D47"/>
    <w:rsid w:val="00D35116"/>
    <w:rsid w:val="00D35D72"/>
    <w:rsid w:val="00D360D1"/>
    <w:rsid w:val="00D36431"/>
    <w:rsid w:val="00D3669B"/>
    <w:rsid w:val="00D36961"/>
    <w:rsid w:val="00D36A0E"/>
    <w:rsid w:val="00D37108"/>
    <w:rsid w:val="00D3719A"/>
    <w:rsid w:val="00D37CA9"/>
    <w:rsid w:val="00D40136"/>
    <w:rsid w:val="00D40B73"/>
    <w:rsid w:val="00D40F60"/>
    <w:rsid w:val="00D4156D"/>
    <w:rsid w:val="00D416FA"/>
    <w:rsid w:val="00D418E5"/>
    <w:rsid w:val="00D42A72"/>
    <w:rsid w:val="00D42B0F"/>
    <w:rsid w:val="00D42D4F"/>
    <w:rsid w:val="00D4351F"/>
    <w:rsid w:val="00D43C2F"/>
    <w:rsid w:val="00D44799"/>
    <w:rsid w:val="00D44A89"/>
    <w:rsid w:val="00D45352"/>
    <w:rsid w:val="00D45CF4"/>
    <w:rsid w:val="00D46976"/>
    <w:rsid w:val="00D50625"/>
    <w:rsid w:val="00D506C9"/>
    <w:rsid w:val="00D50A00"/>
    <w:rsid w:val="00D50BB5"/>
    <w:rsid w:val="00D50C0A"/>
    <w:rsid w:val="00D51075"/>
    <w:rsid w:val="00D51805"/>
    <w:rsid w:val="00D518AA"/>
    <w:rsid w:val="00D51AAB"/>
    <w:rsid w:val="00D51B32"/>
    <w:rsid w:val="00D5275F"/>
    <w:rsid w:val="00D52AE2"/>
    <w:rsid w:val="00D52E9D"/>
    <w:rsid w:val="00D540D1"/>
    <w:rsid w:val="00D553D3"/>
    <w:rsid w:val="00D5582E"/>
    <w:rsid w:val="00D55F72"/>
    <w:rsid w:val="00D5669B"/>
    <w:rsid w:val="00D577C7"/>
    <w:rsid w:val="00D57A22"/>
    <w:rsid w:val="00D60271"/>
    <w:rsid w:val="00D60492"/>
    <w:rsid w:val="00D60707"/>
    <w:rsid w:val="00D60C75"/>
    <w:rsid w:val="00D61206"/>
    <w:rsid w:val="00D61294"/>
    <w:rsid w:val="00D62E09"/>
    <w:rsid w:val="00D633F6"/>
    <w:rsid w:val="00D634CF"/>
    <w:rsid w:val="00D635EA"/>
    <w:rsid w:val="00D636B3"/>
    <w:rsid w:val="00D63A3B"/>
    <w:rsid w:val="00D63ADA"/>
    <w:rsid w:val="00D63B58"/>
    <w:rsid w:val="00D640EB"/>
    <w:rsid w:val="00D64DEF"/>
    <w:rsid w:val="00D64F0C"/>
    <w:rsid w:val="00D650B6"/>
    <w:rsid w:val="00D65253"/>
    <w:rsid w:val="00D663B4"/>
    <w:rsid w:val="00D67408"/>
    <w:rsid w:val="00D70431"/>
    <w:rsid w:val="00D7096B"/>
    <w:rsid w:val="00D70DD6"/>
    <w:rsid w:val="00D71F55"/>
    <w:rsid w:val="00D723A6"/>
    <w:rsid w:val="00D72771"/>
    <w:rsid w:val="00D734C8"/>
    <w:rsid w:val="00D741B6"/>
    <w:rsid w:val="00D7449D"/>
    <w:rsid w:val="00D7459F"/>
    <w:rsid w:val="00D746D3"/>
    <w:rsid w:val="00D74BC8"/>
    <w:rsid w:val="00D75C80"/>
    <w:rsid w:val="00D76089"/>
    <w:rsid w:val="00D7625A"/>
    <w:rsid w:val="00D7681F"/>
    <w:rsid w:val="00D76D94"/>
    <w:rsid w:val="00D76F17"/>
    <w:rsid w:val="00D77226"/>
    <w:rsid w:val="00D77378"/>
    <w:rsid w:val="00D77B9A"/>
    <w:rsid w:val="00D77E41"/>
    <w:rsid w:val="00D805AF"/>
    <w:rsid w:val="00D83BD3"/>
    <w:rsid w:val="00D83E28"/>
    <w:rsid w:val="00D851ED"/>
    <w:rsid w:val="00D85C5D"/>
    <w:rsid w:val="00D85CC6"/>
    <w:rsid w:val="00D86261"/>
    <w:rsid w:val="00D8666A"/>
    <w:rsid w:val="00D86EA9"/>
    <w:rsid w:val="00D87250"/>
    <w:rsid w:val="00D902C9"/>
    <w:rsid w:val="00D906BD"/>
    <w:rsid w:val="00D9090F"/>
    <w:rsid w:val="00D91858"/>
    <w:rsid w:val="00D93FAC"/>
    <w:rsid w:val="00D9421F"/>
    <w:rsid w:val="00D9453A"/>
    <w:rsid w:val="00D94C54"/>
    <w:rsid w:val="00D9540D"/>
    <w:rsid w:val="00D955BA"/>
    <w:rsid w:val="00D95698"/>
    <w:rsid w:val="00D95FA5"/>
    <w:rsid w:val="00D96592"/>
    <w:rsid w:val="00D96D43"/>
    <w:rsid w:val="00D97A46"/>
    <w:rsid w:val="00D97DD0"/>
    <w:rsid w:val="00DA026D"/>
    <w:rsid w:val="00DA0454"/>
    <w:rsid w:val="00DA0BB1"/>
    <w:rsid w:val="00DA0C11"/>
    <w:rsid w:val="00DA224B"/>
    <w:rsid w:val="00DA3201"/>
    <w:rsid w:val="00DA33AB"/>
    <w:rsid w:val="00DA3CA6"/>
    <w:rsid w:val="00DA506B"/>
    <w:rsid w:val="00DA5214"/>
    <w:rsid w:val="00DA584A"/>
    <w:rsid w:val="00DA5E6E"/>
    <w:rsid w:val="00DA6098"/>
    <w:rsid w:val="00DA6739"/>
    <w:rsid w:val="00DA7084"/>
    <w:rsid w:val="00DA74F8"/>
    <w:rsid w:val="00DA786E"/>
    <w:rsid w:val="00DA7C62"/>
    <w:rsid w:val="00DA7DFA"/>
    <w:rsid w:val="00DB0929"/>
    <w:rsid w:val="00DB093C"/>
    <w:rsid w:val="00DB0CD1"/>
    <w:rsid w:val="00DB0D26"/>
    <w:rsid w:val="00DB1132"/>
    <w:rsid w:val="00DB2D20"/>
    <w:rsid w:val="00DB37B1"/>
    <w:rsid w:val="00DB4297"/>
    <w:rsid w:val="00DB4B93"/>
    <w:rsid w:val="00DB4F51"/>
    <w:rsid w:val="00DB4FDA"/>
    <w:rsid w:val="00DB56C2"/>
    <w:rsid w:val="00DB5E74"/>
    <w:rsid w:val="00DB6C2D"/>
    <w:rsid w:val="00DB7467"/>
    <w:rsid w:val="00DB7A68"/>
    <w:rsid w:val="00DB7A81"/>
    <w:rsid w:val="00DC07BB"/>
    <w:rsid w:val="00DC0AE9"/>
    <w:rsid w:val="00DC11AC"/>
    <w:rsid w:val="00DC1A1A"/>
    <w:rsid w:val="00DC1A64"/>
    <w:rsid w:val="00DC1B82"/>
    <w:rsid w:val="00DC3BE4"/>
    <w:rsid w:val="00DC441E"/>
    <w:rsid w:val="00DC5981"/>
    <w:rsid w:val="00DC5B38"/>
    <w:rsid w:val="00DC7AA9"/>
    <w:rsid w:val="00DC7BF0"/>
    <w:rsid w:val="00DC7C8B"/>
    <w:rsid w:val="00DC7DEE"/>
    <w:rsid w:val="00DD01D8"/>
    <w:rsid w:val="00DD0726"/>
    <w:rsid w:val="00DD1B9D"/>
    <w:rsid w:val="00DD23B8"/>
    <w:rsid w:val="00DD23E0"/>
    <w:rsid w:val="00DD2DA6"/>
    <w:rsid w:val="00DD39F7"/>
    <w:rsid w:val="00DD442C"/>
    <w:rsid w:val="00DD455F"/>
    <w:rsid w:val="00DD4E79"/>
    <w:rsid w:val="00DD50D1"/>
    <w:rsid w:val="00DD5352"/>
    <w:rsid w:val="00DD5E15"/>
    <w:rsid w:val="00DD6974"/>
    <w:rsid w:val="00DD75DD"/>
    <w:rsid w:val="00DD794C"/>
    <w:rsid w:val="00DD7F59"/>
    <w:rsid w:val="00DE04F1"/>
    <w:rsid w:val="00DE0616"/>
    <w:rsid w:val="00DE1058"/>
    <w:rsid w:val="00DE16DB"/>
    <w:rsid w:val="00DE1822"/>
    <w:rsid w:val="00DE24ED"/>
    <w:rsid w:val="00DE2649"/>
    <w:rsid w:val="00DE35B5"/>
    <w:rsid w:val="00DE4FDC"/>
    <w:rsid w:val="00DE5DD5"/>
    <w:rsid w:val="00DE7048"/>
    <w:rsid w:val="00DE74E3"/>
    <w:rsid w:val="00DE7A05"/>
    <w:rsid w:val="00DF049F"/>
    <w:rsid w:val="00DF1166"/>
    <w:rsid w:val="00DF12A7"/>
    <w:rsid w:val="00DF1A91"/>
    <w:rsid w:val="00DF369F"/>
    <w:rsid w:val="00DF3C7D"/>
    <w:rsid w:val="00DF4013"/>
    <w:rsid w:val="00DF51D9"/>
    <w:rsid w:val="00DF59E0"/>
    <w:rsid w:val="00DF612F"/>
    <w:rsid w:val="00DF647F"/>
    <w:rsid w:val="00DF6977"/>
    <w:rsid w:val="00DF6F60"/>
    <w:rsid w:val="00DF73A6"/>
    <w:rsid w:val="00DF794C"/>
    <w:rsid w:val="00E00641"/>
    <w:rsid w:val="00E01201"/>
    <w:rsid w:val="00E017CB"/>
    <w:rsid w:val="00E02004"/>
    <w:rsid w:val="00E024D8"/>
    <w:rsid w:val="00E027B6"/>
    <w:rsid w:val="00E0280E"/>
    <w:rsid w:val="00E02D36"/>
    <w:rsid w:val="00E02F8B"/>
    <w:rsid w:val="00E03348"/>
    <w:rsid w:val="00E035C6"/>
    <w:rsid w:val="00E03E1F"/>
    <w:rsid w:val="00E03E77"/>
    <w:rsid w:val="00E03ECB"/>
    <w:rsid w:val="00E044E7"/>
    <w:rsid w:val="00E04DC1"/>
    <w:rsid w:val="00E05882"/>
    <w:rsid w:val="00E05D0A"/>
    <w:rsid w:val="00E062A9"/>
    <w:rsid w:val="00E063A3"/>
    <w:rsid w:val="00E06A1B"/>
    <w:rsid w:val="00E06A96"/>
    <w:rsid w:val="00E06DCA"/>
    <w:rsid w:val="00E071AA"/>
    <w:rsid w:val="00E071B2"/>
    <w:rsid w:val="00E0722D"/>
    <w:rsid w:val="00E079AF"/>
    <w:rsid w:val="00E07CDC"/>
    <w:rsid w:val="00E109B4"/>
    <w:rsid w:val="00E10BD6"/>
    <w:rsid w:val="00E114CB"/>
    <w:rsid w:val="00E1187C"/>
    <w:rsid w:val="00E123FE"/>
    <w:rsid w:val="00E1263A"/>
    <w:rsid w:val="00E13088"/>
    <w:rsid w:val="00E1607D"/>
    <w:rsid w:val="00E16C36"/>
    <w:rsid w:val="00E17289"/>
    <w:rsid w:val="00E175C2"/>
    <w:rsid w:val="00E17BC3"/>
    <w:rsid w:val="00E17C54"/>
    <w:rsid w:val="00E17DE0"/>
    <w:rsid w:val="00E21246"/>
    <w:rsid w:val="00E2138E"/>
    <w:rsid w:val="00E22689"/>
    <w:rsid w:val="00E226C8"/>
    <w:rsid w:val="00E2293F"/>
    <w:rsid w:val="00E23046"/>
    <w:rsid w:val="00E243C7"/>
    <w:rsid w:val="00E2492F"/>
    <w:rsid w:val="00E25580"/>
    <w:rsid w:val="00E258CD"/>
    <w:rsid w:val="00E25B1E"/>
    <w:rsid w:val="00E26F79"/>
    <w:rsid w:val="00E26FA1"/>
    <w:rsid w:val="00E277E4"/>
    <w:rsid w:val="00E27D82"/>
    <w:rsid w:val="00E27DA3"/>
    <w:rsid w:val="00E30657"/>
    <w:rsid w:val="00E306EC"/>
    <w:rsid w:val="00E30DFD"/>
    <w:rsid w:val="00E31126"/>
    <w:rsid w:val="00E31A00"/>
    <w:rsid w:val="00E320B0"/>
    <w:rsid w:val="00E32734"/>
    <w:rsid w:val="00E32D1B"/>
    <w:rsid w:val="00E330D6"/>
    <w:rsid w:val="00E33579"/>
    <w:rsid w:val="00E33FE6"/>
    <w:rsid w:val="00E34E6C"/>
    <w:rsid w:val="00E35D61"/>
    <w:rsid w:val="00E36E06"/>
    <w:rsid w:val="00E372BB"/>
    <w:rsid w:val="00E40354"/>
    <w:rsid w:val="00E41636"/>
    <w:rsid w:val="00E417DA"/>
    <w:rsid w:val="00E41894"/>
    <w:rsid w:val="00E42683"/>
    <w:rsid w:val="00E428C8"/>
    <w:rsid w:val="00E44599"/>
    <w:rsid w:val="00E445CB"/>
    <w:rsid w:val="00E44E37"/>
    <w:rsid w:val="00E45573"/>
    <w:rsid w:val="00E46321"/>
    <w:rsid w:val="00E4689D"/>
    <w:rsid w:val="00E46983"/>
    <w:rsid w:val="00E46E38"/>
    <w:rsid w:val="00E47528"/>
    <w:rsid w:val="00E47CA4"/>
    <w:rsid w:val="00E50515"/>
    <w:rsid w:val="00E50BDD"/>
    <w:rsid w:val="00E50E4C"/>
    <w:rsid w:val="00E5101D"/>
    <w:rsid w:val="00E515D2"/>
    <w:rsid w:val="00E51615"/>
    <w:rsid w:val="00E51D85"/>
    <w:rsid w:val="00E5209C"/>
    <w:rsid w:val="00E52B98"/>
    <w:rsid w:val="00E53A1B"/>
    <w:rsid w:val="00E53C77"/>
    <w:rsid w:val="00E540EE"/>
    <w:rsid w:val="00E54970"/>
    <w:rsid w:val="00E54C63"/>
    <w:rsid w:val="00E54F14"/>
    <w:rsid w:val="00E552CE"/>
    <w:rsid w:val="00E55B92"/>
    <w:rsid w:val="00E55C60"/>
    <w:rsid w:val="00E55D01"/>
    <w:rsid w:val="00E55EC3"/>
    <w:rsid w:val="00E55F65"/>
    <w:rsid w:val="00E5638E"/>
    <w:rsid w:val="00E564CA"/>
    <w:rsid w:val="00E56618"/>
    <w:rsid w:val="00E568EB"/>
    <w:rsid w:val="00E56C09"/>
    <w:rsid w:val="00E57164"/>
    <w:rsid w:val="00E5723C"/>
    <w:rsid w:val="00E572AC"/>
    <w:rsid w:val="00E60037"/>
    <w:rsid w:val="00E60445"/>
    <w:rsid w:val="00E60FE9"/>
    <w:rsid w:val="00E61F97"/>
    <w:rsid w:val="00E63FF6"/>
    <w:rsid w:val="00E64428"/>
    <w:rsid w:val="00E64856"/>
    <w:rsid w:val="00E6567A"/>
    <w:rsid w:val="00E65A60"/>
    <w:rsid w:val="00E65D81"/>
    <w:rsid w:val="00E6663D"/>
    <w:rsid w:val="00E66A2C"/>
    <w:rsid w:val="00E67418"/>
    <w:rsid w:val="00E678B9"/>
    <w:rsid w:val="00E70382"/>
    <w:rsid w:val="00E70A29"/>
    <w:rsid w:val="00E70CBB"/>
    <w:rsid w:val="00E70F03"/>
    <w:rsid w:val="00E71183"/>
    <w:rsid w:val="00E72266"/>
    <w:rsid w:val="00E72688"/>
    <w:rsid w:val="00E7305D"/>
    <w:rsid w:val="00E7468A"/>
    <w:rsid w:val="00E7477B"/>
    <w:rsid w:val="00E748C5"/>
    <w:rsid w:val="00E74C12"/>
    <w:rsid w:val="00E74C18"/>
    <w:rsid w:val="00E751DD"/>
    <w:rsid w:val="00E75274"/>
    <w:rsid w:val="00E75BB3"/>
    <w:rsid w:val="00E7655A"/>
    <w:rsid w:val="00E767A8"/>
    <w:rsid w:val="00E76FA2"/>
    <w:rsid w:val="00E771E0"/>
    <w:rsid w:val="00E772B8"/>
    <w:rsid w:val="00E77326"/>
    <w:rsid w:val="00E77508"/>
    <w:rsid w:val="00E775C9"/>
    <w:rsid w:val="00E77C7B"/>
    <w:rsid w:val="00E77CB0"/>
    <w:rsid w:val="00E77FB4"/>
    <w:rsid w:val="00E803E1"/>
    <w:rsid w:val="00E80FFE"/>
    <w:rsid w:val="00E81A97"/>
    <w:rsid w:val="00E81F11"/>
    <w:rsid w:val="00E820BA"/>
    <w:rsid w:val="00E82C51"/>
    <w:rsid w:val="00E83252"/>
    <w:rsid w:val="00E83425"/>
    <w:rsid w:val="00E838EA"/>
    <w:rsid w:val="00E843C6"/>
    <w:rsid w:val="00E846B7"/>
    <w:rsid w:val="00E84A57"/>
    <w:rsid w:val="00E84F39"/>
    <w:rsid w:val="00E853DE"/>
    <w:rsid w:val="00E85AB0"/>
    <w:rsid w:val="00E85DB5"/>
    <w:rsid w:val="00E867C5"/>
    <w:rsid w:val="00E86E63"/>
    <w:rsid w:val="00E86EAF"/>
    <w:rsid w:val="00E875D4"/>
    <w:rsid w:val="00E87ECC"/>
    <w:rsid w:val="00E900AA"/>
    <w:rsid w:val="00E9031F"/>
    <w:rsid w:val="00E90DFF"/>
    <w:rsid w:val="00E910F8"/>
    <w:rsid w:val="00E91150"/>
    <w:rsid w:val="00E9134C"/>
    <w:rsid w:val="00E91350"/>
    <w:rsid w:val="00E922F0"/>
    <w:rsid w:val="00E92DF8"/>
    <w:rsid w:val="00E93295"/>
    <w:rsid w:val="00E93843"/>
    <w:rsid w:val="00E95EED"/>
    <w:rsid w:val="00E9627F"/>
    <w:rsid w:val="00E964E0"/>
    <w:rsid w:val="00E96874"/>
    <w:rsid w:val="00E968F2"/>
    <w:rsid w:val="00E96F7B"/>
    <w:rsid w:val="00E96FD1"/>
    <w:rsid w:val="00E97DD3"/>
    <w:rsid w:val="00EA1FCB"/>
    <w:rsid w:val="00EA21EC"/>
    <w:rsid w:val="00EA2B4B"/>
    <w:rsid w:val="00EA2B62"/>
    <w:rsid w:val="00EA2E5D"/>
    <w:rsid w:val="00EA309B"/>
    <w:rsid w:val="00EA3457"/>
    <w:rsid w:val="00EA3949"/>
    <w:rsid w:val="00EA4193"/>
    <w:rsid w:val="00EA4CA2"/>
    <w:rsid w:val="00EA5767"/>
    <w:rsid w:val="00EA5A94"/>
    <w:rsid w:val="00EA6235"/>
    <w:rsid w:val="00EA639C"/>
    <w:rsid w:val="00EA6465"/>
    <w:rsid w:val="00EA6986"/>
    <w:rsid w:val="00EA6AC8"/>
    <w:rsid w:val="00EA70CC"/>
    <w:rsid w:val="00EA7DB0"/>
    <w:rsid w:val="00EB0610"/>
    <w:rsid w:val="00EB0FBD"/>
    <w:rsid w:val="00EB104E"/>
    <w:rsid w:val="00EB11FE"/>
    <w:rsid w:val="00EB158E"/>
    <w:rsid w:val="00EB1982"/>
    <w:rsid w:val="00EB19ED"/>
    <w:rsid w:val="00EB27F4"/>
    <w:rsid w:val="00EB39B3"/>
    <w:rsid w:val="00EB3BFB"/>
    <w:rsid w:val="00EB41AD"/>
    <w:rsid w:val="00EB4839"/>
    <w:rsid w:val="00EB51B7"/>
    <w:rsid w:val="00EB5463"/>
    <w:rsid w:val="00EB54FD"/>
    <w:rsid w:val="00EB6058"/>
    <w:rsid w:val="00EB75DE"/>
    <w:rsid w:val="00EC0480"/>
    <w:rsid w:val="00EC0685"/>
    <w:rsid w:val="00EC0746"/>
    <w:rsid w:val="00EC0E11"/>
    <w:rsid w:val="00EC10D3"/>
    <w:rsid w:val="00EC1295"/>
    <w:rsid w:val="00EC12AC"/>
    <w:rsid w:val="00EC191D"/>
    <w:rsid w:val="00EC23A5"/>
    <w:rsid w:val="00EC2703"/>
    <w:rsid w:val="00EC2D5A"/>
    <w:rsid w:val="00EC3207"/>
    <w:rsid w:val="00EC38D9"/>
    <w:rsid w:val="00EC3ACD"/>
    <w:rsid w:val="00EC3DF4"/>
    <w:rsid w:val="00EC3F32"/>
    <w:rsid w:val="00EC4158"/>
    <w:rsid w:val="00EC4898"/>
    <w:rsid w:val="00EC4A74"/>
    <w:rsid w:val="00EC4C4A"/>
    <w:rsid w:val="00EC5468"/>
    <w:rsid w:val="00EC55AC"/>
    <w:rsid w:val="00EC5C79"/>
    <w:rsid w:val="00EC6214"/>
    <w:rsid w:val="00EC6B7A"/>
    <w:rsid w:val="00EC6D2D"/>
    <w:rsid w:val="00EC6FE5"/>
    <w:rsid w:val="00EC7234"/>
    <w:rsid w:val="00EC72AF"/>
    <w:rsid w:val="00ED051B"/>
    <w:rsid w:val="00ED11E0"/>
    <w:rsid w:val="00ED1BC4"/>
    <w:rsid w:val="00ED2B09"/>
    <w:rsid w:val="00ED2C0D"/>
    <w:rsid w:val="00ED2C10"/>
    <w:rsid w:val="00ED2FDD"/>
    <w:rsid w:val="00ED31E4"/>
    <w:rsid w:val="00ED3AFF"/>
    <w:rsid w:val="00ED474B"/>
    <w:rsid w:val="00ED4C5C"/>
    <w:rsid w:val="00ED4FAB"/>
    <w:rsid w:val="00ED586D"/>
    <w:rsid w:val="00ED58C1"/>
    <w:rsid w:val="00ED59EF"/>
    <w:rsid w:val="00ED5B0B"/>
    <w:rsid w:val="00ED5FAE"/>
    <w:rsid w:val="00ED69D2"/>
    <w:rsid w:val="00ED7211"/>
    <w:rsid w:val="00ED77E1"/>
    <w:rsid w:val="00EE0103"/>
    <w:rsid w:val="00EE095E"/>
    <w:rsid w:val="00EE1384"/>
    <w:rsid w:val="00EE1B88"/>
    <w:rsid w:val="00EE1C9A"/>
    <w:rsid w:val="00EE2038"/>
    <w:rsid w:val="00EE4567"/>
    <w:rsid w:val="00EE4B91"/>
    <w:rsid w:val="00EE4E8C"/>
    <w:rsid w:val="00EE51D7"/>
    <w:rsid w:val="00EE5869"/>
    <w:rsid w:val="00EE5A7F"/>
    <w:rsid w:val="00EE6271"/>
    <w:rsid w:val="00EE69DD"/>
    <w:rsid w:val="00EE6D52"/>
    <w:rsid w:val="00EE7787"/>
    <w:rsid w:val="00EE7A3A"/>
    <w:rsid w:val="00EF02A1"/>
    <w:rsid w:val="00EF0619"/>
    <w:rsid w:val="00EF09C4"/>
    <w:rsid w:val="00EF0B14"/>
    <w:rsid w:val="00EF1020"/>
    <w:rsid w:val="00EF11CD"/>
    <w:rsid w:val="00EF1274"/>
    <w:rsid w:val="00EF22AA"/>
    <w:rsid w:val="00EF3374"/>
    <w:rsid w:val="00EF3AC5"/>
    <w:rsid w:val="00EF3F78"/>
    <w:rsid w:val="00EF414E"/>
    <w:rsid w:val="00EF4740"/>
    <w:rsid w:val="00EF53CC"/>
    <w:rsid w:val="00EF635B"/>
    <w:rsid w:val="00EF6472"/>
    <w:rsid w:val="00EF6A70"/>
    <w:rsid w:val="00EF70EC"/>
    <w:rsid w:val="00EF7177"/>
    <w:rsid w:val="00EF776D"/>
    <w:rsid w:val="00EF7CC9"/>
    <w:rsid w:val="00F00717"/>
    <w:rsid w:val="00F00D81"/>
    <w:rsid w:val="00F011A2"/>
    <w:rsid w:val="00F015F1"/>
    <w:rsid w:val="00F01639"/>
    <w:rsid w:val="00F0185D"/>
    <w:rsid w:val="00F019D1"/>
    <w:rsid w:val="00F01A72"/>
    <w:rsid w:val="00F01CBE"/>
    <w:rsid w:val="00F0248D"/>
    <w:rsid w:val="00F0305B"/>
    <w:rsid w:val="00F03380"/>
    <w:rsid w:val="00F037BE"/>
    <w:rsid w:val="00F04316"/>
    <w:rsid w:val="00F04E46"/>
    <w:rsid w:val="00F05B79"/>
    <w:rsid w:val="00F05D7E"/>
    <w:rsid w:val="00F05DD0"/>
    <w:rsid w:val="00F06D55"/>
    <w:rsid w:val="00F07147"/>
    <w:rsid w:val="00F103DF"/>
    <w:rsid w:val="00F1065B"/>
    <w:rsid w:val="00F1093C"/>
    <w:rsid w:val="00F10EA9"/>
    <w:rsid w:val="00F1170E"/>
    <w:rsid w:val="00F11978"/>
    <w:rsid w:val="00F11C47"/>
    <w:rsid w:val="00F11CA5"/>
    <w:rsid w:val="00F11F83"/>
    <w:rsid w:val="00F12290"/>
    <w:rsid w:val="00F126A0"/>
    <w:rsid w:val="00F12850"/>
    <w:rsid w:val="00F128B3"/>
    <w:rsid w:val="00F1341C"/>
    <w:rsid w:val="00F1365F"/>
    <w:rsid w:val="00F136F3"/>
    <w:rsid w:val="00F138E2"/>
    <w:rsid w:val="00F13C17"/>
    <w:rsid w:val="00F13F7F"/>
    <w:rsid w:val="00F145DC"/>
    <w:rsid w:val="00F14940"/>
    <w:rsid w:val="00F14CFA"/>
    <w:rsid w:val="00F14E3F"/>
    <w:rsid w:val="00F1512C"/>
    <w:rsid w:val="00F152B1"/>
    <w:rsid w:val="00F158D5"/>
    <w:rsid w:val="00F15A7A"/>
    <w:rsid w:val="00F16999"/>
    <w:rsid w:val="00F1749B"/>
    <w:rsid w:val="00F17FB5"/>
    <w:rsid w:val="00F20325"/>
    <w:rsid w:val="00F20739"/>
    <w:rsid w:val="00F2209B"/>
    <w:rsid w:val="00F224A2"/>
    <w:rsid w:val="00F22717"/>
    <w:rsid w:val="00F22F4F"/>
    <w:rsid w:val="00F237CE"/>
    <w:rsid w:val="00F24EA0"/>
    <w:rsid w:val="00F269B3"/>
    <w:rsid w:val="00F279EA"/>
    <w:rsid w:val="00F3018D"/>
    <w:rsid w:val="00F30608"/>
    <w:rsid w:val="00F316F0"/>
    <w:rsid w:val="00F31BA4"/>
    <w:rsid w:val="00F322CA"/>
    <w:rsid w:val="00F3258A"/>
    <w:rsid w:val="00F32C06"/>
    <w:rsid w:val="00F3344A"/>
    <w:rsid w:val="00F33B97"/>
    <w:rsid w:val="00F351EF"/>
    <w:rsid w:val="00F35D4C"/>
    <w:rsid w:val="00F36225"/>
    <w:rsid w:val="00F3665F"/>
    <w:rsid w:val="00F36758"/>
    <w:rsid w:val="00F36DD3"/>
    <w:rsid w:val="00F37F17"/>
    <w:rsid w:val="00F409B7"/>
    <w:rsid w:val="00F40B63"/>
    <w:rsid w:val="00F423D9"/>
    <w:rsid w:val="00F42AE4"/>
    <w:rsid w:val="00F42F6C"/>
    <w:rsid w:val="00F43284"/>
    <w:rsid w:val="00F43D7F"/>
    <w:rsid w:val="00F440F1"/>
    <w:rsid w:val="00F443BD"/>
    <w:rsid w:val="00F443D9"/>
    <w:rsid w:val="00F4447E"/>
    <w:rsid w:val="00F444E1"/>
    <w:rsid w:val="00F44681"/>
    <w:rsid w:val="00F448BC"/>
    <w:rsid w:val="00F449DF"/>
    <w:rsid w:val="00F44B4D"/>
    <w:rsid w:val="00F44E3E"/>
    <w:rsid w:val="00F4575B"/>
    <w:rsid w:val="00F45A6B"/>
    <w:rsid w:val="00F46958"/>
    <w:rsid w:val="00F46997"/>
    <w:rsid w:val="00F46C1E"/>
    <w:rsid w:val="00F47793"/>
    <w:rsid w:val="00F4794D"/>
    <w:rsid w:val="00F50F1A"/>
    <w:rsid w:val="00F51017"/>
    <w:rsid w:val="00F5140D"/>
    <w:rsid w:val="00F520B3"/>
    <w:rsid w:val="00F521B4"/>
    <w:rsid w:val="00F52A94"/>
    <w:rsid w:val="00F532B4"/>
    <w:rsid w:val="00F534DA"/>
    <w:rsid w:val="00F534FC"/>
    <w:rsid w:val="00F53D43"/>
    <w:rsid w:val="00F5463D"/>
    <w:rsid w:val="00F54D36"/>
    <w:rsid w:val="00F54FFB"/>
    <w:rsid w:val="00F55291"/>
    <w:rsid w:val="00F55818"/>
    <w:rsid w:val="00F55914"/>
    <w:rsid w:val="00F559DE"/>
    <w:rsid w:val="00F56128"/>
    <w:rsid w:val="00F56278"/>
    <w:rsid w:val="00F56287"/>
    <w:rsid w:val="00F56DC6"/>
    <w:rsid w:val="00F573AF"/>
    <w:rsid w:val="00F5767E"/>
    <w:rsid w:val="00F57830"/>
    <w:rsid w:val="00F57BAB"/>
    <w:rsid w:val="00F57EA5"/>
    <w:rsid w:val="00F6168E"/>
    <w:rsid w:val="00F61D3D"/>
    <w:rsid w:val="00F61ED7"/>
    <w:rsid w:val="00F621B8"/>
    <w:rsid w:val="00F62E07"/>
    <w:rsid w:val="00F63141"/>
    <w:rsid w:val="00F63143"/>
    <w:rsid w:val="00F633DB"/>
    <w:rsid w:val="00F643D7"/>
    <w:rsid w:val="00F64C1D"/>
    <w:rsid w:val="00F64E12"/>
    <w:rsid w:val="00F6562C"/>
    <w:rsid w:val="00F6652F"/>
    <w:rsid w:val="00F66584"/>
    <w:rsid w:val="00F669FB"/>
    <w:rsid w:val="00F66A3E"/>
    <w:rsid w:val="00F6734B"/>
    <w:rsid w:val="00F67894"/>
    <w:rsid w:val="00F70AB6"/>
    <w:rsid w:val="00F70AF8"/>
    <w:rsid w:val="00F70E50"/>
    <w:rsid w:val="00F720FC"/>
    <w:rsid w:val="00F72AE1"/>
    <w:rsid w:val="00F72B06"/>
    <w:rsid w:val="00F72DC7"/>
    <w:rsid w:val="00F733FA"/>
    <w:rsid w:val="00F73569"/>
    <w:rsid w:val="00F73882"/>
    <w:rsid w:val="00F73ADD"/>
    <w:rsid w:val="00F75ABF"/>
    <w:rsid w:val="00F765FB"/>
    <w:rsid w:val="00F76769"/>
    <w:rsid w:val="00F76E6B"/>
    <w:rsid w:val="00F77A40"/>
    <w:rsid w:val="00F80103"/>
    <w:rsid w:val="00F80626"/>
    <w:rsid w:val="00F81183"/>
    <w:rsid w:val="00F81BBC"/>
    <w:rsid w:val="00F81FCB"/>
    <w:rsid w:val="00F82030"/>
    <w:rsid w:val="00F820A5"/>
    <w:rsid w:val="00F822F1"/>
    <w:rsid w:val="00F82331"/>
    <w:rsid w:val="00F823B3"/>
    <w:rsid w:val="00F8381D"/>
    <w:rsid w:val="00F83A32"/>
    <w:rsid w:val="00F83C90"/>
    <w:rsid w:val="00F84B34"/>
    <w:rsid w:val="00F851C2"/>
    <w:rsid w:val="00F854BB"/>
    <w:rsid w:val="00F855E5"/>
    <w:rsid w:val="00F856C6"/>
    <w:rsid w:val="00F86890"/>
    <w:rsid w:val="00F868F3"/>
    <w:rsid w:val="00F86985"/>
    <w:rsid w:val="00F86B92"/>
    <w:rsid w:val="00F86DF0"/>
    <w:rsid w:val="00F87A51"/>
    <w:rsid w:val="00F90398"/>
    <w:rsid w:val="00F90FF5"/>
    <w:rsid w:val="00F91102"/>
    <w:rsid w:val="00F912A6"/>
    <w:rsid w:val="00F91DEF"/>
    <w:rsid w:val="00F923FF"/>
    <w:rsid w:val="00F92CC9"/>
    <w:rsid w:val="00F92DF6"/>
    <w:rsid w:val="00F93087"/>
    <w:rsid w:val="00F930FE"/>
    <w:rsid w:val="00F936AE"/>
    <w:rsid w:val="00F94897"/>
    <w:rsid w:val="00F95795"/>
    <w:rsid w:val="00F958AE"/>
    <w:rsid w:val="00F96B21"/>
    <w:rsid w:val="00F96DD9"/>
    <w:rsid w:val="00F9736F"/>
    <w:rsid w:val="00F97575"/>
    <w:rsid w:val="00F97576"/>
    <w:rsid w:val="00F9779E"/>
    <w:rsid w:val="00FA0352"/>
    <w:rsid w:val="00FA0506"/>
    <w:rsid w:val="00FA0843"/>
    <w:rsid w:val="00FA0DC3"/>
    <w:rsid w:val="00FA0F07"/>
    <w:rsid w:val="00FA1612"/>
    <w:rsid w:val="00FA19A2"/>
    <w:rsid w:val="00FA2373"/>
    <w:rsid w:val="00FA302A"/>
    <w:rsid w:val="00FA385B"/>
    <w:rsid w:val="00FA3E1C"/>
    <w:rsid w:val="00FA4579"/>
    <w:rsid w:val="00FA4EEA"/>
    <w:rsid w:val="00FA5616"/>
    <w:rsid w:val="00FA64DB"/>
    <w:rsid w:val="00FA64E9"/>
    <w:rsid w:val="00FA6550"/>
    <w:rsid w:val="00FA6F5E"/>
    <w:rsid w:val="00FB0932"/>
    <w:rsid w:val="00FB0C73"/>
    <w:rsid w:val="00FB0E9C"/>
    <w:rsid w:val="00FB1BAF"/>
    <w:rsid w:val="00FB1E24"/>
    <w:rsid w:val="00FB293E"/>
    <w:rsid w:val="00FB2AEA"/>
    <w:rsid w:val="00FB2DB9"/>
    <w:rsid w:val="00FB3132"/>
    <w:rsid w:val="00FB31FE"/>
    <w:rsid w:val="00FB3C44"/>
    <w:rsid w:val="00FB408B"/>
    <w:rsid w:val="00FB5622"/>
    <w:rsid w:val="00FB5793"/>
    <w:rsid w:val="00FB5F99"/>
    <w:rsid w:val="00FB6330"/>
    <w:rsid w:val="00FB6B0A"/>
    <w:rsid w:val="00FB6D5C"/>
    <w:rsid w:val="00FB6FD5"/>
    <w:rsid w:val="00FB7199"/>
    <w:rsid w:val="00FB762D"/>
    <w:rsid w:val="00FB7C60"/>
    <w:rsid w:val="00FC0063"/>
    <w:rsid w:val="00FC0DCD"/>
    <w:rsid w:val="00FC1E62"/>
    <w:rsid w:val="00FC2E61"/>
    <w:rsid w:val="00FC30AB"/>
    <w:rsid w:val="00FC3AB6"/>
    <w:rsid w:val="00FC3AEE"/>
    <w:rsid w:val="00FC3F8F"/>
    <w:rsid w:val="00FC4327"/>
    <w:rsid w:val="00FC44A9"/>
    <w:rsid w:val="00FC465C"/>
    <w:rsid w:val="00FC549B"/>
    <w:rsid w:val="00FC588D"/>
    <w:rsid w:val="00FC60B4"/>
    <w:rsid w:val="00FC6415"/>
    <w:rsid w:val="00FC6A71"/>
    <w:rsid w:val="00FC6AD7"/>
    <w:rsid w:val="00FC6B4F"/>
    <w:rsid w:val="00FC71BC"/>
    <w:rsid w:val="00FD03C8"/>
    <w:rsid w:val="00FD0FC7"/>
    <w:rsid w:val="00FD2051"/>
    <w:rsid w:val="00FD2151"/>
    <w:rsid w:val="00FD2EC6"/>
    <w:rsid w:val="00FD3201"/>
    <w:rsid w:val="00FD37F5"/>
    <w:rsid w:val="00FD3C45"/>
    <w:rsid w:val="00FD425B"/>
    <w:rsid w:val="00FD4E12"/>
    <w:rsid w:val="00FD52B6"/>
    <w:rsid w:val="00FD544B"/>
    <w:rsid w:val="00FD6C81"/>
    <w:rsid w:val="00FD730A"/>
    <w:rsid w:val="00FD7E0D"/>
    <w:rsid w:val="00FE0E84"/>
    <w:rsid w:val="00FE1BE9"/>
    <w:rsid w:val="00FE2EA7"/>
    <w:rsid w:val="00FE2F0C"/>
    <w:rsid w:val="00FE3C7A"/>
    <w:rsid w:val="00FE49F2"/>
    <w:rsid w:val="00FE5465"/>
    <w:rsid w:val="00FE54C0"/>
    <w:rsid w:val="00FE6860"/>
    <w:rsid w:val="00FE6C74"/>
    <w:rsid w:val="00FE71E6"/>
    <w:rsid w:val="00FE7321"/>
    <w:rsid w:val="00FE7B0A"/>
    <w:rsid w:val="00FE7FEB"/>
    <w:rsid w:val="00FF0218"/>
    <w:rsid w:val="00FF04AC"/>
    <w:rsid w:val="00FF0E8F"/>
    <w:rsid w:val="00FF2286"/>
    <w:rsid w:val="00FF2CF9"/>
    <w:rsid w:val="00FF2E18"/>
    <w:rsid w:val="00FF3FB1"/>
    <w:rsid w:val="00FF4515"/>
    <w:rsid w:val="00FF4955"/>
    <w:rsid w:val="00FF4A32"/>
    <w:rsid w:val="00FF4D9D"/>
    <w:rsid w:val="00FF55C3"/>
    <w:rsid w:val="00FF5BD8"/>
    <w:rsid w:val="00FF653C"/>
    <w:rsid w:val="00FF6AA6"/>
    <w:rsid w:val="00FF6EC9"/>
    <w:rsid w:val="00FF706C"/>
    <w:rsid w:val="00FF7698"/>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locked="1" w:semiHidden="0" w:uiPriority="0" w:unhideWhenUsed="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Outline List 2" w:uiPriority="0"/>
    <w:lsdException w:name="Table Columns 3"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69"/>
    <w:rPr>
      <w:rFonts w:ascii="Arial" w:hAnsi="Arial"/>
    </w:rPr>
  </w:style>
  <w:style w:type="paragraph" w:styleId="Heading1">
    <w:name w:val="heading 1"/>
    <w:basedOn w:val="Normal"/>
    <w:next w:val="Normal"/>
    <w:link w:val="Heading1Char"/>
    <w:autoRedefine/>
    <w:qFormat/>
    <w:rsid w:val="00FE54C0"/>
    <w:pPr>
      <w:keepNext/>
      <w:outlineLvl w:val="0"/>
    </w:pPr>
    <w:rPr>
      <w:b/>
      <w:lang w:eastAsia="ja-JP"/>
    </w:rPr>
  </w:style>
  <w:style w:type="paragraph" w:styleId="Heading2">
    <w:name w:val="heading 2"/>
    <w:basedOn w:val="Normal"/>
    <w:next w:val="Normal"/>
    <w:link w:val="Heading2Char1"/>
    <w:autoRedefine/>
    <w:qFormat/>
    <w:rsid w:val="00954B73"/>
    <w:pPr>
      <w:keepNext/>
      <w:outlineLvl w:val="1"/>
    </w:pPr>
    <w:rPr>
      <w:b/>
      <w:sz w:val="28"/>
      <w:u w:val="single"/>
      <w:lang w:eastAsia="ja-JP"/>
    </w:rPr>
  </w:style>
  <w:style w:type="paragraph" w:styleId="Heading3">
    <w:name w:val="heading 3"/>
    <w:basedOn w:val="Normal"/>
    <w:next w:val="Normal"/>
    <w:link w:val="Heading3Char"/>
    <w:autoRedefine/>
    <w:qFormat/>
    <w:rsid w:val="007A44CB"/>
    <w:pPr>
      <w:keepNext/>
      <w:outlineLvl w:val="2"/>
    </w:pPr>
    <w:rPr>
      <w:b/>
      <w:i/>
      <w:sz w:val="24"/>
      <w:szCs w:val="24"/>
      <w:lang w:eastAsia="ja-JP"/>
    </w:rPr>
  </w:style>
  <w:style w:type="paragraph" w:styleId="Heading4">
    <w:name w:val="heading 4"/>
    <w:basedOn w:val="Normal"/>
    <w:next w:val="Normal"/>
    <w:link w:val="Heading4Char"/>
    <w:autoRedefine/>
    <w:rsid w:val="006A3FDE"/>
    <w:pPr>
      <w:keepNext/>
      <w:framePr w:wrap="notBeside" w:vAnchor="text" w:hAnchor="text" w:y="1"/>
      <w:tabs>
        <w:tab w:val="num" w:pos="1440"/>
      </w:tabs>
      <w:spacing w:after="120"/>
      <w:outlineLvl w:val="3"/>
    </w:pPr>
    <w:rPr>
      <w:rFonts w:cs="Arial"/>
      <w:b/>
      <w:shd w:val="clear" w:color="auto" w:fill="365F91" w:themeFill="accent1" w:themeFillShade="BF"/>
    </w:rPr>
  </w:style>
  <w:style w:type="paragraph" w:styleId="Heading5">
    <w:name w:val="heading 5"/>
    <w:basedOn w:val="Normal"/>
    <w:next w:val="Normal"/>
    <w:link w:val="Heading5Char"/>
    <w:autoRedefine/>
    <w:qFormat/>
    <w:rsid w:val="006B5931"/>
    <w:pPr>
      <w:keepNext/>
      <w:tabs>
        <w:tab w:val="num" w:pos="1800"/>
      </w:tabs>
      <w:ind w:left="1800" w:hanging="360"/>
      <w:outlineLvl w:val="4"/>
    </w:pPr>
    <w:rPr>
      <w:i/>
    </w:rPr>
  </w:style>
  <w:style w:type="paragraph" w:styleId="Heading6">
    <w:name w:val="heading 6"/>
    <w:basedOn w:val="Normal"/>
    <w:next w:val="Normal"/>
    <w:link w:val="Heading6Char"/>
    <w:qFormat/>
    <w:pPr>
      <w:keepNext/>
      <w:outlineLvl w:val="5"/>
    </w:pPr>
    <w:rPr>
      <w:b/>
      <w:color w:val="000000"/>
    </w:rPr>
  </w:style>
  <w:style w:type="paragraph" w:styleId="Heading7">
    <w:name w:val="heading 7"/>
    <w:basedOn w:val="Normal"/>
    <w:next w:val="Normal"/>
    <w:link w:val="Heading7Char"/>
    <w:qFormat/>
    <w:pPr>
      <w:keepNext/>
      <w:jc w:val="center"/>
      <w:outlineLvl w:val="6"/>
    </w:pPr>
    <w:rPr>
      <w:u w:val="single"/>
    </w:rPr>
  </w:style>
  <w:style w:type="paragraph" w:styleId="Heading8">
    <w:name w:val="heading 8"/>
    <w:basedOn w:val="Normal"/>
    <w:next w:val="Normal"/>
    <w:link w:val="Heading8Char"/>
    <w:qFormat/>
    <w:pPr>
      <w:keepNext/>
      <w:jc w:val="right"/>
      <w:outlineLvl w:val="7"/>
    </w:pPr>
    <w:rPr>
      <w:i/>
    </w:rPr>
  </w:style>
  <w:style w:type="paragraph" w:styleId="Heading9">
    <w:name w:val="heading 9"/>
    <w:basedOn w:val="Normal"/>
    <w:next w:val="Normal"/>
    <w:link w:val="Heading9Char"/>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E54C0"/>
    <w:rPr>
      <w:rFonts w:ascii="Arial" w:hAnsi="Arial"/>
      <w:b/>
      <w:lang w:eastAsia="ja-JP"/>
    </w:rPr>
  </w:style>
  <w:style w:type="character" w:customStyle="1" w:styleId="Heading2Char">
    <w:name w:val="Heading 2 Char"/>
    <w:rsid w:val="00570C36"/>
    <w:rPr>
      <w:rFonts w:ascii="Arial" w:hAnsi="Arial"/>
      <w:b/>
      <w:sz w:val="28"/>
      <w:u w:val="single"/>
      <w:lang w:eastAsia="ja-JP"/>
    </w:rPr>
  </w:style>
  <w:style w:type="character" w:customStyle="1" w:styleId="Heading3Char">
    <w:name w:val="Heading 3 Char"/>
    <w:link w:val="Heading3"/>
    <w:rsid w:val="007A44CB"/>
    <w:rPr>
      <w:rFonts w:ascii="Arial" w:hAnsi="Arial"/>
      <w:b/>
      <w:i/>
      <w:sz w:val="24"/>
      <w:szCs w:val="24"/>
      <w:lang w:eastAsia="ja-JP"/>
    </w:rPr>
  </w:style>
  <w:style w:type="character" w:customStyle="1" w:styleId="Heading4Char">
    <w:name w:val="Heading 4 Char"/>
    <w:link w:val="Heading4"/>
    <w:rsid w:val="006A3FDE"/>
    <w:rPr>
      <w:rFonts w:ascii="Arial" w:hAnsi="Arial" w:cs="Arial"/>
      <w:b/>
    </w:rPr>
  </w:style>
  <w:style w:type="character" w:customStyle="1" w:styleId="Heading5Char">
    <w:name w:val="Heading 5 Char"/>
    <w:link w:val="Heading5"/>
    <w:uiPriority w:val="99"/>
    <w:rsid w:val="006B5931"/>
    <w:rPr>
      <w:rFonts w:ascii="Arial" w:hAnsi="Arial"/>
      <w:i/>
    </w:rPr>
  </w:style>
  <w:style w:type="character" w:customStyle="1" w:styleId="Heading6Char">
    <w:name w:val="Heading 6 Char"/>
    <w:link w:val="Heading6"/>
    <w:uiPriority w:val="9"/>
    <w:semiHidden/>
    <w:rsid w:val="008910AA"/>
    <w:rPr>
      <w:rFonts w:ascii="Calibri" w:eastAsia="Times New Roman" w:hAnsi="Calibri" w:cs="Times New Roman"/>
      <w:b/>
      <w:bCs/>
    </w:rPr>
  </w:style>
  <w:style w:type="character" w:customStyle="1" w:styleId="Heading7Char">
    <w:name w:val="Heading 7 Char"/>
    <w:link w:val="Heading7"/>
    <w:uiPriority w:val="9"/>
    <w:semiHidden/>
    <w:rsid w:val="008910AA"/>
    <w:rPr>
      <w:rFonts w:ascii="Calibri" w:eastAsia="Times New Roman" w:hAnsi="Calibri" w:cs="Times New Roman"/>
      <w:sz w:val="24"/>
      <w:szCs w:val="24"/>
    </w:rPr>
  </w:style>
  <w:style w:type="character" w:customStyle="1" w:styleId="Heading8Char">
    <w:name w:val="Heading 8 Char"/>
    <w:link w:val="Heading8"/>
    <w:uiPriority w:val="9"/>
    <w:semiHidden/>
    <w:rsid w:val="008910AA"/>
    <w:rPr>
      <w:rFonts w:ascii="Calibri" w:eastAsia="Times New Roman" w:hAnsi="Calibri" w:cs="Times New Roman"/>
      <w:i/>
      <w:iCs/>
      <w:sz w:val="24"/>
      <w:szCs w:val="24"/>
    </w:rPr>
  </w:style>
  <w:style w:type="character" w:customStyle="1" w:styleId="Heading9Char">
    <w:name w:val="Heading 9 Char"/>
    <w:link w:val="Heading9"/>
    <w:uiPriority w:val="9"/>
    <w:semiHidden/>
    <w:rsid w:val="008910AA"/>
    <w:rPr>
      <w:rFonts w:ascii="Cambria" w:eastAsia="Times New Roman" w:hAnsi="Cambria" w:cs="Times New Roman"/>
    </w:rPr>
  </w:style>
  <w:style w:type="paragraph" w:customStyle="1" w:styleId="Reply">
    <w:name w:val="Reply"/>
    <w:basedOn w:val="Normal"/>
    <w:rPr>
      <w:rFonts w:ascii="Courier New" w:hAnsi="Courier New"/>
      <w:color w:val="FF0000"/>
    </w:rPr>
  </w:style>
  <w:style w:type="paragraph" w:customStyle="1" w:styleId="Comment">
    <w:name w:val="Comment"/>
    <w:basedOn w:val="Normal"/>
    <w:next w:val="PlainText"/>
    <w:pPr>
      <w:widowControl w:val="0"/>
      <w:tabs>
        <w:tab w:val="left" w:pos="1800"/>
      </w:tabs>
      <w:ind w:left="1800" w:hanging="1800"/>
    </w:pPr>
    <w:rPr>
      <w:color w:val="0000FF"/>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sid w:val="008910AA"/>
    <w:rPr>
      <w:rFonts w:ascii="Courier New" w:hAnsi="Courier New" w:cs="Courier New"/>
      <w:sz w:val="20"/>
      <w:szCs w:val="20"/>
    </w:rPr>
  </w:style>
  <w:style w:type="paragraph" w:customStyle="1" w:styleId="color">
    <w:name w:val="color"/>
    <w:basedOn w:val="NormalIndent"/>
    <w:pPr>
      <w:ind w:left="0"/>
    </w:pPr>
    <w:rPr>
      <w:color w:val="FF00FF"/>
    </w:rPr>
  </w:style>
  <w:style w:type="paragraph" w:styleId="NormalIndent">
    <w:name w:val="Normal Indent"/>
    <w:basedOn w:val="Normal"/>
    <w:pPr>
      <w:ind w:left="720"/>
    </w:pPr>
  </w:style>
  <w:style w:type="paragraph" w:customStyle="1" w:styleId="Color0">
    <w:name w:val="Color"/>
    <w:basedOn w:val="Normal"/>
    <w:rPr>
      <w:color w:val="FF00FF"/>
    </w:rPr>
  </w:style>
  <w:style w:type="paragraph" w:styleId="Title">
    <w:name w:val="Title"/>
    <w:basedOn w:val="Normal"/>
    <w:link w:val="TitleChar"/>
    <w:autoRedefine/>
    <w:qFormat/>
    <w:rsid w:val="002C3E94"/>
    <w:pPr>
      <w:pBdr>
        <w:top w:val="single" w:sz="4" w:space="1" w:color="auto"/>
        <w:left w:val="single" w:sz="4" w:space="4" w:color="auto"/>
        <w:bottom w:val="single" w:sz="4" w:space="1" w:color="auto"/>
        <w:right w:val="single" w:sz="4" w:space="4" w:color="auto"/>
      </w:pBdr>
      <w:jc w:val="center"/>
    </w:pPr>
    <w:rPr>
      <w:b/>
      <w:sz w:val="24"/>
    </w:rPr>
  </w:style>
  <w:style w:type="character" w:customStyle="1" w:styleId="TitleChar">
    <w:name w:val="Title Char"/>
    <w:link w:val="Title"/>
    <w:rsid w:val="002C3E94"/>
    <w:rPr>
      <w:rFonts w:ascii="Arial" w:hAnsi="Arial"/>
      <w:b/>
      <w:sz w:val="24"/>
    </w:rPr>
  </w:style>
  <w:style w:type="character" w:styleId="Hyperlink">
    <w:name w:val="Hyperlink"/>
    <w:uiPriority w:val="99"/>
    <w:rPr>
      <w:rFonts w:cs="Times New Roman"/>
      <w:color w:val="0000FF"/>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910AA"/>
    <w:rPr>
      <w:rFonts w:ascii="Arial" w:hAnsi="Arial"/>
      <w:sz w:val="20"/>
      <w:szCs w:val="20"/>
    </w:rPr>
  </w:style>
  <w:style w:type="paragraph" w:styleId="BodyText">
    <w:name w:val="Body Text"/>
    <w:basedOn w:val="Normal"/>
    <w:link w:val="BodyTextChar"/>
    <w:uiPriority w:val="99"/>
    <w:rPr>
      <w:i/>
    </w:rPr>
  </w:style>
  <w:style w:type="character" w:customStyle="1" w:styleId="BodyTextChar">
    <w:name w:val="Body Text Char"/>
    <w:link w:val="BodyText"/>
    <w:uiPriority w:val="99"/>
    <w:semiHidden/>
    <w:rsid w:val="008910AA"/>
    <w:rPr>
      <w:rFonts w:ascii="Arial" w:hAnsi="Arial"/>
      <w:sz w:val="20"/>
      <w:szCs w:val="20"/>
    </w:rPr>
  </w:style>
  <w:style w:type="paragraph" w:styleId="BodyText2">
    <w:name w:val="Body Text 2"/>
    <w:basedOn w:val="Normal"/>
    <w:link w:val="BodyText2Char"/>
    <w:rPr>
      <w:i/>
      <w:color w:val="000000"/>
    </w:rPr>
  </w:style>
  <w:style w:type="character" w:customStyle="1" w:styleId="BodyText2Char">
    <w:name w:val="Body Text 2 Char"/>
    <w:link w:val="BodyText2"/>
    <w:uiPriority w:val="99"/>
    <w:semiHidden/>
    <w:rsid w:val="008910AA"/>
    <w:rPr>
      <w:rFonts w:ascii="Arial" w:hAnsi="Arial"/>
      <w:sz w:val="20"/>
      <w:szCs w:val="20"/>
    </w:rPr>
  </w:style>
  <w:style w:type="paragraph" w:styleId="BodyText3">
    <w:name w:val="Body Text 3"/>
    <w:basedOn w:val="Normal"/>
    <w:link w:val="BodyText3Char"/>
    <w:rPr>
      <w:color w:val="000000"/>
    </w:rPr>
  </w:style>
  <w:style w:type="character" w:customStyle="1" w:styleId="BodyText3Char">
    <w:name w:val="Body Text 3 Char"/>
    <w:link w:val="BodyText3"/>
    <w:rsid w:val="008910AA"/>
    <w:rPr>
      <w:rFonts w:ascii="Arial" w:hAnsi="Arial"/>
      <w:sz w:val="16"/>
      <w:szCs w:val="16"/>
    </w:rPr>
  </w:style>
  <w:style w:type="character" w:styleId="PageNumber">
    <w:name w:val="page number"/>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910AA"/>
    <w:rPr>
      <w:rFonts w:ascii="Arial" w:hAnsi="Arial"/>
      <w:sz w:val="20"/>
      <w:szCs w:val="20"/>
    </w:rPr>
  </w:style>
  <w:style w:type="character" w:styleId="FollowedHyperlink">
    <w:name w:val="FollowedHyperlink"/>
    <w:rPr>
      <w:rFonts w:cs="Times New Roman"/>
      <w:color w:val="800080"/>
      <w:u w:val="single"/>
    </w:rPr>
  </w:style>
  <w:style w:type="paragraph" w:styleId="BodyTextIndent">
    <w:name w:val="Body Text Indent"/>
    <w:basedOn w:val="Normal"/>
    <w:link w:val="BodyTextIndentChar"/>
    <w:pPr>
      <w:ind w:firstLine="720"/>
    </w:pPr>
  </w:style>
  <w:style w:type="character" w:customStyle="1" w:styleId="BodyTextIndentChar">
    <w:name w:val="Body Text Indent Char"/>
    <w:link w:val="BodyTextIndent"/>
    <w:uiPriority w:val="99"/>
    <w:semiHidden/>
    <w:rsid w:val="008910AA"/>
    <w:rPr>
      <w:rFonts w:ascii="Arial" w:hAnsi="Arial"/>
      <w:sz w:val="20"/>
      <w:szCs w:val="20"/>
    </w:rPr>
  </w:style>
  <w:style w:type="paragraph" w:customStyle="1" w:styleId="DefinitionList">
    <w:name w:val="Definition List"/>
    <w:basedOn w:val="Normal"/>
    <w:next w:val="Normal"/>
    <w:pPr>
      <w:ind w:left="360"/>
    </w:pPr>
  </w:style>
  <w:style w:type="paragraph" w:customStyle="1" w:styleId="H3">
    <w:name w:val="H3"/>
    <w:basedOn w:val="Normal"/>
    <w:next w:val="Normal"/>
    <w:pPr>
      <w:keepNext/>
      <w:spacing w:before="100" w:after="100"/>
      <w:outlineLvl w:val="3"/>
    </w:pPr>
    <w:rPr>
      <w:b/>
      <w:sz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rsid w:val="008910AA"/>
    <w:rPr>
      <w:sz w:val="0"/>
      <w:szCs w:val="0"/>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sid w:val="008910AA"/>
    <w:rPr>
      <w:rFonts w:ascii="Arial" w:hAnsi="Arial"/>
      <w:sz w:val="20"/>
      <w:szCs w:val="20"/>
    </w:rPr>
  </w:style>
  <w:style w:type="character" w:styleId="EndnoteReference">
    <w:name w:val="endnote reference"/>
    <w:semiHidden/>
    <w:rPr>
      <w:rFonts w:cs="Times New Roman"/>
      <w:vertAlign w:val="superscript"/>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rPr>
  </w:style>
  <w:style w:type="paragraph" w:styleId="BodyTextIndent2">
    <w:name w:val="Body Text Indent 2"/>
    <w:basedOn w:val="Normal"/>
    <w:link w:val="BodyTextIndent2Char"/>
    <w:pPr>
      <w:ind w:left="1440"/>
    </w:pPr>
    <w:rPr>
      <w:color w:val="000000"/>
    </w:rPr>
  </w:style>
  <w:style w:type="character" w:customStyle="1" w:styleId="BodyTextIndent2Char">
    <w:name w:val="Body Text Indent 2 Char"/>
    <w:link w:val="BodyTextIndent2"/>
    <w:uiPriority w:val="99"/>
    <w:semiHidden/>
    <w:rsid w:val="008910AA"/>
    <w:rPr>
      <w:rFonts w:ascii="Arial" w:hAnsi="Arial"/>
      <w:sz w:val="20"/>
      <w:szCs w:val="20"/>
    </w:rPr>
  </w:style>
  <w:style w:type="paragraph" w:styleId="FootnoteText">
    <w:name w:val="footnote text"/>
    <w:basedOn w:val="Normal"/>
    <w:link w:val="FootnoteTextChar"/>
    <w:semiHidden/>
  </w:style>
  <w:style w:type="character" w:customStyle="1" w:styleId="FootnoteTextChar">
    <w:name w:val="Footnote Text Char"/>
    <w:link w:val="FootnoteText"/>
    <w:uiPriority w:val="99"/>
    <w:semiHidden/>
    <w:rsid w:val="008910AA"/>
    <w:rPr>
      <w:rFonts w:ascii="Arial" w:hAnsi="Arial"/>
      <w:sz w:val="20"/>
      <w:szCs w:val="20"/>
    </w:rPr>
  </w:style>
  <w:style w:type="character" w:styleId="FootnoteReference">
    <w:name w:val="footnote reference"/>
    <w:semiHidden/>
    <w:rPr>
      <w:rFonts w:cs="Times New Roman"/>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Strong">
    <w:name w:val="Strong"/>
    <w:uiPriority w:val="22"/>
    <w:qFormat/>
    <w:rPr>
      <w:rFonts w:cs="Times New Roman"/>
      <w:b/>
    </w:rPr>
  </w:style>
  <w:style w:type="paragraph" w:styleId="BodyTextFirstIndent">
    <w:name w:val="Body Text First Indent"/>
    <w:basedOn w:val="Normal"/>
    <w:link w:val="BodyTextFirstIndentChar"/>
    <w:pPr>
      <w:ind w:left="360" w:hanging="360"/>
    </w:pPr>
    <w:rPr>
      <w:rFonts w:cs="Arial"/>
    </w:rPr>
  </w:style>
  <w:style w:type="character" w:customStyle="1" w:styleId="BodyTextFirstIndentChar">
    <w:name w:val="Body Text First Indent Char"/>
    <w:link w:val="BodyTextFirstIndent"/>
    <w:uiPriority w:val="99"/>
    <w:semiHidden/>
    <w:rsid w:val="008910AA"/>
    <w:rPr>
      <w:rFonts w:ascii="Arial" w:hAnsi="Arial"/>
      <w:sz w:val="20"/>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uiPriority w:val="99"/>
    <w:semiHidden/>
    <w:rsid w:val="008910AA"/>
    <w:rPr>
      <w:sz w:val="0"/>
      <w:szCs w:val="0"/>
    </w:rPr>
  </w:style>
  <w:style w:type="paragraph" w:customStyle="1" w:styleId="StyleHeading3Centered">
    <w:name w:val="Style Heading 3 + Centered"/>
    <w:basedOn w:val="Heading3"/>
    <w:pPr>
      <w:jc w:val="center"/>
    </w:pPr>
    <w:rPr>
      <w:bCs/>
    </w:rPr>
  </w:style>
  <w:style w:type="paragraph" w:customStyle="1" w:styleId="StyleH3Centered">
    <w:name w:val="Style H3 + Centered"/>
    <w:basedOn w:val="H3"/>
    <w:pPr>
      <w:spacing w:before="240" w:after="120"/>
      <w:jc w:val="center"/>
    </w:pPr>
    <w:rPr>
      <w:bCs/>
      <w:sz w:val="24"/>
      <w:szCs w:val="24"/>
    </w:rPr>
  </w:style>
  <w:style w:type="paragraph" w:customStyle="1" w:styleId="StyleHeading38ptNotBoldCenteredLeft0Firstline">
    <w:name w:val="Style Heading 3 + 8 pt Not Bold Centered Left:  0&quot; First line: ..."/>
    <w:basedOn w:val="Heading3"/>
    <w:pPr>
      <w:spacing w:before="60"/>
      <w:jc w:val="center"/>
    </w:pPr>
    <w:rPr>
      <w:b w:val="0"/>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8910AA"/>
    <w:rPr>
      <w:rFonts w:ascii="Arial" w:hAnsi="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widowControl w:val="0"/>
      <w:spacing w:after="160" w:line="240" w:lineRule="exact"/>
    </w:pPr>
    <w:rPr>
      <w:rFonts w:ascii="Tahoma" w:hAnsi="Tahoma"/>
      <w:szCs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rsid w:val="008910AA"/>
    <w:rPr>
      <w:rFonts w:ascii="Arial" w:hAnsi="Arial"/>
      <w:b/>
      <w:bCs/>
      <w:sz w:val="20"/>
      <w:szCs w:val="20"/>
    </w:rPr>
  </w:style>
  <w:style w:type="character" w:styleId="Emphasis">
    <w:name w:val="Emphasis"/>
    <w:uiPriority w:val="20"/>
    <w:qFormat/>
    <w:rPr>
      <w:rFonts w:cs="Times New Roman"/>
      <w:i/>
    </w:rPr>
  </w:style>
  <w:style w:type="character" w:customStyle="1" w:styleId="lpg35333">
    <w:name w:val="lpg35333"/>
    <w:semiHidden/>
    <w:rPr>
      <w:rFonts w:ascii="Arial" w:hAnsi="Arial"/>
      <w:color w:val="auto"/>
      <w:sz w:val="20"/>
    </w:rPr>
  </w:style>
  <w:style w:type="character" w:customStyle="1" w:styleId="msoins0">
    <w:name w:val="msoins"/>
    <w:rPr>
      <w:rFonts w:cs="Times New Roman"/>
    </w:rPr>
  </w:style>
  <w:style w:type="character" w:customStyle="1" w:styleId="footnotesearch2">
    <w:name w:val="footnotesearch2"/>
    <w:uiPriority w:val="99"/>
    <w:rPr>
      <w:sz w:val="22"/>
    </w:rPr>
  </w:style>
  <w:style w:type="character" w:styleId="HTMLCite">
    <w:name w:val="HTML Cite"/>
    <w:uiPriority w:val="99"/>
    <w:rPr>
      <w:rFonts w:cs="Times New Roman"/>
      <w:color w:val="0E774A"/>
    </w:rPr>
  </w:style>
  <w:style w:type="character" w:customStyle="1" w:styleId="awc-59785">
    <w:name w:val="awc-59785"/>
    <w:rPr>
      <w:rFonts w:cs="Times New Roman"/>
    </w:rPr>
  </w:style>
  <w:style w:type="numbering" w:styleId="111111">
    <w:name w:val="Outline List 2"/>
    <w:basedOn w:val="NoList"/>
    <w:unhideWhenUsed/>
    <w:rsid w:val="008910AA"/>
    <w:pPr>
      <w:numPr>
        <w:numId w:val="12"/>
      </w:numPr>
    </w:pPr>
  </w:style>
  <w:style w:type="character" w:customStyle="1" w:styleId="apple-converted-space">
    <w:name w:val="apple-converted-space"/>
    <w:basedOn w:val="DefaultParagraphFont"/>
    <w:rsid w:val="005139C0"/>
  </w:style>
  <w:style w:type="paragraph" w:styleId="ListParagraph">
    <w:name w:val="List Paragraph"/>
    <w:basedOn w:val="Normal"/>
    <w:uiPriority w:val="34"/>
    <w:qFormat/>
    <w:rsid w:val="00A26F28"/>
    <w:pPr>
      <w:ind w:left="720"/>
      <w:contextualSpacing/>
    </w:pPr>
  </w:style>
  <w:style w:type="paragraph" w:styleId="Revision">
    <w:name w:val="Revision"/>
    <w:hidden/>
    <w:uiPriority w:val="99"/>
    <w:semiHidden/>
    <w:rsid w:val="00137D1B"/>
    <w:rPr>
      <w:rFonts w:ascii="Arial" w:hAnsi="Arial"/>
    </w:rPr>
  </w:style>
  <w:style w:type="paragraph" w:styleId="NoSpacing">
    <w:name w:val="No Spacing"/>
    <w:link w:val="NoSpacingChar"/>
    <w:uiPriority w:val="1"/>
    <w:qFormat/>
    <w:rsid w:val="00D1257B"/>
    <w:rPr>
      <w:rFonts w:ascii="Century" w:eastAsia="MS Mincho" w:hAnsi="Century"/>
      <w:sz w:val="22"/>
      <w:szCs w:val="22"/>
    </w:rPr>
  </w:style>
  <w:style w:type="character" w:customStyle="1" w:styleId="NoSpacingChar">
    <w:name w:val="No Spacing Char"/>
    <w:basedOn w:val="DefaultParagraphFont"/>
    <w:link w:val="NoSpacing"/>
    <w:uiPriority w:val="1"/>
    <w:rsid w:val="00D1257B"/>
    <w:rPr>
      <w:rFonts w:ascii="Century" w:eastAsia="MS Mincho" w:hAnsi="Century"/>
      <w:sz w:val="22"/>
      <w:szCs w:val="22"/>
    </w:rPr>
  </w:style>
  <w:style w:type="paragraph" w:customStyle="1" w:styleId="SectionHeader">
    <w:name w:val="Section Header"/>
    <w:basedOn w:val="Heading1"/>
    <w:link w:val="SectionHeaderChar"/>
    <w:qFormat/>
    <w:rsid w:val="00B441E9"/>
    <w:pPr>
      <w:jc w:val="center"/>
    </w:pPr>
    <w:rPr>
      <w:snapToGrid w:val="0"/>
      <w:sz w:val="40"/>
      <w:szCs w:val="40"/>
    </w:rPr>
  </w:style>
  <w:style w:type="paragraph" w:styleId="TOC2">
    <w:name w:val="toc 2"/>
    <w:basedOn w:val="Normal"/>
    <w:next w:val="Normal"/>
    <w:autoRedefine/>
    <w:uiPriority w:val="39"/>
    <w:unhideWhenUsed/>
    <w:rsid w:val="00B441E9"/>
    <w:pPr>
      <w:spacing w:after="100"/>
      <w:ind w:left="200"/>
    </w:pPr>
  </w:style>
  <w:style w:type="character" w:customStyle="1" w:styleId="SectionHeaderChar">
    <w:name w:val="Section Header Char"/>
    <w:basedOn w:val="Heading1Char"/>
    <w:link w:val="SectionHeader"/>
    <w:rsid w:val="00B441E9"/>
    <w:rPr>
      <w:rFonts w:ascii="Arial" w:hAnsi="Arial"/>
      <w:b/>
      <w:snapToGrid w:val="0"/>
      <w:sz w:val="40"/>
      <w:szCs w:val="40"/>
      <w:lang w:eastAsia="ja-JP"/>
    </w:rPr>
  </w:style>
  <w:style w:type="paragraph" w:styleId="TOC1">
    <w:name w:val="toc 1"/>
    <w:basedOn w:val="Normal"/>
    <w:next w:val="Normal"/>
    <w:autoRedefine/>
    <w:uiPriority w:val="39"/>
    <w:unhideWhenUsed/>
    <w:rsid w:val="007A44CB"/>
    <w:pPr>
      <w:tabs>
        <w:tab w:val="right" w:leader="dot" w:pos="9350"/>
      </w:tabs>
      <w:spacing w:after="100"/>
    </w:pPr>
  </w:style>
  <w:style w:type="paragraph" w:styleId="TOC4">
    <w:name w:val="toc 4"/>
    <w:basedOn w:val="Normal"/>
    <w:next w:val="Normal"/>
    <w:autoRedefine/>
    <w:uiPriority w:val="39"/>
    <w:unhideWhenUsed/>
    <w:rsid w:val="00B441E9"/>
    <w:pPr>
      <w:spacing w:after="100"/>
      <w:ind w:left="600"/>
    </w:pPr>
  </w:style>
  <w:style w:type="paragraph" w:styleId="TOC3">
    <w:name w:val="toc 3"/>
    <w:basedOn w:val="Normal"/>
    <w:next w:val="Normal"/>
    <w:autoRedefine/>
    <w:uiPriority w:val="39"/>
    <w:unhideWhenUsed/>
    <w:rsid w:val="00B441E9"/>
    <w:pPr>
      <w:spacing w:after="100"/>
      <w:ind w:left="400"/>
    </w:pPr>
  </w:style>
  <w:style w:type="paragraph" w:styleId="Subtitle">
    <w:name w:val="Subtitle"/>
    <w:basedOn w:val="Normal"/>
    <w:next w:val="Normal"/>
    <w:link w:val="SubtitleChar"/>
    <w:qFormat/>
    <w:locked/>
    <w:rsid w:val="00625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25D0F"/>
    <w:rPr>
      <w:rFonts w:asciiTheme="majorHAnsi" w:eastAsiaTheme="majorEastAsia" w:hAnsiTheme="majorHAnsi" w:cstheme="majorBidi"/>
      <w:i/>
      <w:iCs/>
      <w:color w:val="4F81BD" w:themeColor="accent1"/>
      <w:spacing w:val="15"/>
      <w:sz w:val="24"/>
      <w:szCs w:val="24"/>
    </w:rPr>
  </w:style>
  <w:style w:type="paragraph" w:customStyle="1" w:styleId="Answer">
    <w:name w:val="Answer"/>
    <w:basedOn w:val="Normal"/>
    <w:rsid w:val="00C35C80"/>
    <w:pPr>
      <w:keepNext/>
      <w:keepLines/>
      <w:numPr>
        <w:ilvl w:val="1"/>
        <w:numId w:val="29"/>
      </w:numPr>
      <w:spacing w:line="480" w:lineRule="auto"/>
    </w:pPr>
    <w:rPr>
      <w:rFonts w:eastAsia="MS Mincho"/>
      <w:sz w:val="24"/>
    </w:rPr>
  </w:style>
  <w:style w:type="paragraph" w:customStyle="1" w:styleId="Default">
    <w:name w:val="Default"/>
    <w:rsid w:val="005A41AD"/>
    <w:pPr>
      <w:autoSpaceDE w:val="0"/>
      <w:autoSpaceDN w:val="0"/>
      <w:adjustRightInd w:val="0"/>
    </w:pPr>
    <w:rPr>
      <w:rFonts w:eastAsia="MS Mincho"/>
      <w:color w:val="000000"/>
      <w:sz w:val="24"/>
      <w:szCs w:val="24"/>
      <w:lang w:eastAsia="ja-JP"/>
    </w:rPr>
  </w:style>
  <w:style w:type="paragraph" w:styleId="TOC5">
    <w:name w:val="toc 5"/>
    <w:basedOn w:val="Normal"/>
    <w:next w:val="Normal"/>
    <w:autoRedefine/>
    <w:uiPriority w:val="39"/>
    <w:unhideWhenUsed/>
    <w:rsid w:val="007E14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14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14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14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1482"/>
    <w:pPr>
      <w:spacing w:after="100" w:line="276" w:lineRule="auto"/>
      <w:ind w:left="1760"/>
    </w:pPr>
    <w:rPr>
      <w:rFonts w:asciiTheme="minorHAnsi" w:eastAsiaTheme="minorEastAsia" w:hAnsiTheme="minorHAnsi" w:cstheme="minorBidi"/>
      <w:sz w:val="22"/>
      <w:szCs w:val="22"/>
    </w:rPr>
  </w:style>
  <w:style w:type="character" w:customStyle="1" w:styleId="EmailStyle54">
    <w:name w:val="EmailStyle54"/>
    <w:basedOn w:val="DefaultParagraphFont"/>
    <w:semiHidden/>
    <w:rsid w:val="00561293"/>
    <w:rPr>
      <w:rFonts w:ascii="Arial" w:hAnsi="Arial" w:cs="Arial"/>
      <w:color w:val="auto"/>
      <w:sz w:val="20"/>
      <w:szCs w:val="20"/>
    </w:rPr>
  </w:style>
  <w:style w:type="paragraph" w:styleId="TOCHeading">
    <w:name w:val="TOC Heading"/>
    <w:basedOn w:val="Heading1"/>
    <w:next w:val="Normal"/>
    <w:uiPriority w:val="39"/>
    <w:qFormat/>
    <w:rsid w:val="00561293"/>
    <w:pPr>
      <w:keepLines/>
      <w:spacing w:before="480" w:line="276" w:lineRule="auto"/>
      <w:outlineLvl w:val="9"/>
    </w:pPr>
    <w:rPr>
      <w:rFonts w:eastAsia="MS Gothic"/>
      <w:bCs/>
      <w:color w:val="365F91"/>
      <w:sz w:val="28"/>
      <w:szCs w:val="28"/>
      <w:lang w:eastAsia="en-US"/>
    </w:rPr>
  </w:style>
  <w:style w:type="table" w:styleId="TableColumns3">
    <w:name w:val="Table Columns 3"/>
    <w:basedOn w:val="TableNormal"/>
    <w:rsid w:val="00561293"/>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561293"/>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
    <w:name w:val="Char Char Char Char1"/>
    <w:basedOn w:val="Normal"/>
    <w:semiHidden/>
    <w:rsid w:val="00561293"/>
    <w:pPr>
      <w:widowControl w:val="0"/>
      <w:spacing w:after="160" w:line="240" w:lineRule="exact"/>
    </w:pPr>
    <w:rPr>
      <w:rFonts w:ascii="Tahoma" w:eastAsia="MS Mincho" w:hAnsi="Tahoma"/>
      <w:szCs w:val="24"/>
    </w:rPr>
  </w:style>
  <w:style w:type="paragraph" w:customStyle="1" w:styleId="BlackBodyText">
    <w:name w:val="Black Body Text"/>
    <w:basedOn w:val="Footer"/>
    <w:rsid w:val="00561293"/>
    <w:pPr>
      <w:tabs>
        <w:tab w:val="clear" w:pos="4320"/>
        <w:tab w:val="right" w:pos="5040"/>
      </w:tabs>
      <w:spacing w:after="240"/>
    </w:pPr>
    <w:rPr>
      <w:rFonts w:eastAsia="MS Mincho" w:cs="Arial"/>
    </w:rPr>
  </w:style>
  <w:style w:type="paragraph" w:styleId="Date">
    <w:name w:val="Date"/>
    <w:basedOn w:val="Normal"/>
    <w:next w:val="Normal"/>
    <w:link w:val="DateChar"/>
    <w:rsid w:val="00561293"/>
    <w:rPr>
      <w:rFonts w:eastAsia="MS Mincho"/>
    </w:rPr>
  </w:style>
  <w:style w:type="character" w:customStyle="1" w:styleId="DateChar">
    <w:name w:val="Date Char"/>
    <w:basedOn w:val="DefaultParagraphFont"/>
    <w:link w:val="Date"/>
    <w:rsid w:val="00561293"/>
    <w:rPr>
      <w:rFonts w:ascii="Arial" w:eastAsia="MS Mincho" w:hAnsi="Arial"/>
    </w:rPr>
  </w:style>
  <w:style w:type="character" w:styleId="PlaceholderText">
    <w:name w:val="Placeholder Text"/>
    <w:basedOn w:val="DefaultParagraphFont"/>
    <w:uiPriority w:val="99"/>
    <w:semiHidden/>
    <w:rsid w:val="00561293"/>
    <w:rPr>
      <w:color w:val="808080"/>
    </w:rPr>
  </w:style>
  <w:style w:type="character" w:customStyle="1" w:styleId="Heading2Char1">
    <w:name w:val="Heading 2 Char1"/>
    <w:basedOn w:val="DefaultParagraphFont"/>
    <w:link w:val="Heading2"/>
    <w:rsid w:val="00954B73"/>
    <w:rPr>
      <w:rFonts w:ascii="Arial" w:hAnsi="Arial"/>
      <w:b/>
      <w:sz w:val="28"/>
      <w:u w:val="single"/>
      <w:lang w:eastAsia="ja-JP"/>
    </w:rPr>
  </w:style>
  <w:style w:type="paragraph" w:customStyle="1" w:styleId="FactSheetText">
    <w:name w:val="Fact Sheet Text"/>
    <w:basedOn w:val="Normal"/>
    <w:link w:val="FactSheetTextChar"/>
    <w:qFormat/>
    <w:rsid w:val="0085320B"/>
    <w:pPr>
      <w:widowControl w:val="0"/>
    </w:pPr>
    <w:rPr>
      <w:rFonts w:asciiTheme="minorHAnsi" w:eastAsiaTheme="minorHAnsi" w:hAnsiTheme="minorHAnsi" w:cstheme="minorBidi"/>
      <w:sz w:val="22"/>
      <w:szCs w:val="22"/>
    </w:rPr>
  </w:style>
  <w:style w:type="character" w:customStyle="1" w:styleId="FactSheetTextChar">
    <w:name w:val="Fact Sheet Text Char"/>
    <w:basedOn w:val="DefaultParagraphFont"/>
    <w:link w:val="FactSheetText"/>
    <w:rsid w:val="0085320B"/>
    <w:rPr>
      <w:rFonts w:asciiTheme="minorHAnsi" w:eastAsiaTheme="minorHAnsi" w:hAnsiTheme="minorHAnsi" w:cstheme="minorBidi"/>
      <w:sz w:val="22"/>
      <w:szCs w:val="22"/>
    </w:rPr>
  </w:style>
  <w:style w:type="character" w:customStyle="1" w:styleId="highlight">
    <w:name w:val="highlight"/>
    <w:basedOn w:val="DefaultParagraphFont"/>
    <w:rsid w:val="004D4809"/>
  </w:style>
  <w:style w:type="paragraph" w:customStyle="1" w:styleId="FactSheetHeader">
    <w:name w:val="Fact Sheet Header"/>
    <w:basedOn w:val="Normal"/>
    <w:link w:val="FactSheetHeaderChar"/>
    <w:rsid w:val="00864CF5"/>
    <w:pPr>
      <w:widowControl w:val="0"/>
      <w:spacing w:before="200" w:after="200" w:line="276" w:lineRule="auto"/>
    </w:pPr>
    <w:rPr>
      <w:rFonts w:asciiTheme="minorHAnsi" w:eastAsiaTheme="minorEastAsia" w:hAnsiTheme="minorHAnsi" w:cstheme="minorBidi"/>
      <w:color w:val="007373"/>
      <w:sz w:val="36"/>
      <w:szCs w:val="36"/>
    </w:rPr>
  </w:style>
  <w:style w:type="character" w:customStyle="1" w:styleId="FactSheetHeaderChar">
    <w:name w:val="Fact Sheet Header Char"/>
    <w:basedOn w:val="DefaultParagraphFont"/>
    <w:link w:val="FactSheetHeader"/>
    <w:rsid w:val="00864CF5"/>
    <w:rPr>
      <w:rFonts w:asciiTheme="minorHAnsi" w:eastAsiaTheme="minorEastAsia" w:hAnsiTheme="minorHAnsi" w:cstheme="minorBidi"/>
      <w:color w:val="007373"/>
      <w:sz w:val="36"/>
      <w:szCs w:val="36"/>
    </w:rPr>
  </w:style>
  <w:style w:type="character" w:customStyle="1" w:styleId="Style12ptBoldDarkBlue">
    <w:name w:val="Style 12 pt Bold Dark Blue"/>
    <w:basedOn w:val="DefaultParagraphFont"/>
    <w:rsid w:val="003A5943"/>
    <w:rPr>
      <w:b/>
      <w:bCs/>
      <w:color w:val="4F6228" w:themeColor="accent3" w:themeShade="80"/>
      <w:sz w:val="24"/>
    </w:rPr>
  </w:style>
  <w:style w:type="paragraph" w:customStyle="1" w:styleId="Style1">
    <w:name w:val="Style1"/>
    <w:basedOn w:val="Normal"/>
    <w:link w:val="Style1Char"/>
    <w:qFormat/>
    <w:rsid w:val="006A3FDE"/>
    <w:rPr>
      <w:b/>
      <w:color w:val="000000"/>
    </w:rPr>
  </w:style>
  <w:style w:type="paragraph" w:customStyle="1" w:styleId="Heading44">
    <w:name w:val="Heading 44"/>
    <w:basedOn w:val="Style1"/>
    <w:link w:val="Heading44Char"/>
    <w:qFormat/>
    <w:rsid w:val="005B7CB8"/>
    <w:rPr>
      <w:sz w:val="22"/>
    </w:rPr>
  </w:style>
  <w:style w:type="character" w:customStyle="1" w:styleId="Style1Char">
    <w:name w:val="Style1 Char"/>
    <w:basedOn w:val="DefaultParagraphFont"/>
    <w:link w:val="Style1"/>
    <w:rsid w:val="006A3FDE"/>
    <w:rPr>
      <w:rFonts w:ascii="Arial" w:hAnsi="Arial"/>
      <w:b/>
      <w:color w:val="000000"/>
    </w:rPr>
  </w:style>
  <w:style w:type="character" w:customStyle="1" w:styleId="Heading44Char">
    <w:name w:val="Heading 44 Char"/>
    <w:basedOn w:val="Style1Char"/>
    <w:link w:val="Heading44"/>
    <w:rsid w:val="005B7CB8"/>
    <w:rPr>
      <w:rFonts w:ascii="Arial" w:hAnsi="Arial"/>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locked="1" w:semiHidden="0" w:uiPriority="0" w:unhideWhenUsed="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Outline List 2" w:uiPriority="0"/>
    <w:lsdException w:name="Table Columns 3"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69"/>
    <w:rPr>
      <w:rFonts w:ascii="Arial" w:hAnsi="Arial"/>
    </w:rPr>
  </w:style>
  <w:style w:type="paragraph" w:styleId="Heading1">
    <w:name w:val="heading 1"/>
    <w:basedOn w:val="Normal"/>
    <w:next w:val="Normal"/>
    <w:link w:val="Heading1Char"/>
    <w:autoRedefine/>
    <w:qFormat/>
    <w:rsid w:val="00FE54C0"/>
    <w:pPr>
      <w:keepNext/>
      <w:outlineLvl w:val="0"/>
    </w:pPr>
    <w:rPr>
      <w:b/>
      <w:lang w:eastAsia="ja-JP"/>
    </w:rPr>
  </w:style>
  <w:style w:type="paragraph" w:styleId="Heading2">
    <w:name w:val="heading 2"/>
    <w:basedOn w:val="Normal"/>
    <w:next w:val="Normal"/>
    <w:link w:val="Heading2Char1"/>
    <w:autoRedefine/>
    <w:qFormat/>
    <w:rsid w:val="00954B73"/>
    <w:pPr>
      <w:keepNext/>
      <w:outlineLvl w:val="1"/>
    </w:pPr>
    <w:rPr>
      <w:b/>
      <w:sz w:val="28"/>
      <w:u w:val="single"/>
      <w:lang w:eastAsia="ja-JP"/>
    </w:rPr>
  </w:style>
  <w:style w:type="paragraph" w:styleId="Heading3">
    <w:name w:val="heading 3"/>
    <w:basedOn w:val="Normal"/>
    <w:next w:val="Normal"/>
    <w:link w:val="Heading3Char"/>
    <w:autoRedefine/>
    <w:qFormat/>
    <w:rsid w:val="007A44CB"/>
    <w:pPr>
      <w:keepNext/>
      <w:outlineLvl w:val="2"/>
    </w:pPr>
    <w:rPr>
      <w:b/>
      <w:i/>
      <w:sz w:val="24"/>
      <w:szCs w:val="24"/>
      <w:lang w:eastAsia="ja-JP"/>
    </w:rPr>
  </w:style>
  <w:style w:type="paragraph" w:styleId="Heading4">
    <w:name w:val="heading 4"/>
    <w:basedOn w:val="Normal"/>
    <w:next w:val="Normal"/>
    <w:link w:val="Heading4Char"/>
    <w:autoRedefine/>
    <w:rsid w:val="006A3FDE"/>
    <w:pPr>
      <w:keepNext/>
      <w:framePr w:wrap="notBeside" w:vAnchor="text" w:hAnchor="text" w:y="1"/>
      <w:tabs>
        <w:tab w:val="num" w:pos="1440"/>
      </w:tabs>
      <w:spacing w:after="120"/>
      <w:outlineLvl w:val="3"/>
    </w:pPr>
    <w:rPr>
      <w:rFonts w:cs="Arial"/>
      <w:b/>
      <w:shd w:val="clear" w:color="auto" w:fill="365F91" w:themeFill="accent1" w:themeFillShade="BF"/>
    </w:rPr>
  </w:style>
  <w:style w:type="paragraph" w:styleId="Heading5">
    <w:name w:val="heading 5"/>
    <w:basedOn w:val="Normal"/>
    <w:next w:val="Normal"/>
    <w:link w:val="Heading5Char"/>
    <w:autoRedefine/>
    <w:qFormat/>
    <w:rsid w:val="006B5931"/>
    <w:pPr>
      <w:keepNext/>
      <w:tabs>
        <w:tab w:val="num" w:pos="1800"/>
      </w:tabs>
      <w:ind w:left="1800" w:hanging="360"/>
      <w:outlineLvl w:val="4"/>
    </w:pPr>
    <w:rPr>
      <w:i/>
    </w:rPr>
  </w:style>
  <w:style w:type="paragraph" w:styleId="Heading6">
    <w:name w:val="heading 6"/>
    <w:basedOn w:val="Normal"/>
    <w:next w:val="Normal"/>
    <w:link w:val="Heading6Char"/>
    <w:qFormat/>
    <w:pPr>
      <w:keepNext/>
      <w:outlineLvl w:val="5"/>
    </w:pPr>
    <w:rPr>
      <w:b/>
      <w:color w:val="000000"/>
    </w:rPr>
  </w:style>
  <w:style w:type="paragraph" w:styleId="Heading7">
    <w:name w:val="heading 7"/>
    <w:basedOn w:val="Normal"/>
    <w:next w:val="Normal"/>
    <w:link w:val="Heading7Char"/>
    <w:qFormat/>
    <w:pPr>
      <w:keepNext/>
      <w:jc w:val="center"/>
      <w:outlineLvl w:val="6"/>
    </w:pPr>
    <w:rPr>
      <w:u w:val="single"/>
    </w:rPr>
  </w:style>
  <w:style w:type="paragraph" w:styleId="Heading8">
    <w:name w:val="heading 8"/>
    <w:basedOn w:val="Normal"/>
    <w:next w:val="Normal"/>
    <w:link w:val="Heading8Char"/>
    <w:qFormat/>
    <w:pPr>
      <w:keepNext/>
      <w:jc w:val="right"/>
      <w:outlineLvl w:val="7"/>
    </w:pPr>
    <w:rPr>
      <w:i/>
    </w:rPr>
  </w:style>
  <w:style w:type="paragraph" w:styleId="Heading9">
    <w:name w:val="heading 9"/>
    <w:basedOn w:val="Normal"/>
    <w:next w:val="Normal"/>
    <w:link w:val="Heading9Char"/>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E54C0"/>
    <w:rPr>
      <w:rFonts w:ascii="Arial" w:hAnsi="Arial"/>
      <w:b/>
      <w:lang w:eastAsia="ja-JP"/>
    </w:rPr>
  </w:style>
  <w:style w:type="character" w:customStyle="1" w:styleId="Heading2Char">
    <w:name w:val="Heading 2 Char"/>
    <w:rsid w:val="00570C36"/>
    <w:rPr>
      <w:rFonts w:ascii="Arial" w:hAnsi="Arial"/>
      <w:b/>
      <w:sz w:val="28"/>
      <w:u w:val="single"/>
      <w:lang w:eastAsia="ja-JP"/>
    </w:rPr>
  </w:style>
  <w:style w:type="character" w:customStyle="1" w:styleId="Heading3Char">
    <w:name w:val="Heading 3 Char"/>
    <w:link w:val="Heading3"/>
    <w:rsid w:val="007A44CB"/>
    <w:rPr>
      <w:rFonts w:ascii="Arial" w:hAnsi="Arial"/>
      <w:b/>
      <w:i/>
      <w:sz w:val="24"/>
      <w:szCs w:val="24"/>
      <w:lang w:eastAsia="ja-JP"/>
    </w:rPr>
  </w:style>
  <w:style w:type="character" w:customStyle="1" w:styleId="Heading4Char">
    <w:name w:val="Heading 4 Char"/>
    <w:link w:val="Heading4"/>
    <w:rsid w:val="006A3FDE"/>
    <w:rPr>
      <w:rFonts w:ascii="Arial" w:hAnsi="Arial" w:cs="Arial"/>
      <w:b/>
    </w:rPr>
  </w:style>
  <w:style w:type="character" w:customStyle="1" w:styleId="Heading5Char">
    <w:name w:val="Heading 5 Char"/>
    <w:link w:val="Heading5"/>
    <w:uiPriority w:val="99"/>
    <w:rsid w:val="006B5931"/>
    <w:rPr>
      <w:rFonts w:ascii="Arial" w:hAnsi="Arial"/>
      <w:i/>
    </w:rPr>
  </w:style>
  <w:style w:type="character" w:customStyle="1" w:styleId="Heading6Char">
    <w:name w:val="Heading 6 Char"/>
    <w:link w:val="Heading6"/>
    <w:uiPriority w:val="9"/>
    <w:semiHidden/>
    <w:rsid w:val="008910AA"/>
    <w:rPr>
      <w:rFonts w:ascii="Calibri" w:eastAsia="Times New Roman" w:hAnsi="Calibri" w:cs="Times New Roman"/>
      <w:b/>
      <w:bCs/>
    </w:rPr>
  </w:style>
  <w:style w:type="character" w:customStyle="1" w:styleId="Heading7Char">
    <w:name w:val="Heading 7 Char"/>
    <w:link w:val="Heading7"/>
    <w:uiPriority w:val="9"/>
    <w:semiHidden/>
    <w:rsid w:val="008910AA"/>
    <w:rPr>
      <w:rFonts w:ascii="Calibri" w:eastAsia="Times New Roman" w:hAnsi="Calibri" w:cs="Times New Roman"/>
      <w:sz w:val="24"/>
      <w:szCs w:val="24"/>
    </w:rPr>
  </w:style>
  <w:style w:type="character" w:customStyle="1" w:styleId="Heading8Char">
    <w:name w:val="Heading 8 Char"/>
    <w:link w:val="Heading8"/>
    <w:uiPriority w:val="9"/>
    <w:semiHidden/>
    <w:rsid w:val="008910AA"/>
    <w:rPr>
      <w:rFonts w:ascii="Calibri" w:eastAsia="Times New Roman" w:hAnsi="Calibri" w:cs="Times New Roman"/>
      <w:i/>
      <w:iCs/>
      <w:sz w:val="24"/>
      <w:szCs w:val="24"/>
    </w:rPr>
  </w:style>
  <w:style w:type="character" w:customStyle="1" w:styleId="Heading9Char">
    <w:name w:val="Heading 9 Char"/>
    <w:link w:val="Heading9"/>
    <w:uiPriority w:val="9"/>
    <w:semiHidden/>
    <w:rsid w:val="008910AA"/>
    <w:rPr>
      <w:rFonts w:ascii="Cambria" w:eastAsia="Times New Roman" w:hAnsi="Cambria" w:cs="Times New Roman"/>
    </w:rPr>
  </w:style>
  <w:style w:type="paragraph" w:customStyle="1" w:styleId="Reply">
    <w:name w:val="Reply"/>
    <w:basedOn w:val="Normal"/>
    <w:rPr>
      <w:rFonts w:ascii="Courier New" w:hAnsi="Courier New"/>
      <w:color w:val="FF0000"/>
    </w:rPr>
  </w:style>
  <w:style w:type="paragraph" w:customStyle="1" w:styleId="Comment">
    <w:name w:val="Comment"/>
    <w:basedOn w:val="Normal"/>
    <w:next w:val="PlainText"/>
    <w:pPr>
      <w:widowControl w:val="0"/>
      <w:tabs>
        <w:tab w:val="left" w:pos="1800"/>
      </w:tabs>
      <w:ind w:left="1800" w:hanging="1800"/>
    </w:pPr>
    <w:rPr>
      <w:color w:val="0000FF"/>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sid w:val="008910AA"/>
    <w:rPr>
      <w:rFonts w:ascii="Courier New" w:hAnsi="Courier New" w:cs="Courier New"/>
      <w:sz w:val="20"/>
      <w:szCs w:val="20"/>
    </w:rPr>
  </w:style>
  <w:style w:type="paragraph" w:customStyle="1" w:styleId="color">
    <w:name w:val="color"/>
    <w:basedOn w:val="NormalIndent"/>
    <w:pPr>
      <w:ind w:left="0"/>
    </w:pPr>
    <w:rPr>
      <w:color w:val="FF00FF"/>
    </w:rPr>
  </w:style>
  <w:style w:type="paragraph" w:styleId="NormalIndent">
    <w:name w:val="Normal Indent"/>
    <w:basedOn w:val="Normal"/>
    <w:pPr>
      <w:ind w:left="720"/>
    </w:pPr>
  </w:style>
  <w:style w:type="paragraph" w:customStyle="1" w:styleId="Color0">
    <w:name w:val="Color"/>
    <w:basedOn w:val="Normal"/>
    <w:rPr>
      <w:color w:val="FF00FF"/>
    </w:rPr>
  </w:style>
  <w:style w:type="paragraph" w:styleId="Title">
    <w:name w:val="Title"/>
    <w:basedOn w:val="Normal"/>
    <w:link w:val="TitleChar"/>
    <w:autoRedefine/>
    <w:qFormat/>
    <w:rsid w:val="002C3E94"/>
    <w:pPr>
      <w:pBdr>
        <w:top w:val="single" w:sz="4" w:space="1" w:color="auto"/>
        <w:left w:val="single" w:sz="4" w:space="4" w:color="auto"/>
        <w:bottom w:val="single" w:sz="4" w:space="1" w:color="auto"/>
        <w:right w:val="single" w:sz="4" w:space="4" w:color="auto"/>
      </w:pBdr>
      <w:jc w:val="center"/>
    </w:pPr>
    <w:rPr>
      <w:b/>
      <w:sz w:val="24"/>
    </w:rPr>
  </w:style>
  <w:style w:type="character" w:customStyle="1" w:styleId="TitleChar">
    <w:name w:val="Title Char"/>
    <w:link w:val="Title"/>
    <w:rsid w:val="002C3E94"/>
    <w:rPr>
      <w:rFonts w:ascii="Arial" w:hAnsi="Arial"/>
      <w:b/>
      <w:sz w:val="24"/>
    </w:rPr>
  </w:style>
  <w:style w:type="character" w:styleId="Hyperlink">
    <w:name w:val="Hyperlink"/>
    <w:uiPriority w:val="99"/>
    <w:rPr>
      <w:rFonts w:cs="Times New Roman"/>
      <w:color w:val="0000FF"/>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910AA"/>
    <w:rPr>
      <w:rFonts w:ascii="Arial" w:hAnsi="Arial"/>
      <w:sz w:val="20"/>
      <w:szCs w:val="20"/>
    </w:rPr>
  </w:style>
  <w:style w:type="paragraph" w:styleId="BodyText">
    <w:name w:val="Body Text"/>
    <w:basedOn w:val="Normal"/>
    <w:link w:val="BodyTextChar"/>
    <w:uiPriority w:val="99"/>
    <w:rPr>
      <w:i/>
    </w:rPr>
  </w:style>
  <w:style w:type="character" w:customStyle="1" w:styleId="BodyTextChar">
    <w:name w:val="Body Text Char"/>
    <w:link w:val="BodyText"/>
    <w:uiPriority w:val="99"/>
    <w:semiHidden/>
    <w:rsid w:val="008910AA"/>
    <w:rPr>
      <w:rFonts w:ascii="Arial" w:hAnsi="Arial"/>
      <w:sz w:val="20"/>
      <w:szCs w:val="20"/>
    </w:rPr>
  </w:style>
  <w:style w:type="paragraph" w:styleId="BodyText2">
    <w:name w:val="Body Text 2"/>
    <w:basedOn w:val="Normal"/>
    <w:link w:val="BodyText2Char"/>
    <w:rPr>
      <w:i/>
      <w:color w:val="000000"/>
    </w:rPr>
  </w:style>
  <w:style w:type="character" w:customStyle="1" w:styleId="BodyText2Char">
    <w:name w:val="Body Text 2 Char"/>
    <w:link w:val="BodyText2"/>
    <w:uiPriority w:val="99"/>
    <w:semiHidden/>
    <w:rsid w:val="008910AA"/>
    <w:rPr>
      <w:rFonts w:ascii="Arial" w:hAnsi="Arial"/>
      <w:sz w:val="20"/>
      <w:szCs w:val="20"/>
    </w:rPr>
  </w:style>
  <w:style w:type="paragraph" w:styleId="BodyText3">
    <w:name w:val="Body Text 3"/>
    <w:basedOn w:val="Normal"/>
    <w:link w:val="BodyText3Char"/>
    <w:rPr>
      <w:color w:val="000000"/>
    </w:rPr>
  </w:style>
  <w:style w:type="character" w:customStyle="1" w:styleId="BodyText3Char">
    <w:name w:val="Body Text 3 Char"/>
    <w:link w:val="BodyText3"/>
    <w:rsid w:val="008910AA"/>
    <w:rPr>
      <w:rFonts w:ascii="Arial" w:hAnsi="Arial"/>
      <w:sz w:val="16"/>
      <w:szCs w:val="16"/>
    </w:rPr>
  </w:style>
  <w:style w:type="character" w:styleId="PageNumber">
    <w:name w:val="page number"/>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910AA"/>
    <w:rPr>
      <w:rFonts w:ascii="Arial" w:hAnsi="Arial"/>
      <w:sz w:val="20"/>
      <w:szCs w:val="20"/>
    </w:rPr>
  </w:style>
  <w:style w:type="character" w:styleId="FollowedHyperlink">
    <w:name w:val="FollowedHyperlink"/>
    <w:rPr>
      <w:rFonts w:cs="Times New Roman"/>
      <w:color w:val="800080"/>
      <w:u w:val="single"/>
    </w:rPr>
  </w:style>
  <w:style w:type="paragraph" w:styleId="BodyTextIndent">
    <w:name w:val="Body Text Indent"/>
    <w:basedOn w:val="Normal"/>
    <w:link w:val="BodyTextIndentChar"/>
    <w:pPr>
      <w:ind w:firstLine="720"/>
    </w:pPr>
  </w:style>
  <w:style w:type="character" w:customStyle="1" w:styleId="BodyTextIndentChar">
    <w:name w:val="Body Text Indent Char"/>
    <w:link w:val="BodyTextIndent"/>
    <w:uiPriority w:val="99"/>
    <w:semiHidden/>
    <w:rsid w:val="008910AA"/>
    <w:rPr>
      <w:rFonts w:ascii="Arial" w:hAnsi="Arial"/>
      <w:sz w:val="20"/>
      <w:szCs w:val="20"/>
    </w:rPr>
  </w:style>
  <w:style w:type="paragraph" w:customStyle="1" w:styleId="DefinitionList">
    <w:name w:val="Definition List"/>
    <w:basedOn w:val="Normal"/>
    <w:next w:val="Normal"/>
    <w:pPr>
      <w:ind w:left="360"/>
    </w:pPr>
  </w:style>
  <w:style w:type="paragraph" w:customStyle="1" w:styleId="H3">
    <w:name w:val="H3"/>
    <w:basedOn w:val="Normal"/>
    <w:next w:val="Normal"/>
    <w:pPr>
      <w:keepNext/>
      <w:spacing w:before="100" w:after="100"/>
      <w:outlineLvl w:val="3"/>
    </w:pPr>
    <w:rPr>
      <w:b/>
      <w:sz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rsid w:val="008910AA"/>
    <w:rPr>
      <w:sz w:val="0"/>
      <w:szCs w:val="0"/>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sid w:val="008910AA"/>
    <w:rPr>
      <w:rFonts w:ascii="Arial" w:hAnsi="Arial"/>
      <w:sz w:val="20"/>
      <w:szCs w:val="20"/>
    </w:rPr>
  </w:style>
  <w:style w:type="character" w:styleId="EndnoteReference">
    <w:name w:val="endnote reference"/>
    <w:semiHidden/>
    <w:rPr>
      <w:rFonts w:cs="Times New Roman"/>
      <w:vertAlign w:val="superscript"/>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rPr>
  </w:style>
  <w:style w:type="paragraph" w:styleId="BodyTextIndent2">
    <w:name w:val="Body Text Indent 2"/>
    <w:basedOn w:val="Normal"/>
    <w:link w:val="BodyTextIndent2Char"/>
    <w:pPr>
      <w:ind w:left="1440"/>
    </w:pPr>
    <w:rPr>
      <w:color w:val="000000"/>
    </w:rPr>
  </w:style>
  <w:style w:type="character" w:customStyle="1" w:styleId="BodyTextIndent2Char">
    <w:name w:val="Body Text Indent 2 Char"/>
    <w:link w:val="BodyTextIndent2"/>
    <w:uiPriority w:val="99"/>
    <w:semiHidden/>
    <w:rsid w:val="008910AA"/>
    <w:rPr>
      <w:rFonts w:ascii="Arial" w:hAnsi="Arial"/>
      <w:sz w:val="20"/>
      <w:szCs w:val="20"/>
    </w:rPr>
  </w:style>
  <w:style w:type="paragraph" w:styleId="FootnoteText">
    <w:name w:val="footnote text"/>
    <w:basedOn w:val="Normal"/>
    <w:link w:val="FootnoteTextChar"/>
    <w:semiHidden/>
  </w:style>
  <w:style w:type="character" w:customStyle="1" w:styleId="FootnoteTextChar">
    <w:name w:val="Footnote Text Char"/>
    <w:link w:val="FootnoteText"/>
    <w:uiPriority w:val="99"/>
    <w:semiHidden/>
    <w:rsid w:val="008910AA"/>
    <w:rPr>
      <w:rFonts w:ascii="Arial" w:hAnsi="Arial"/>
      <w:sz w:val="20"/>
      <w:szCs w:val="20"/>
    </w:rPr>
  </w:style>
  <w:style w:type="character" w:styleId="FootnoteReference">
    <w:name w:val="footnote reference"/>
    <w:semiHidden/>
    <w:rPr>
      <w:rFonts w:cs="Times New Roman"/>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Strong">
    <w:name w:val="Strong"/>
    <w:uiPriority w:val="22"/>
    <w:qFormat/>
    <w:rPr>
      <w:rFonts w:cs="Times New Roman"/>
      <w:b/>
    </w:rPr>
  </w:style>
  <w:style w:type="paragraph" w:styleId="BodyTextFirstIndent">
    <w:name w:val="Body Text First Indent"/>
    <w:basedOn w:val="Normal"/>
    <w:link w:val="BodyTextFirstIndentChar"/>
    <w:pPr>
      <w:ind w:left="360" w:hanging="360"/>
    </w:pPr>
    <w:rPr>
      <w:rFonts w:cs="Arial"/>
    </w:rPr>
  </w:style>
  <w:style w:type="character" w:customStyle="1" w:styleId="BodyTextFirstIndentChar">
    <w:name w:val="Body Text First Indent Char"/>
    <w:link w:val="BodyTextFirstIndent"/>
    <w:uiPriority w:val="99"/>
    <w:semiHidden/>
    <w:rsid w:val="008910AA"/>
    <w:rPr>
      <w:rFonts w:ascii="Arial" w:hAnsi="Arial"/>
      <w:sz w:val="20"/>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uiPriority w:val="99"/>
    <w:semiHidden/>
    <w:rsid w:val="008910AA"/>
    <w:rPr>
      <w:sz w:val="0"/>
      <w:szCs w:val="0"/>
    </w:rPr>
  </w:style>
  <w:style w:type="paragraph" w:customStyle="1" w:styleId="StyleHeading3Centered">
    <w:name w:val="Style Heading 3 + Centered"/>
    <w:basedOn w:val="Heading3"/>
    <w:pPr>
      <w:jc w:val="center"/>
    </w:pPr>
    <w:rPr>
      <w:bCs/>
    </w:rPr>
  </w:style>
  <w:style w:type="paragraph" w:customStyle="1" w:styleId="StyleH3Centered">
    <w:name w:val="Style H3 + Centered"/>
    <w:basedOn w:val="H3"/>
    <w:pPr>
      <w:spacing w:before="240" w:after="120"/>
      <w:jc w:val="center"/>
    </w:pPr>
    <w:rPr>
      <w:bCs/>
      <w:sz w:val="24"/>
      <w:szCs w:val="24"/>
    </w:rPr>
  </w:style>
  <w:style w:type="paragraph" w:customStyle="1" w:styleId="StyleHeading38ptNotBoldCenteredLeft0Firstline">
    <w:name w:val="Style Heading 3 + 8 pt Not Bold Centered Left:  0&quot; First line: ..."/>
    <w:basedOn w:val="Heading3"/>
    <w:pPr>
      <w:spacing w:before="60"/>
      <w:jc w:val="center"/>
    </w:pPr>
    <w:rPr>
      <w:b w:val="0"/>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8910AA"/>
    <w:rPr>
      <w:rFonts w:ascii="Arial" w:hAnsi="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widowControl w:val="0"/>
      <w:spacing w:after="160" w:line="240" w:lineRule="exact"/>
    </w:pPr>
    <w:rPr>
      <w:rFonts w:ascii="Tahoma" w:hAnsi="Tahoma"/>
      <w:szCs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rsid w:val="008910AA"/>
    <w:rPr>
      <w:rFonts w:ascii="Arial" w:hAnsi="Arial"/>
      <w:b/>
      <w:bCs/>
      <w:sz w:val="20"/>
      <w:szCs w:val="20"/>
    </w:rPr>
  </w:style>
  <w:style w:type="character" w:styleId="Emphasis">
    <w:name w:val="Emphasis"/>
    <w:uiPriority w:val="20"/>
    <w:qFormat/>
    <w:rPr>
      <w:rFonts w:cs="Times New Roman"/>
      <w:i/>
    </w:rPr>
  </w:style>
  <w:style w:type="character" w:customStyle="1" w:styleId="lpg35333">
    <w:name w:val="lpg35333"/>
    <w:semiHidden/>
    <w:rPr>
      <w:rFonts w:ascii="Arial" w:hAnsi="Arial"/>
      <w:color w:val="auto"/>
      <w:sz w:val="20"/>
    </w:rPr>
  </w:style>
  <w:style w:type="character" w:customStyle="1" w:styleId="msoins0">
    <w:name w:val="msoins"/>
    <w:rPr>
      <w:rFonts w:cs="Times New Roman"/>
    </w:rPr>
  </w:style>
  <w:style w:type="character" w:customStyle="1" w:styleId="footnotesearch2">
    <w:name w:val="footnotesearch2"/>
    <w:uiPriority w:val="99"/>
    <w:rPr>
      <w:sz w:val="22"/>
    </w:rPr>
  </w:style>
  <w:style w:type="character" w:styleId="HTMLCite">
    <w:name w:val="HTML Cite"/>
    <w:uiPriority w:val="99"/>
    <w:rPr>
      <w:rFonts w:cs="Times New Roman"/>
      <w:color w:val="0E774A"/>
    </w:rPr>
  </w:style>
  <w:style w:type="character" w:customStyle="1" w:styleId="awc-59785">
    <w:name w:val="awc-59785"/>
    <w:rPr>
      <w:rFonts w:cs="Times New Roman"/>
    </w:rPr>
  </w:style>
  <w:style w:type="numbering" w:styleId="111111">
    <w:name w:val="Outline List 2"/>
    <w:basedOn w:val="NoList"/>
    <w:unhideWhenUsed/>
    <w:rsid w:val="008910AA"/>
    <w:pPr>
      <w:numPr>
        <w:numId w:val="12"/>
      </w:numPr>
    </w:pPr>
  </w:style>
  <w:style w:type="character" w:customStyle="1" w:styleId="apple-converted-space">
    <w:name w:val="apple-converted-space"/>
    <w:basedOn w:val="DefaultParagraphFont"/>
    <w:rsid w:val="005139C0"/>
  </w:style>
  <w:style w:type="paragraph" w:styleId="ListParagraph">
    <w:name w:val="List Paragraph"/>
    <w:basedOn w:val="Normal"/>
    <w:uiPriority w:val="34"/>
    <w:qFormat/>
    <w:rsid w:val="00A26F28"/>
    <w:pPr>
      <w:ind w:left="720"/>
      <w:contextualSpacing/>
    </w:pPr>
  </w:style>
  <w:style w:type="paragraph" w:styleId="Revision">
    <w:name w:val="Revision"/>
    <w:hidden/>
    <w:uiPriority w:val="99"/>
    <w:semiHidden/>
    <w:rsid w:val="00137D1B"/>
    <w:rPr>
      <w:rFonts w:ascii="Arial" w:hAnsi="Arial"/>
    </w:rPr>
  </w:style>
  <w:style w:type="paragraph" w:styleId="NoSpacing">
    <w:name w:val="No Spacing"/>
    <w:link w:val="NoSpacingChar"/>
    <w:uiPriority w:val="1"/>
    <w:qFormat/>
    <w:rsid w:val="00D1257B"/>
    <w:rPr>
      <w:rFonts w:ascii="Century" w:eastAsia="MS Mincho" w:hAnsi="Century"/>
      <w:sz w:val="22"/>
      <w:szCs w:val="22"/>
    </w:rPr>
  </w:style>
  <w:style w:type="character" w:customStyle="1" w:styleId="NoSpacingChar">
    <w:name w:val="No Spacing Char"/>
    <w:basedOn w:val="DefaultParagraphFont"/>
    <w:link w:val="NoSpacing"/>
    <w:uiPriority w:val="1"/>
    <w:rsid w:val="00D1257B"/>
    <w:rPr>
      <w:rFonts w:ascii="Century" w:eastAsia="MS Mincho" w:hAnsi="Century"/>
      <w:sz w:val="22"/>
      <w:szCs w:val="22"/>
    </w:rPr>
  </w:style>
  <w:style w:type="paragraph" w:customStyle="1" w:styleId="SectionHeader">
    <w:name w:val="Section Header"/>
    <w:basedOn w:val="Heading1"/>
    <w:link w:val="SectionHeaderChar"/>
    <w:qFormat/>
    <w:rsid w:val="00B441E9"/>
    <w:pPr>
      <w:jc w:val="center"/>
    </w:pPr>
    <w:rPr>
      <w:snapToGrid w:val="0"/>
      <w:sz w:val="40"/>
      <w:szCs w:val="40"/>
    </w:rPr>
  </w:style>
  <w:style w:type="paragraph" w:styleId="TOC2">
    <w:name w:val="toc 2"/>
    <w:basedOn w:val="Normal"/>
    <w:next w:val="Normal"/>
    <w:autoRedefine/>
    <w:uiPriority w:val="39"/>
    <w:unhideWhenUsed/>
    <w:rsid w:val="00B441E9"/>
    <w:pPr>
      <w:spacing w:after="100"/>
      <w:ind w:left="200"/>
    </w:pPr>
  </w:style>
  <w:style w:type="character" w:customStyle="1" w:styleId="SectionHeaderChar">
    <w:name w:val="Section Header Char"/>
    <w:basedOn w:val="Heading1Char"/>
    <w:link w:val="SectionHeader"/>
    <w:rsid w:val="00B441E9"/>
    <w:rPr>
      <w:rFonts w:ascii="Arial" w:hAnsi="Arial"/>
      <w:b/>
      <w:snapToGrid w:val="0"/>
      <w:sz w:val="40"/>
      <w:szCs w:val="40"/>
      <w:lang w:eastAsia="ja-JP"/>
    </w:rPr>
  </w:style>
  <w:style w:type="paragraph" w:styleId="TOC1">
    <w:name w:val="toc 1"/>
    <w:basedOn w:val="Normal"/>
    <w:next w:val="Normal"/>
    <w:autoRedefine/>
    <w:uiPriority w:val="39"/>
    <w:unhideWhenUsed/>
    <w:rsid w:val="007A44CB"/>
    <w:pPr>
      <w:tabs>
        <w:tab w:val="right" w:leader="dot" w:pos="9350"/>
      </w:tabs>
      <w:spacing w:after="100"/>
    </w:pPr>
  </w:style>
  <w:style w:type="paragraph" w:styleId="TOC4">
    <w:name w:val="toc 4"/>
    <w:basedOn w:val="Normal"/>
    <w:next w:val="Normal"/>
    <w:autoRedefine/>
    <w:uiPriority w:val="39"/>
    <w:unhideWhenUsed/>
    <w:rsid w:val="00B441E9"/>
    <w:pPr>
      <w:spacing w:after="100"/>
      <w:ind w:left="600"/>
    </w:pPr>
  </w:style>
  <w:style w:type="paragraph" w:styleId="TOC3">
    <w:name w:val="toc 3"/>
    <w:basedOn w:val="Normal"/>
    <w:next w:val="Normal"/>
    <w:autoRedefine/>
    <w:uiPriority w:val="39"/>
    <w:unhideWhenUsed/>
    <w:rsid w:val="00B441E9"/>
    <w:pPr>
      <w:spacing w:after="100"/>
      <w:ind w:left="400"/>
    </w:pPr>
  </w:style>
  <w:style w:type="paragraph" w:styleId="Subtitle">
    <w:name w:val="Subtitle"/>
    <w:basedOn w:val="Normal"/>
    <w:next w:val="Normal"/>
    <w:link w:val="SubtitleChar"/>
    <w:qFormat/>
    <w:locked/>
    <w:rsid w:val="00625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25D0F"/>
    <w:rPr>
      <w:rFonts w:asciiTheme="majorHAnsi" w:eastAsiaTheme="majorEastAsia" w:hAnsiTheme="majorHAnsi" w:cstheme="majorBidi"/>
      <w:i/>
      <w:iCs/>
      <w:color w:val="4F81BD" w:themeColor="accent1"/>
      <w:spacing w:val="15"/>
      <w:sz w:val="24"/>
      <w:szCs w:val="24"/>
    </w:rPr>
  </w:style>
  <w:style w:type="paragraph" w:customStyle="1" w:styleId="Answer">
    <w:name w:val="Answer"/>
    <w:basedOn w:val="Normal"/>
    <w:rsid w:val="00C35C80"/>
    <w:pPr>
      <w:keepNext/>
      <w:keepLines/>
      <w:numPr>
        <w:ilvl w:val="1"/>
        <w:numId w:val="29"/>
      </w:numPr>
      <w:spacing w:line="480" w:lineRule="auto"/>
    </w:pPr>
    <w:rPr>
      <w:rFonts w:eastAsia="MS Mincho"/>
      <w:sz w:val="24"/>
    </w:rPr>
  </w:style>
  <w:style w:type="paragraph" w:customStyle="1" w:styleId="Default">
    <w:name w:val="Default"/>
    <w:rsid w:val="005A41AD"/>
    <w:pPr>
      <w:autoSpaceDE w:val="0"/>
      <w:autoSpaceDN w:val="0"/>
      <w:adjustRightInd w:val="0"/>
    </w:pPr>
    <w:rPr>
      <w:rFonts w:eastAsia="MS Mincho"/>
      <w:color w:val="000000"/>
      <w:sz w:val="24"/>
      <w:szCs w:val="24"/>
      <w:lang w:eastAsia="ja-JP"/>
    </w:rPr>
  </w:style>
  <w:style w:type="paragraph" w:styleId="TOC5">
    <w:name w:val="toc 5"/>
    <w:basedOn w:val="Normal"/>
    <w:next w:val="Normal"/>
    <w:autoRedefine/>
    <w:uiPriority w:val="39"/>
    <w:unhideWhenUsed/>
    <w:rsid w:val="007E14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14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14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14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1482"/>
    <w:pPr>
      <w:spacing w:after="100" w:line="276" w:lineRule="auto"/>
      <w:ind w:left="1760"/>
    </w:pPr>
    <w:rPr>
      <w:rFonts w:asciiTheme="minorHAnsi" w:eastAsiaTheme="minorEastAsia" w:hAnsiTheme="minorHAnsi" w:cstheme="minorBidi"/>
      <w:sz w:val="22"/>
      <w:szCs w:val="22"/>
    </w:rPr>
  </w:style>
  <w:style w:type="character" w:customStyle="1" w:styleId="EmailStyle54">
    <w:name w:val="EmailStyle54"/>
    <w:basedOn w:val="DefaultParagraphFont"/>
    <w:semiHidden/>
    <w:rsid w:val="00561293"/>
    <w:rPr>
      <w:rFonts w:ascii="Arial" w:hAnsi="Arial" w:cs="Arial"/>
      <w:color w:val="auto"/>
      <w:sz w:val="20"/>
      <w:szCs w:val="20"/>
    </w:rPr>
  </w:style>
  <w:style w:type="paragraph" w:styleId="TOCHeading">
    <w:name w:val="TOC Heading"/>
    <w:basedOn w:val="Heading1"/>
    <w:next w:val="Normal"/>
    <w:uiPriority w:val="39"/>
    <w:qFormat/>
    <w:rsid w:val="00561293"/>
    <w:pPr>
      <w:keepLines/>
      <w:spacing w:before="480" w:line="276" w:lineRule="auto"/>
      <w:outlineLvl w:val="9"/>
    </w:pPr>
    <w:rPr>
      <w:rFonts w:eastAsia="MS Gothic"/>
      <w:bCs/>
      <w:color w:val="365F91"/>
      <w:sz w:val="28"/>
      <w:szCs w:val="28"/>
      <w:lang w:eastAsia="en-US"/>
    </w:rPr>
  </w:style>
  <w:style w:type="table" w:styleId="TableColumns3">
    <w:name w:val="Table Columns 3"/>
    <w:basedOn w:val="TableNormal"/>
    <w:rsid w:val="00561293"/>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561293"/>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
    <w:name w:val="Char Char Char Char1"/>
    <w:basedOn w:val="Normal"/>
    <w:semiHidden/>
    <w:rsid w:val="00561293"/>
    <w:pPr>
      <w:widowControl w:val="0"/>
      <w:spacing w:after="160" w:line="240" w:lineRule="exact"/>
    </w:pPr>
    <w:rPr>
      <w:rFonts w:ascii="Tahoma" w:eastAsia="MS Mincho" w:hAnsi="Tahoma"/>
      <w:szCs w:val="24"/>
    </w:rPr>
  </w:style>
  <w:style w:type="paragraph" w:customStyle="1" w:styleId="BlackBodyText">
    <w:name w:val="Black Body Text"/>
    <w:basedOn w:val="Footer"/>
    <w:rsid w:val="00561293"/>
    <w:pPr>
      <w:tabs>
        <w:tab w:val="clear" w:pos="4320"/>
        <w:tab w:val="right" w:pos="5040"/>
      </w:tabs>
      <w:spacing w:after="240"/>
    </w:pPr>
    <w:rPr>
      <w:rFonts w:eastAsia="MS Mincho" w:cs="Arial"/>
    </w:rPr>
  </w:style>
  <w:style w:type="paragraph" w:styleId="Date">
    <w:name w:val="Date"/>
    <w:basedOn w:val="Normal"/>
    <w:next w:val="Normal"/>
    <w:link w:val="DateChar"/>
    <w:rsid w:val="00561293"/>
    <w:rPr>
      <w:rFonts w:eastAsia="MS Mincho"/>
    </w:rPr>
  </w:style>
  <w:style w:type="character" w:customStyle="1" w:styleId="DateChar">
    <w:name w:val="Date Char"/>
    <w:basedOn w:val="DefaultParagraphFont"/>
    <w:link w:val="Date"/>
    <w:rsid w:val="00561293"/>
    <w:rPr>
      <w:rFonts w:ascii="Arial" w:eastAsia="MS Mincho" w:hAnsi="Arial"/>
    </w:rPr>
  </w:style>
  <w:style w:type="character" w:styleId="PlaceholderText">
    <w:name w:val="Placeholder Text"/>
    <w:basedOn w:val="DefaultParagraphFont"/>
    <w:uiPriority w:val="99"/>
    <w:semiHidden/>
    <w:rsid w:val="00561293"/>
    <w:rPr>
      <w:color w:val="808080"/>
    </w:rPr>
  </w:style>
  <w:style w:type="character" w:customStyle="1" w:styleId="Heading2Char1">
    <w:name w:val="Heading 2 Char1"/>
    <w:basedOn w:val="DefaultParagraphFont"/>
    <w:link w:val="Heading2"/>
    <w:rsid w:val="00954B73"/>
    <w:rPr>
      <w:rFonts w:ascii="Arial" w:hAnsi="Arial"/>
      <w:b/>
      <w:sz w:val="28"/>
      <w:u w:val="single"/>
      <w:lang w:eastAsia="ja-JP"/>
    </w:rPr>
  </w:style>
  <w:style w:type="paragraph" w:customStyle="1" w:styleId="FactSheetText">
    <w:name w:val="Fact Sheet Text"/>
    <w:basedOn w:val="Normal"/>
    <w:link w:val="FactSheetTextChar"/>
    <w:qFormat/>
    <w:rsid w:val="0085320B"/>
    <w:pPr>
      <w:widowControl w:val="0"/>
    </w:pPr>
    <w:rPr>
      <w:rFonts w:asciiTheme="minorHAnsi" w:eastAsiaTheme="minorHAnsi" w:hAnsiTheme="minorHAnsi" w:cstheme="minorBidi"/>
      <w:sz w:val="22"/>
      <w:szCs w:val="22"/>
    </w:rPr>
  </w:style>
  <w:style w:type="character" w:customStyle="1" w:styleId="FactSheetTextChar">
    <w:name w:val="Fact Sheet Text Char"/>
    <w:basedOn w:val="DefaultParagraphFont"/>
    <w:link w:val="FactSheetText"/>
    <w:rsid w:val="0085320B"/>
    <w:rPr>
      <w:rFonts w:asciiTheme="minorHAnsi" w:eastAsiaTheme="minorHAnsi" w:hAnsiTheme="minorHAnsi" w:cstheme="minorBidi"/>
      <w:sz w:val="22"/>
      <w:szCs w:val="22"/>
    </w:rPr>
  </w:style>
  <w:style w:type="character" w:customStyle="1" w:styleId="highlight">
    <w:name w:val="highlight"/>
    <w:basedOn w:val="DefaultParagraphFont"/>
    <w:rsid w:val="004D4809"/>
  </w:style>
  <w:style w:type="paragraph" w:customStyle="1" w:styleId="FactSheetHeader">
    <w:name w:val="Fact Sheet Header"/>
    <w:basedOn w:val="Normal"/>
    <w:link w:val="FactSheetHeaderChar"/>
    <w:rsid w:val="00864CF5"/>
    <w:pPr>
      <w:widowControl w:val="0"/>
      <w:spacing w:before="200" w:after="200" w:line="276" w:lineRule="auto"/>
    </w:pPr>
    <w:rPr>
      <w:rFonts w:asciiTheme="minorHAnsi" w:eastAsiaTheme="minorEastAsia" w:hAnsiTheme="minorHAnsi" w:cstheme="minorBidi"/>
      <w:color w:val="007373"/>
      <w:sz w:val="36"/>
      <w:szCs w:val="36"/>
    </w:rPr>
  </w:style>
  <w:style w:type="character" w:customStyle="1" w:styleId="FactSheetHeaderChar">
    <w:name w:val="Fact Sheet Header Char"/>
    <w:basedOn w:val="DefaultParagraphFont"/>
    <w:link w:val="FactSheetHeader"/>
    <w:rsid w:val="00864CF5"/>
    <w:rPr>
      <w:rFonts w:asciiTheme="minorHAnsi" w:eastAsiaTheme="minorEastAsia" w:hAnsiTheme="minorHAnsi" w:cstheme="minorBidi"/>
      <w:color w:val="007373"/>
      <w:sz w:val="36"/>
      <w:szCs w:val="36"/>
    </w:rPr>
  </w:style>
  <w:style w:type="character" w:customStyle="1" w:styleId="Style12ptBoldDarkBlue">
    <w:name w:val="Style 12 pt Bold Dark Blue"/>
    <w:basedOn w:val="DefaultParagraphFont"/>
    <w:rsid w:val="003A5943"/>
    <w:rPr>
      <w:b/>
      <w:bCs/>
      <w:color w:val="4F6228" w:themeColor="accent3" w:themeShade="80"/>
      <w:sz w:val="24"/>
    </w:rPr>
  </w:style>
  <w:style w:type="paragraph" w:customStyle="1" w:styleId="Style1">
    <w:name w:val="Style1"/>
    <w:basedOn w:val="Normal"/>
    <w:link w:val="Style1Char"/>
    <w:qFormat/>
    <w:rsid w:val="006A3FDE"/>
    <w:rPr>
      <w:b/>
      <w:color w:val="000000"/>
    </w:rPr>
  </w:style>
  <w:style w:type="paragraph" w:customStyle="1" w:styleId="Heading44">
    <w:name w:val="Heading 44"/>
    <w:basedOn w:val="Style1"/>
    <w:link w:val="Heading44Char"/>
    <w:qFormat/>
    <w:rsid w:val="005B7CB8"/>
    <w:rPr>
      <w:sz w:val="22"/>
    </w:rPr>
  </w:style>
  <w:style w:type="character" w:customStyle="1" w:styleId="Style1Char">
    <w:name w:val="Style1 Char"/>
    <w:basedOn w:val="DefaultParagraphFont"/>
    <w:link w:val="Style1"/>
    <w:rsid w:val="006A3FDE"/>
    <w:rPr>
      <w:rFonts w:ascii="Arial" w:hAnsi="Arial"/>
      <w:b/>
      <w:color w:val="000000"/>
    </w:rPr>
  </w:style>
  <w:style w:type="character" w:customStyle="1" w:styleId="Heading44Char">
    <w:name w:val="Heading 44 Char"/>
    <w:basedOn w:val="Style1Char"/>
    <w:link w:val="Heading44"/>
    <w:rsid w:val="005B7CB8"/>
    <w:rPr>
      <w:rFonts w:ascii="Arial" w:hAnsi="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8173">
      <w:bodyDiv w:val="1"/>
      <w:marLeft w:val="0"/>
      <w:marRight w:val="0"/>
      <w:marTop w:val="0"/>
      <w:marBottom w:val="0"/>
      <w:divBdr>
        <w:top w:val="none" w:sz="0" w:space="0" w:color="auto"/>
        <w:left w:val="none" w:sz="0" w:space="0" w:color="auto"/>
        <w:bottom w:val="none" w:sz="0" w:space="0" w:color="auto"/>
        <w:right w:val="none" w:sz="0" w:space="0" w:color="auto"/>
      </w:divBdr>
    </w:div>
    <w:div w:id="177936295">
      <w:bodyDiv w:val="1"/>
      <w:marLeft w:val="0"/>
      <w:marRight w:val="0"/>
      <w:marTop w:val="0"/>
      <w:marBottom w:val="0"/>
      <w:divBdr>
        <w:top w:val="none" w:sz="0" w:space="0" w:color="auto"/>
        <w:left w:val="none" w:sz="0" w:space="0" w:color="auto"/>
        <w:bottom w:val="none" w:sz="0" w:space="0" w:color="auto"/>
        <w:right w:val="none" w:sz="0" w:space="0" w:color="auto"/>
      </w:divBdr>
    </w:div>
    <w:div w:id="374505211">
      <w:bodyDiv w:val="1"/>
      <w:marLeft w:val="0"/>
      <w:marRight w:val="0"/>
      <w:marTop w:val="0"/>
      <w:marBottom w:val="0"/>
      <w:divBdr>
        <w:top w:val="none" w:sz="0" w:space="0" w:color="auto"/>
        <w:left w:val="none" w:sz="0" w:space="0" w:color="auto"/>
        <w:bottom w:val="none" w:sz="0" w:space="0" w:color="auto"/>
        <w:right w:val="none" w:sz="0" w:space="0" w:color="auto"/>
      </w:divBdr>
    </w:div>
    <w:div w:id="404380343">
      <w:bodyDiv w:val="1"/>
      <w:marLeft w:val="0"/>
      <w:marRight w:val="0"/>
      <w:marTop w:val="0"/>
      <w:marBottom w:val="0"/>
      <w:divBdr>
        <w:top w:val="none" w:sz="0" w:space="0" w:color="auto"/>
        <w:left w:val="none" w:sz="0" w:space="0" w:color="auto"/>
        <w:bottom w:val="none" w:sz="0" w:space="0" w:color="auto"/>
        <w:right w:val="none" w:sz="0" w:space="0" w:color="auto"/>
      </w:divBdr>
    </w:div>
    <w:div w:id="499735234">
      <w:bodyDiv w:val="1"/>
      <w:marLeft w:val="0"/>
      <w:marRight w:val="0"/>
      <w:marTop w:val="0"/>
      <w:marBottom w:val="0"/>
      <w:divBdr>
        <w:top w:val="none" w:sz="0" w:space="0" w:color="auto"/>
        <w:left w:val="none" w:sz="0" w:space="0" w:color="auto"/>
        <w:bottom w:val="none" w:sz="0" w:space="0" w:color="auto"/>
        <w:right w:val="none" w:sz="0" w:space="0" w:color="auto"/>
      </w:divBdr>
    </w:div>
    <w:div w:id="527380466">
      <w:bodyDiv w:val="1"/>
      <w:marLeft w:val="0"/>
      <w:marRight w:val="0"/>
      <w:marTop w:val="0"/>
      <w:marBottom w:val="0"/>
      <w:divBdr>
        <w:top w:val="none" w:sz="0" w:space="0" w:color="auto"/>
        <w:left w:val="none" w:sz="0" w:space="0" w:color="auto"/>
        <w:bottom w:val="none" w:sz="0" w:space="0" w:color="auto"/>
        <w:right w:val="none" w:sz="0" w:space="0" w:color="auto"/>
      </w:divBdr>
      <w:divsChild>
        <w:div w:id="377052327">
          <w:marLeft w:val="0"/>
          <w:marRight w:val="0"/>
          <w:marTop w:val="0"/>
          <w:marBottom w:val="0"/>
          <w:divBdr>
            <w:top w:val="none" w:sz="0" w:space="0" w:color="auto"/>
            <w:left w:val="none" w:sz="0" w:space="0" w:color="auto"/>
            <w:bottom w:val="none" w:sz="0" w:space="0" w:color="auto"/>
            <w:right w:val="none" w:sz="0" w:space="0" w:color="auto"/>
          </w:divBdr>
        </w:div>
        <w:div w:id="243686384">
          <w:marLeft w:val="0"/>
          <w:marRight w:val="0"/>
          <w:marTop w:val="0"/>
          <w:marBottom w:val="0"/>
          <w:divBdr>
            <w:top w:val="none" w:sz="0" w:space="0" w:color="auto"/>
            <w:left w:val="none" w:sz="0" w:space="0" w:color="auto"/>
            <w:bottom w:val="none" w:sz="0" w:space="0" w:color="auto"/>
            <w:right w:val="none" w:sz="0" w:space="0" w:color="auto"/>
          </w:divBdr>
        </w:div>
        <w:div w:id="997612398">
          <w:marLeft w:val="0"/>
          <w:marRight w:val="0"/>
          <w:marTop w:val="0"/>
          <w:marBottom w:val="0"/>
          <w:divBdr>
            <w:top w:val="none" w:sz="0" w:space="0" w:color="auto"/>
            <w:left w:val="none" w:sz="0" w:space="0" w:color="auto"/>
            <w:bottom w:val="none" w:sz="0" w:space="0" w:color="auto"/>
            <w:right w:val="none" w:sz="0" w:space="0" w:color="auto"/>
          </w:divBdr>
        </w:div>
      </w:divsChild>
    </w:div>
    <w:div w:id="528224258">
      <w:bodyDiv w:val="1"/>
      <w:marLeft w:val="0"/>
      <w:marRight w:val="0"/>
      <w:marTop w:val="0"/>
      <w:marBottom w:val="0"/>
      <w:divBdr>
        <w:top w:val="none" w:sz="0" w:space="0" w:color="auto"/>
        <w:left w:val="none" w:sz="0" w:space="0" w:color="auto"/>
        <w:bottom w:val="none" w:sz="0" w:space="0" w:color="auto"/>
        <w:right w:val="none" w:sz="0" w:space="0" w:color="auto"/>
      </w:divBdr>
    </w:div>
    <w:div w:id="531963668">
      <w:bodyDiv w:val="1"/>
      <w:marLeft w:val="0"/>
      <w:marRight w:val="0"/>
      <w:marTop w:val="0"/>
      <w:marBottom w:val="0"/>
      <w:divBdr>
        <w:top w:val="none" w:sz="0" w:space="0" w:color="auto"/>
        <w:left w:val="none" w:sz="0" w:space="0" w:color="auto"/>
        <w:bottom w:val="none" w:sz="0" w:space="0" w:color="auto"/>
        <w:right w:val="none" w:sz="0" w:space="0" w:color="auto"/>
      </w:divBdr>
    </w:div>
    <w:div w:id="641155638">
      <w:bodyDiv w:val="1"/>
      <w:marLeft w:val="0"/>
      <w:marRight w:val="0"/>
      <w:marTop w:val="0"/>
      <w:marBottom w:val="0"/>
      <w:divBdr>
        <w:top w:val="none" w:sz="0" w:space="0" w:color="auto"/>
        <w:left w:val="none" w:sz="0" w:space="0" w:color="auto"/>
        <w:bottom w:val="none" w:sz="0" w:space="0" w:color="auto"/>
        <w:right w:val="none" w:sz="0" w:space="0" w:color="auto"/>
      </w:divBdr>
    </w:div>
    <w:div w:id="673655021">
      <w:bodyDiv w:val="1"/>
      <w:marLeft w:val="0"/>
      <w:marRight w:val="0"/>
      <w:marTop w:val="0"/>
      <w:marBottom w:val="0"/>
      <w:divBdr>
        <w:top w:val="none" w:sz="0" w:space="0" w:color="auto"/>
        <w:left w:val="none" w:sz="0" w:space="0" w:color="auto"/>
        <w:bottom w:val="none" w:sz="0" w:space="0" w:color="auto"/>
        <w:right w:val="none" w:sz="0" w:space="0" w:color="auto"/>
      </w:divBdr>
    </w:div>
    <w:div w:id="726302588">
      <w:bodyDiv w:val="1"/>
      <w:marLeft w:val="0"/>
      <w:marRight w:val="0"/>
      <w:marTop w:val="0"/>
      <w:marBottom w:val="0"/>
      <w:divBdr>
        <w:top w:val="none" w:sz="0" w:space="0" w:color="auto"/>
        <w:left w:val="none" w:sz="0" w:space="0" w:color="auto"/>
        <w:bottom w:val="none" w:sz="0" w:space="0" w:color="auto"/>
        <w:right w:val="none" w:sz="0" w:space="0" w:color="auto"/>
      </w:divBdr>
    </w:div>
    <w:div w:id="739211623">
      <w:bodyDiv w:val="1"/>
      <w:marLeft w:val="0"/>
      <w:marRight w:val="0"/>
      <w:marTop w:val="0"/>
      <w:marBottom w:val="0"/>
      <w:divBdr>
        <w:top w:val="none" w:sz="0" w:space="0" w:color="auto"/>
        <w:left w:val="none" w:sz="0" w:space="0" w:color="auto"/>
        <w:bottom w:val="none" w:sz="0" w:space="0" w:color="auto"/>
        <w:right w:val="none" w:sz="0" w:space="0" w:color="auto"/>
      </w:divBdr>
    </w:div>
    <w:div w:id="758260528">
      <w:bodyDiv w:val="1"/>
      <w:marLeft w:val="0"/>
      <w:marRight w:val="0"/>
      <w:marTop w:val="0"/>
      <w:marBottom w:val="0"/>
      <w:divBdr>
        <w:top w:val="none" w:sz="0" w:space="0" w:color="auto"/>
        <w:left w:val="none" w:sz="0" w:space="0" w:color="auto"/>
        <w:bottom w:val="none" w:sz="0" w:space="0" w:color="auto"/>
        <w:right w:val="none" w:sz="0" w:space="0" w:color="auto"/>
      </w:divBdr>
    </w:div>
    <w:div w:id="781264476">
      <w:bodyDiv w:val="1"/>
      <w:marLeft w:val="0"/>
      <w:marRight w:val="0"/>
      <w:marTop w:val="0"/>
      <w:marBottom w:val="0"/>
      <w:divBdr>
        <w:top w:val="none" w:sz="0" w:space="0" w:color="auto"/>
        <w:left w:val="none" w:sz="0" w:space="0" w:color="auto"/>
        <w:bottom w:val="none" w:sz="0" w:space="0" w:color="auto"/>
        <w:right w:val="none" w:sz="0" w:space="0" w:color="auto"/>
      </w:divBdr>
      <w:divsChild>
        <w:div w:id="2014986190">
          <w:marLeft w:val="288"/>
          <w:marRight w:val="0"/>
          <w:marTop w:val="82"/>
          <w:marBottom w:val="0"/>
          <w:divBdr>
            <w:top w:val="none" w:sz="0" w:space="0" w:color="auto"/>
            <w:left w:val="none" w:sz="0" w:space="0" w:color="auto"/>
            <w:bottom w:val="none" w:sz="0" w:space="0" w:color="auto"/>
            <w:right w:val="none" w:sz="0" w:space="0" w:color="auto"/>
          </w:divBdr>
        </w:div>
        <w:div w:id="1397320728">
          <w:marLeft w:val="288"/>
          <w:marRight w:val="0"/>
          <w:marTop w:val="82"/>
          <w:marBottom w:val="0"/>
          <w:divBdr>
            <w:top w:val="none" w:sz="0" w:space="0" w:color="auto"/>
            <w:left w:val="none" w:sz="0" w:space="0" w:color="auto"/>
            <w:bottom w:val="none" w:sz="0" w:space="0" w:color="auto"/>
            <w:right w:val="none" w:sz="0" w:space="0" w:color="auto"/>
          </w:divBdr>
        </w:div>
        <w:div w:id="313875612">
          <w:marLeft w:val="288"/>
          <w:marRight w:val="0"/>
          <w:marTop w:val="82"/>
          <w:marBottom w:val="0"/>
          <w:divBdr>
            <w:top w:val="none" w:sz="0" w:space="0" w:color="auto"/>
            <w:left w:val="none" w:sz="0" w:space="0" w:color="auto"/>
            <w:bottom w:val="none" w:sz="0" w:space="0" w:color="auto"/>
            <w:right w:val="none" w:sz="0" w:space="0" w:color="auto"/>
          </w:divBdr>
        </w:div>
        <w:div w:id="892960544">
          <w:marLeft w:val="288"/>
          <w:marRight w:val="0"/>
          <w:marTop w:val="82"/>
          <w:marBottom w:val="0"/>
          <w:divBdr>
            <w:top w:val="none" w:sz="0" w:space="0" w:color="auto"/>
            <w:left w:val="none" w:sz="0" w:space="0" w:color="auto"/>
            <w:bottom w:val="none" w:sz="0" w:space="0" w:color="auto"/>
            <w:right w:val="none" w:sz="0" w:space="0" w:color="auto"/>
          </w:divBdr>
        </w:div>
      </w:divsChild>
    </w:div>
    <w:div w:id="870996651">
      <w:bodyDiv w:val="1"/>
      <w:marLeft w:val="0"/>
      <w:marRight w:val="0"/>
      <w:marTop w:val="0"/>
      <w:marBottom w:val="0"/>
      <w:divBdr>
        <w:top w:val="none" w:sz="0" w:space="0" w:color="auto"/>
        <w:left w:val="none" w:sz="0" w:space="0" w:color="auto"/>
        <w:bottom w:val="none" w:sz="0" w:space="0" w:color="auto"/>
        <w:right w:val="none" w:sz="0" w:space="0" w:color="auto"/>
      </w:divBdr>
    </w:div>
    <w:div w:id="876821265">
      <w:bodyDiv w:val="1"/>
      <w:marLeft w:val="0"/>
      <w:marRight w:val="0"/>
      <w:marTop w:val="0"/>
      <w:marBottom w:val="0"/>
      <w:divBdr>
        <w:top w:val="none" w:sz="0" w:space="0" w:color="auto"/>
        <w:left w:val="none" w:sz="0" w:space="0" w:color="auto"/>
        <w:bottom w:val="none" w:sz="0" w:space="0" w:color="auto"/>
        <w:right w:val="none" w:sz="0" w:space="0" w:color="auto"/>
      </w:divBdr>
    </w:div>
    <w:div w:id="881988869">
      <w:bodyDiv w:val="1"/>
      <w:marLeft w:val="0"/>
      <w:marRight w:val="0"/>
      <w:marTop w:val="0"/>
      <w:marBottom w:val="0"/>
      <w:divBdr>
        <w:top w:val="none" w:sz="0" w:space="0" w:color="auto"/>
        <w:left w:val="none" w:sz="0" w:space="0" w:color="auto"/>
        <w:bottom w:val="none" w:sz="0" w:space="0" w:color="auto"/>
        <w:right w:val="none" w:sz="0" w:space="0" w:color="auto"/>
      </w:divBdr>
    </w:div>
    <w:div w:id="978730061">
      <w:bodyDiv w:val="1"/>
      <w:marLeft w:val="0"/>
      <w:marRight w:val="0"/>
      <w:marTop w:val="0"/>
      <w:marBottom w:val="0"/>
      <w:divBdr>
        <w:top w:val="none" w:sz="0" w:space="0" w:color="auto"/>
        <w:left w:val="none" w:sz="0" w:space="0" w:color="auto"/>
        <w:bottom w:val="none" w:sz="0" w:space="0" w:color="auto"/>
        <w:right w:val="none" w:sz="0" w:space="0" w:color="auto"/>
      </w:divBdr>
    </w:div>
    <w:div w:id="984625414">
      <w:bodyDiv w:val="1"/>
      <w:marLeft w:val="0"/>
      <w:marRight w:val="0"/>
      <w:marTop w:val="0"/>
      <w:marBottom w:val="0"/>
      <w:divBdr>
        <w:top w:val="none" w:sz="0" w:space="0" w:color="auto"/>
        <w:left w:val="none" w:sz="0" w:space="0" w:color="auto"/>
        <w:bottom w:val="none" w:sz="0" w:space="0" w:color="auto"/>
        <w:right w:val="none" w:sz="0" w:space="0" w:color="auto"/>
      </w:divBdr>
    </w:div>
    <w:div w:id="986861110">
      <w:marLeft w:val="0"/>
      <w:marRight w:val="0"/>
      <w:marTop w:val="0"/>
      <w:marBottom w:val="0"/>
      <w:divBdr>
        <w:top w:val="none" w:sz="0" w:space="0" w:color="auto"/>
        <w:left w:val="none" w:sz="0" w:space="0" w:color="auto"/>
        <w:bottom w:val="none" w:sz="0" w:space="0" w:color="auto"/>
        <w:right w:val="none" w:sz="0" w:space="0" w:color="auto"/>
      </w:divBdr>
    </w:div>
    <w:div w:id="986861112">
      <w:marLeft w:val="0"/>
      <w:marRight w:val="0"/>
      <w:marTop w:val="0"/>
      <w:marBottom w:val="0"/>
      <w:divBdr>
        <w:top w:val="none" w:sz="0" w:space="0" w:color="auto"/>
        <w:left w:val="none" w:sz="0" w:space="0" w:color="auto"/>
        <w:bottom w:val="none" w:sz="0" w:space="0" w:color="auto"/>
        <w:right w:val="none" w:sz="0" w:space="0" w:color="auto"/>
      </w:divBdr>
      <w:divsChild>
        <w:div w:id="986861111">
          <w:marLeft w:val="0"/>
          <w:marRight w:val="0"/>
          <w:marTop w:val="0"/>
          <w:marBottom w:val="0"/>
          <w:divBdr>
            <w:top w:val="none" w:sz="0" w:space="0" w:color="auto"/>
            <w:left w:val="none" w:sz="0" w:space="0" w:color="auto"/>
            <w:bottom w:val="none" w:sz="0" w:space="0" w:color="auto"/>
            <w:right w:val="none" w:sz="0" w:space="0" w:color="auto"/>
          </w:divBdr>
          <w:divsChild>
            <w:div w:id="9868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16">
      <w:marLeft w:val="0"/>
      <w:marRight w:val="0"/>
      <w:marTop w:val="0"/>
      <w:marBottom w:val="0"/>
      <w:divBdr>
        <w:top w:val="none" w:sz="0" w:space="0" w:color="auto"/>
        <w:left w:val="none" w:sz="0" w:space="0" w:color="auto"/>
        <w:bottom w:val="none" w:sz="0" w:space="0" w:color="auto"/>
        <w:right w:val="none" w:sz="0" w:space="0" w:color="auto"/>
      </w:divBdr>
      <w:divsChild>
        <w:div w:id="986861121">
          <w:marLeft w:val="0"/>
          <w:marRight w:val="0"/>
          <w:marTop w:val="0"/>
          <w:marBottom w:val="0"/>
          <w:divBdr>
            <w:top w:val="none" w:sz="0" w:space="0" w:color="auto"/>
            <w:left w:val="none" w:sz="0" w:space="0" w:color="auto"/>
            <w:bottom w:val="none" w:sz="0" w:space="0" w:color="auto"/>
            <w:right w:val="none" w:sz="0" w:space="0" w:color="auto"/>
          </w:divBdr>
          <w:divsChild>
            <w:div w:id="9868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17">
      <w:marLeft w:val="0"/>
      <w:marRight w:val="0"/>
      <w:marTop w:val="0"/>
      <w:marBottom w:val="0"/>
      <w:divBdr>
        <w:top w:val="none" w:sz="0" w:space="0" w:color="auto"/>
        <w:left w:val="none" w:sz="0" w:space="0" w:color="auto"/>
        <w:bottom w:val="none" w:sz="0" w:space="0" w:color="auto"/>
        <w:right w:val="none" w:sz="0" w:space="0" w:color="auto"/>
      </w:divBdr>
    </w:div>
    <w:div w:id="986861118">
      <w:marLeft w:val="0"/>
      <w:marRight w:val="0"/>
      <w:marTop w:val="0"/>
      <w:marBottom w:val="0"/>
      <w:divBdr>
        <w:top w:val="none" w:sz="0" w:space="0" w:color="auto"/>
        <w:left w:val="none" w:sz="0" w:space="0" w:color="auto"/>
        <w:bottom w:val="none" w:sz="0" w:space="0" w:color="auto"/>
        <w:right w:val="none" w:sz="0" w:space="0" w:color="auto"/>
      </w:divBdr>
      <w:divsChild>
        <w:div w:id="986861115">
          <w:marLeft w:val="0"/>
          <w:marRight w:val="0"/>
          <w:marTop w:val="0"/>
          <w:marBottom w:val="0"/>
          <w:divBdr>
            <w:top w:val="none" w:sz="0" w:space="0" w:color="auto"/>
            <w:left w:val="none" w:sz="0" w:space="0" w:color="auto"/>
            <w:bottom w:val="none" w:sz="0" w:space="0" w:color="auto"/>
            <w:right w:val="none" w:sz="0" w:space="0" w:color="auto"/>
          </w:divBdr>
        </w:div>
      </w:divsChild>
    </w:div>
    <w:div w:id="986861123">
      <w:marLeft w:val="0"/>
      <w:marRight w:val="0"/>
      <w:marTop w:val="0"/>
      <w:marBottom w:val="0"/>
      <w:divBdr>
        <w:top w:val="none" w:sz="0" w:space="0" w:color="auto"/>
        <w:left w:val="none" w:sz="0" w:space="0" w:color="auto"/>
        <w:bottom w:val="none" w:sz="0" w:space="0" w:color="auto"/>
        <w:right w:val="none" w:sz="0" w:space="0" w:color="auto"/>
      </w:divBdr>
      <w:divsChild>
        <w:div w:id="986861120">
          <w:marLeft w:val="0"/>
          <w:marRight w:val="0"/>
          <w:marTop w:val="0"/>
          <w:marBottom w:val="0"/>
          <w:divBdr>
            <w:top w:val="none" w:sz="0" w:space="0" w:color="auto"/>
            <w:left w:val="none" w:sz="0" w:space="0" w:color="auto"/>
            <w:bottom w:val="none" w:sz="0" w:space="0" w:color="auto"/>
            <w:right w:val="none" w:sz="0" w:space="0" w:color="auto"/>
          </w:divBdr>
        </w:div>
      </w:divsChild>
    </w:div>
    <w:div w:id="986861125">
      <w:marLeft w:val="0"/>
      <w:marRight w:val="0"/>
      <w:marTop w:val="0"/>
      <w:marBottom w:val="0"/>
      <w:divBdr>
        <w:top w:val="none" w:sz="0" w:space="0" w:color="auto"/>
        <w:left w:val="none" w:sz="0" w:space="0" w:color="auto"/>
        <w:bottom w:val="none" w:sz="0" w:space="0" w:color="auto"/>
        <w:right w:val="none" w:sz="0" w:space="0" w:color="auto"/>
      </w:divBdr>
      <w:divsChild>
        <w:div w:id="986861131">
          <w:marLeft w:val="0"/>
          <w:marRight w:val="0"/>
          <w:marTop w:val="0"/>
          <w:marBottom w:val="0"/>
          <w:divBdr>
            <w:top w:val="none" w:sz="0" w:space="0" w:color="auto"/>
            <w:left w:val="none" w:sz="0" w:space="0" w:color="auto"/>
            <w:bottom w:val="none" w:sz="0" w:space="0" w:color="auto"/>
            <w:right w:val="none" w:sz="0" w:space="0" w:color="auto"/>
          </w:divBdr>
        </w:div>
      </w:divsChild>
    </w:div>
    <w:div w:id="986861126">
      <w:marLeft w:val="0"/>
      <w:marRight w:val="0"/>
      <w:marTop w:val="0"/>
      <w:marBottom w:val="0"/>
      <w:divBdr>
        <w:top w:val="none" w:sz="0" w:space="0" w:color="auto"/>
        <w:left w:val="none" w:sz="0" w:space="0" w:color="auto"/>
        <w:bottom w:val="none" w:sz="0" w:space="0" w:color="auto"/>
        <w:right w:val="none" w:sz="0" w:space="0" w:color="auto"/>
      </w:divBdr>
    </w:div>
    <w:div w:id="986861127">
      <w:marLeft w:val="0"/>
      <w:marRight w:val="0"/>
      <w:marTop w:val="0"/>
      <w:marBottom w:val="0"/>
      <w:divBdr>
        <w:top w:val="none" w:sz="0" w:space="0" w:color="auto"/>
        <w:left w:val="none" w:sz="0" w:space="0" w:color="auto"/>
        <w:bottom w:val="none" w:sz="0" w:space="0" w:color="auto"/>
        <w:right w:val="none" w:sz="0" w:space="0" w:color="auto"/>
      </w:divBdr>
      <w:divsChild>
        <w:div w:id="986861114">
          <w:marLeft w:val="0"/>
          <w:marRight w:val="0"/>
          <w:marTop w:val="0"/>
          <w:marBottom w:val="0"/>
          <w:divBdr>
            <w:top w:val="none" w:sz="0" w:space="0" w:color="auto"/>
            <w:left w:val="none" w:sz="0" w:space="0" w:color="auto"/>
            <w:bottom w:val="none" w:sz="0" w:space="0" w:color="auto"/>
            <w:right w:val="none" w:sz="0" w:space="0" w:color="auto"/>
          </w:divBdr>
          <w:divsChild>
            <w:div w:id="9868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29">
      <w:marLeft w:val="0"/>
      <w:marRight w:val="0"/>
      <w:marTop w:val="0"/>
      <w:marBottom w:val="0"/>
      <w:divBdr>
        <w:top w:val="none" w:sz="0" w:space="0" w:color="auto"/>
        <w:left w:val="none" w:sz="0" w:space="0" w:color="auto"/>
        <w:bottom w:val="none" w:sz="0" w:space="0" w:color="auto"/>
        <w:right w:val="none" w:sz="0" w:space="0" w:color="auto"/>
      </w:divBdr>
    </w:div>
    <w:div w:id="986861130">
      <w:marLeft w:val="0"/>
      <w:marRight w:val="0"/>
      <w:marTop w:val="0"/>
      <w:marBottom w:val="0"/>
      <w:divBdr>
        <w:top w:val="none" w:sz="0" w:space="0" w:color="auto"/>
        <w:left w:val="none" w:sz="0" w:space="0" w:color="auto"/>
        <w:bottom w:val="none" w:sz="0" w:space="0" w:color="auto"/>
        <w:right w:val="none" w:sz="0" w:space="0" w:color="auto"/>
      </w:divBdr>
      <w:divsChild>
        <w:div w:id="986861133">
          <w:marLeft w:val="0"/>
          <w:marRight w:val="0"/>
          <w:marTop w:val="0"/>
          <w:marBottom w:val="0"/>
          <w:divBdr>
            <w:top w:val="none" w:sz="0" w:space="0" w:color="auto"/>
            <w:left w:val="none" w:sz="0" w:space="0" w:color="auto"/>
            <w:bottom w:val="none" w:sz="0" w:space="0" w:color="auto"/>
            <w:right w:val="none" w:sz="0" w:space="0" w:color="auto"/>
          </w:divBdr>
          <w:divsChild>
            <w:div w:id="9868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32">
      <w:marLeft w:val="0"/>
      <w:marRight w:val="0"/>
      <w:marTop w:val="0"/>
      <w:marBottom w:val="0"/>
      <w:divBdr>
        <w:top w:val="none" w:sz="0" w:space="0" w:color="auto"/>
        <w:left w:val="none" w:sz="0" w:space="0" w:color="auto"/>
        <w:bottom w:val="none" w:sz="0" w:space="0" w:color="auto"/>
        <w:right w:val="none" w:sz="0" w:space="0" w:color="auto"/>
      </w:divBdr>
    </w:div>
    <w:div w:id="986861134">
      <w:marLeft w:val="0"/>
      <w:marRight w:val="0"/>
      <w:marTop w:val="0"/>
      <w:marBottom w:val="0"/>
      <w:divBdr>
        <w:top w:val="none" w:sz="0" w:space="0" w:color="auto"/>
        <w:left w:val="none" w:sz="0" w:space="0" w:color="auto"/>
        <w:bottom w:val="none" w:sz="0" w:space="0" w:color="auto"/>
        <w:right w:val="none" w:sz="0" w:space="0" w:color="auto"/>
      </w:divBdr>
      <w:divsChild>
        <w:div w:id="986861128">
          <w:marLeft w:val="0"/>
          <w:marRight w:val="0"/>
          <w:marTop w:val="0"/>
          <w:marBottom w:val="0"/>
          <w:divBdr>
            <w:top w:val="none" w:sz="0" w:space="0" w:color="auto"/>
            <w:left w:val="none" w:sz="0" w:space="0" w:color="auto"/>
            <w:bottom w:val="none" w:sz="0" w:space="0" w:color="auto"/>
            <w:right w:val="none" w:sz="0" w:space="0" w:color="auto"/>
          </w:divBdr>
        </w:div>
      </w:divsChild>
    </w:div>
    <w:div w:id="1046678033">
      <w:bodyDiv w:val="1"/>
      <w:marLeft w:val="0"/>
      <w:marRight w:val="0"/>
      <w:marTop w:val="0"/>
      <w:marBottom w:val="0"/>
      <w:divBdr>
        <w:top w:val="none" w:sz="0" w:space="0" w:color="auto"/>
        <w:left w:val="none" w:sz="0" w:space="0" w:color="auto"/>
        <w:bottom w:val="none" w:sz="0" w:space="0" w:color="auto"/>
        <w:right w:val="none" w:sz="0" w:space="0" w:color="auto"/>
      </w:divBdr>
    </w:div>
    <w:div w:id="1057821462">
      <w:bodyDiv w:val="1"/>
      <w:marLeft w:val="0"/>
      <w:marRight w:val="0"/>
      <w:marTop w:val="0"/>
      <w:marBottom w:val="0"/>
      <w:divBdr>
        <w:top w:val="none" w:sz="0" w:space="0" w:color="auto"/>
        <w:left w:val="none" w:sz="0" w:space="0" w:color="auto"/>
        <w:bottom w:val="none" w:sz="0" w:space="0" w:color="auto"/>
        <w:right w:val="none" w:sz="0" w:space="0" w:color="auto"/>
      </w:divBdr>
    </w:div>
    <w:div w:id="1067995216">
      <w:bodyDiv w:val="1"/>
      <w:marLeft w:val="0"/>
      <w:marRight w:val="0"/>
      <w:marTop w:val="0"/>
      <w:marBottom w:val="0"/>
      <w:divBdr>
        <w:top w:val="none" w:sz="0" w:space="0" w:color="auto"/>
        <w:left w:val="none" w:sz="0" w:space="0" w:color="auto"/>
        <w:bottom w:val="none" w:sz="0" w:space="0" w:color="auto"/>
        <w:right w:val="none" w:sz="0" w:space="0" w:color="auto"/>
      </w:divBdr>
    </w:div>
    <w:div w:id="1097599417">
      <w:bodyDiv w:val="1"/>
      <w:marLeft w:val="0"/>
      <w:marRight w:val="0"/>
      <w:marTop w:val="0"/>
      <w:marBottom w:val="0"/>
      <w:divBdr>
        <w:top w:val="none" w:sz="0" w:space="0" w:color="auto"/>
        <w:left w:val="none" w:sz="0" w:space="0" w:color="auto"/>
        <w:bottom w:val="none" w:sz="0" w:space="0" w:color="auto"/>
        <w:right w:val="none" w:sz="0" w:space="0" w:color="auto"/>
      </w:divBdr>
    </w:div>
    <w:div w:id="1109548502">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221598618">
      <w:bodyDiv w:val="1"/>
      <w:marLeft w:val="0"/>
      <w:marRight w:val="0"/>
      <w:marTop w:val="0"/>
      <w:marBottom w:val="0"/>
      <w:divBdr>
        <w:top w:val="none" w:sz="0" w:space="0" w:color="auto"/>
        <w:left w:val="none" w:sz="0" w:space="0" w:color="auto"/>
        <w:bottom w:val="none" w:sz="0" w:space="0" w:color="auto"/>
        <w:right w:val="none" w:sz="0" w:space="0" w:color="auto"/>
      </w:divBdr>
    </w:div>
    <w:div w:id="1248071626">
      <w:bodyDiv w:val="1"/>
      <w:marLeft w:val="0"/>
      <w:marRight w:val="0"/>
      <w:marTop w:val="0"/>
      <w:marBottom w:val="0"/>
      <w:divBdr>
        <w:top w:val="none" w:sz="0" w:space="0" w:color="auto"/>
        <w:left w:val="none" w:sz="0" w:space="0" w:color="auto"/>
        <w:bottom w:val="none" w:sz="0" w:space="0" w:color="auto"/>
        <w:right w:val="none" w:sz="0" w:space="0" w:color="auto"/>
      </w:divBdr>
    </w:div>
    <w:div w:id="1263342374">
      <w:bodyDiv w:val="1"/>
      <w:marLeft w:val="0"/>
      <w:marRight w:val="0"/>
      <w:marTop w:val="0"/>
      <w:marBottom w:val="0"/>
      <w:divBdr>
        <w:top w:val="none" w:sz="0" w:space="0" w:color="auto"/>
        <w:left w:val="none" w:sz="0" w:space="0" w:color="auto"/>
        <w:bottom w:val="none" w:sz="0" w:space="0" w:color="auto"/>
        <w:right w:val="none" w:sz="0" w:space="0" w:color="auto"/>
      </w:divBdr>
    </w:div>
    <w:div w:id="1290090448">
      <w:bodyDiv w:val="1"/>
      <w:marLeft w:val="0"/>
      <w:marRight w:val="0"/>
      <w:marTop w:val="0"/>
      <w:marBottom w:val="0"/>
      <w:divBdr>
        <w:top w:val="none" w:sz="0" w:space="0" w:color="auto"/>
        <w:left w:val="none" w:sz="0" w:space="0" w:color="auto"/>
        <w:bottom w:val="none" w:sz="0" w:space="0" w:color="auto"/>
        <w:right w:val="none" w:sz="0" w:space="0" w:color="auto"/>
      </w:divBdr>
    </w:div>
    <w:div w:id="1395617634">
      <w:bodyDiv w:val="1"/>
      <w:marLeft w:val="0"/>
      <w:marRight w:val="0"/>
      <w:marTop w:val="0"/>
      <w:marBottom w:val="0"/>
      <w:divBdr>
        <w:top w:val="none" w:sz="0" w:space="0" w:color="auto"/>
        <w:left w:val="none" w:sz="0" w:space="0" w:color="auto"/>
        <w:bottom w:val="none" w:sz="0" w:space="0" w:color="auto"/>
        <w:right w:val="none" w:sz="0" w:space="0" w:color="auto"/>
      </w:divBdr>
    </w:div>
    <w:div w:id="1443956758">
      <w:bodyDiv w:val="1"/>
      <w:marLeft w:val="0"/>
      <w:marRight w:val="0"/>
      <w:marTop w:val="0"/>
      <w:marBottom w:val="0"/>
      <w:divBdr>
        <w:top w:val="none" w:sz="0" w:space="0" w:color="auto"/>
        <w:left w:val="none" w:sz="0" w:space="0" w:color="auto"/>
        <w:bottom w:val="none" w:sz="0" w:space="0" w:color="auto"/>
        <w:right w:val="none" w:sz="0" w:space="0" w:color="auto"/>
      </w:divBdr>
    </w:div>
    <w:div w:id="1445928376">
      <w:bodyDiv w:val="1"/>
      <w:marLeft w:val="0"/>
      <w:marRight w:val="0"/>
      <w:marTop w:val="0"/>
      <w:marBottom w:val="0"/>
      <w:divBdr>
        <w:top w:val="none" w:sz="0" w:space="0" w:color="auto"/>
        <w:left w:val="none" w:sz="0" w:space="0" w:color="auto"/>
        <w:bottom w:val="none" w:sz="0" w:space="0" w:color="auto"/>
        <w:right w:val="none" w:sz="0" w:space="0" w:color="auto"/>
      </w:divBdr>
    </w:div>
    <w:div w:id="1490442582">
      <w:bodyDiv w:val="1"/>
      <w:marLeft w:val="0"/>
      <w:marRight w:val="0"/>
      <w:marTop w:val="0"/>
      <w:marBottom w:val="0"/>
      <w:divBdr>
        <w:top w:val="none" w:sz="0" w:space="0" w:color="auto"/>
        <w:left w:val="none" w:sz="0" w:space="0" w:color="auto"/>
        <w:bottom w:val="none" w:sz="0" w:space="0" w:color="auto"/>
        <w:right w:val="none" w:sz="0" w:space="0" w:color="auto"/>
      </w:divBdr>
    </w:div>
    <w:div w:id="1500122262">
      <w:bodyDiv w:val="1"/>
      <w:marLeft w:val="0"/>
      <w:marRight w:val="0"/>
      <w:marTop w:val="0"/>
      <w:marBottom w:val="0"/>
      <w:divBdr>
        <w:top w:val="none" w:sz="0" w:space="0" w:color="auto"/>
        <w:left w:val="none" w:sz="0" w:space="0" w:color="auto"/>
        <w:bottom w:val="none" w:sz="0" w:space="0" w:color="auto"/>
        <w:right w:val="none" w:sz="0" w:space="0" w:color="auto"/>
      </w:divBdr>
      <w:divsChild>
        <w:div w:id="1764763466">
          <w:marLeft w:val="0"/>
          <w:marRight w:val="0"/>
          <w:marTop w:val="0"/>
          <w:marBottom w:val="0"/>
          <w:divBdr>
            <w:top w:val="none" w:sz="0" w:space="0" w:color="auto"/>
            <w:left w:val="none" w:sz="0" w:space="0" w:color="auto"/>
            <w:bottom w:val="none" w:sz="0" w:space="0" w:color="auto"/>
            <w:right w:val="none" w:sz="0" w:space="0" w:color="auto"/>
          </w:divBdr>
        </w:div>
      </w:divsChild>
    </w:div>
    <w:div w:id="1514959379">
      <w:bodyDiv w:val="1"/>
      <w:marLeft w:val="0"/>
      <w:marRight w:val="0"/>
      <w:marTop w:val="0"/>
      <w:marBottom w:val="0"/>
      <w:divBdr>
        <w:top w:val="none" w:sz="0" w:space="0" w:color="auto"/>
        <w:left w:val="none" w:sz="0" w:space="0" w:color="auto"/>
        <w:bottom w:val="none" w:sz="0" w:space="0" w:color="auto"/>
        <w:right w:val="none" w:sz="0" w:space="0" w:color="auto"/>
      </w:divBdr>
    </w:div>
    <w:div w:id="1562669541">
      <w:bodyDiv w:val="1"/>
      <w:marLeft w:val="0"/>
      <w:marRight w:val="0"/>
      <w:marTop w:val="0"/>
      <w:marBottom w:val="0"/>
      <w:divBdr>
        <w:top w:val="none" w:sz="0" w:space="0" w:color="auto"/>
        <w:left w:val="none" w:sz="0" w:space="0" w:color="auto"/>
        <w:bottom w:val="none" w:sz="0" w:space="0" w:color="auto"/>
        <w:right w:val="none" w:sz="0" w:space="0" w:color="auto"/>
      </w:divBdr>
    </w:div>
    <w:div w:id="1652908660">
      <w:bodyDiv w:val="1"/>
      <w:marLeft w:val="0"/>
      <w:marRight w:val="0"/>
      <w:marTop w:val="0"/>
      <w:marBottom w:val="0"/>
      <w:divBdr>
        <w:top w:val="none" w:sz="0" w:space="0" w:color="auto"/>
        <w:left w:val="none" w:sz="0" w:space="0" w:color="auto"/>
        <w:bottom w:val="none" w:sz="0" w:space="0" w:color="auto"/>
        <w:right w:val="none" w:sz="0" w:space="0" w:color="auto"/>
      </w:divBdr>
    </w:div>
    <w:div w:id="1681007372">
      <w:bodyDiv w:val="1"/>
      <w:marLeft w:val="0"/>
      <w:marRight w:val="0"/>
      <w:marTop w:val="0"/>
      <w:marBottom w:val="0"/>
      <w:divBdr>
        <w:top w:val="none" w:sz="0" w:space="0" w:color="auto"/>
        <w:left w:val="none" w:sz="0" w:space="0" w:color="auto"/>
        <w:bottom w:val="none" w:sz="0" w:space="0" w:color="auto"/>
        <w:right w:val="none" w:sz="0" w:space="0" w:color="auto"/>
      </w:divBdr>
      <w:divsChild>
        <w:div w:id="537595027">
          <w:marLeft w:val="0"/>
          <w:marRight w:val="0"/>
          <w:marTop w:val="0"/>
          <w:marBottom w:val="0"/>
          <w:divBdr>
            <w:top w:val="none" w:sz="0" w:space="0" w:color="auto"/>
            <w:left w:val="none" w:sz="0" w:space="0" w:color="auto"/>
            <w:bottom w:val="none" w:sz="0" w:space="0" w:color="auto"/>
            <w:right w:val="none" w:sz="0" w:space="0" w:color="auto"/>
          </w:divBdr>
        </w:div>
      </w:divsChild>
    </w:div>
    <w:div w:id="1697197172">
      <w:bodyDiv w:val="1"/>
      <w:marLeft w:val="0"/>
      <w:marRight w:val="0"/>
      <w:marTop w:val="0"/>
      <w:marBottom w:val="0"/>
      <w:divBdr>
        <w:top w:val="none" w:sz="0" w:space="0" w:color="auto"/>
        <w:left w:val="none" w:sz="0" w:space="0" w:color="auto"/>
        <w:bottom w:val="none" w:sz="0" w:space="0" w:color="auto"/>
        <w:right w:val="none" w:sz="0" w:space="0" w:color="auto"/>
      </w:divBdr>
    </w:div>
    <w:div w:id="1731223306">
      <w:bodyDiv w:val="1"/>
      <w:marLeft w:val="0"/>
      <w:marRight w:val="0"/>
      <w:marTop w:val="0"/>
      <w:marBottom w:val="0"/>
      <w:divBdr>
        <w:top w:val="none" w:sz="0" w:space="0" w:color="auto"/>
        <w:left w:val="none" w:sz="0" w:space="0" w:color="auto"/>
        <w:bottom w:val="none" w:sz="0" w:space="0" w:color="auto"/>
        <w:right w:val="none" w:sz="0" w:space="0" w:color="auto"/>
      </w:divBdr>
    </w:div>
    <w:div w:id="1749378168">
      <w:bodyDiv w:val="1"/>
      <w:marLeft w:val="0"/>
      <w:marRight w:val="0"/>
      <w:marTop w:val="0"/>
      <w:marBottom w:val="0"/>
      <w:divBdr>
        <w:top w:val="none" w:sz="0" w:space="0" w:color="auto"/>
        <w:left w:val="none" w:sz="0" w:space="0" w:color="auto"/>
        <w:bottom w:val="none" w:sz="0" w:space="0" w:color="auto"/>
        <w:right w:val="none" w:sz="0" w:space="0" w:color="auto"/>
      </w:divBdr>
    </w:div>
    <w:div w:id="1760325593">
      <w:bodyDiv w:val="1"/>
      <w:marLeft w:val="0"/>
      <w:marRight w:val="0"/>
      <w:marTop w:val="0"/>
      <w:marBottom w:val="0"/>
      <w:divBdr>
        <w:top w:val="none" w:sz="0" w:space="0" w:color="auto"/>
        <w:left w:val="none" w:sz="0" w:space="0" w:color="auto"/>
        <w:bottom w:val="none" w:sz="0" w:space="0" w:color="auto"/>
        <w:right w:val="none" w:sz="0" w:space="0" w:color="auto"/>
      </w:divBdr>
    </w:div>
    <w:div w:id="1769349777">
      <w:bodyDiv w:val="1"/>
      <w:marLeft w:val="0"/>
      <w:marRight w:val="0"/>
      <w:marTop w:val="0"/>
      <w:marBottom w:val="0"/>
      <w:divBdr>
        <w:top w:val="none" w:sz="0" w:space="0" w:color="auto"/>
        <w:left w:val="none" w:sz="0" w:space="0" w:color="auto"/>
        <w:bottom w:val="none" w:sz="0" w:space="0" w:color="auto"/>
        <w:right w:val="none" w:sz="0" w:space="0" w:color="auto"/>
      </w:divBdr>
    </w:div>
    <w:div w:id="1826117278">
      <w:bodyDiv w:val="1"/>
      <w:marLeft w:val="0"/>
      <w:marRight w:val="0"/>
      <w:marTop w:val="0"/>
      <w:marBottom w:val="0"/>
      <w:divBdr>
        <w:top w:val="none" w:sz="0" w:space="0" w:color="auto"/>
        <w:left w:val="none" w:sz="0" w:space="0" w:color="auto"/>
        <w:bottom w:val="none" w:sz="0" w:space="0" w:color="auto"/>
        <w:right w:val="none" w:sz="0" w:space="0" w:color="auto"/>
      </w:divBdr>
    </w:div>
    <w:div w:id="1829440222">
      <w:bodyDiv w:val="1"/>
      <w:marLeft w:val="0"/>
      <w:marRight w:val="0"/>
      <w:marTop w:val="0"/>
      <w:marBottom w:val="0"/>
      <w:divBdr>
        <w:top w:val="none" w:sz="0" w:space="0" w:color="auto"/>
        <w:left w:val="none" w:sz="0" w:space="0" w:color="auto"/>
        <w:bottom w:val="none" w:sz="0" w:space="0" w:color="auto"/>
        <w:right w:val="none" w:sz="0" w:space="0" w:color="auto"/>
      </w:divBdr>
    </w:div>
    <w:div w:id="1847865340">
      <w:bodyDiv w:val="1"/>
      <w:marLeft w:val="0"/>
      <w:marRight w:val="0"/>
      <w:marTop w:val="0"/>
      <w:marBottom w:val="0"/>
      <w:divBdr>
        <w:top w:val="none" w:sz="0" w:space="0" w:color="auto"/>
        <w:left w:val="none" w:sz="0" w:space="0" w:color="auto"/>
        <w:bottom w:val="none" w:sz="0" w:space="0" w:color="auto"/>
        <w:right w:val="none" w:sz="0" w:space="0" w:color="auto"/>
      </w:divBdr>
    </w:div>
    <w:div w:id="1875842347">
      <w:bodyDiv w:val="1"/>
      <w:marLeft w:val="0"/>
      <w:marRight w:val="0"/>
      <w:marTop w:val="0"/>
      <w:marBottom w:val="0"/>
      <w:divBdr>
        <w:top w:val="none" w:sz="0" w:space="0" w:color="auto"/>
        <w:left w:val="none" w:sz="0" w:space="0" w:color="auto"/>
        <w:bottom w:val="none" w:sz="0" w:space="0" w:color="auto"/>
        <w:right w:val="none" w:sz="0" w:space="0" w:color="auto"/>
      </w:divBdr>
    </w:div>
    <w:div w:id="1943604239">
      <w:bodyDiv w:val="1"/>
      <w:marLeft w:val="0"/>
      <w:marRight w:val="0"/>
      <w:marTop w:val="0"/>
      <w:marBottom w:val="0"/>
      <w:divBdr>
        <w:top w:val="none" w:sz="0" w:space="0" w:color="auto"/>
        <w:left w:val="none" w:sz="0" w:space="0" w:color="auto"/>
        <w:bottom w:val="none" w:sz="0" w:space="0" w:color="auto"/>
        <w:right w:val="none" w:sz="0" w:space="0" w:color="auto"/>
      </w:divBdr>
    </w:div>
    <w:div w:id="1955596413">
      <w:bodyDiv w:val="1"/>
      <w:marLeft w:val="0"/>
      <w:marRight w:val="0"/>
      <w:marTop w:val="0"/>
      <w:marBottom w:val="0"/>
      <w:divBdr>
        <w:top w:val="none" w:sz="0" w:space="0" w:color="auto"/>
        <w:left w:val="none" w:sz="0" w:space="0" w:color="auto"/>
        <w:bottom w:val="none" w:sz="0" w:space="0" w:color="auto"/>
        <w:right w:val="none" w:sz="0" w:space="0" w:color="auto"/>
      </w:divBdr>
    </w:div>
    <w:div w:id="2002851551">
      <w:bodyDiv w:val="1"/>
      <w:marLeft w:val="0"/>
      <w:marRight w:val="0"/>
      <w:marTop w:val="0"/>
      <w:marBottom w:val="0"/>
      <w:divBdr>
        <w:top w:val="none" w:sz="0" w:space="0" w:color="auto"/>
        <w:left w:val="none" w:sz="0" w:space="0" w:color="auto"/>
        <w:bottom w:val="none" w:sz="0" w:space="0" w:color="auto"/>
        <w:right w:val="none" w:sz="0" w:space="0" w:color="auto"/>
      </w:divBdr>
    </w:div>
    <w:div w:id="2008364996">
      <w:bodyDiv w:val="1"/>
      <w:marLeft w:val="0"/>
      <w:marRight w:val="0"/>
      <w:marTop w:val="0"/>
      <w:marBottom w:val="0"/>
      <w:divBdr>
        <w:top w:val="none" w:sz="0" w:space="0" w:color="auto"/>
        <w:left w:val="none" w:sz="0" w:space="0" w:color="auto"/>
        <w:bottom w:val="none" w:sz="0" w:space="0" w:color="auto"/>
        <w:right w:val="none" w:sz="0" w:space="0" w:color="auto"/>
      </w:divBdr>
    </w:div>
    <w:div w:id="2081170821">
      <w:bodyDiv w:val="1"/>
      <w:marLeft w:val="0"/>
      <w:marRight w:val="0"/>
      <w:marTop w:val="0"/>
      <w:marBottom w:val="0"/>
      <w:divBdr>
        <w:top w:val="none" w:sz="0" w:space="0" w:color="auto"/>
        <w:left w:val="none" w:sz="0" w:space="0" w:color="auto"/>
        <w:bottom w:val="none" w:sz="0" w:space="0" w:color="auto"/>
        <w:right w:val="none" w:sz="0" w:space="0" w:color="auto"/>
      </w:divBdr>
    </w:div>
    <w:div w:id="20823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nual.jointcommission.org/releases/TJC2015B2/AppendixATJC.html" TargetMode="External"/><Relationship Id="rId21" Type="http://schemas.openxmlformats.org/officeDocument/2006/relationships/hyperlink" Target="http://www.leapfroggroup.org/survey-materials/data-accuracy" TargetMode="External"/><Relationship Id="rId42" Type="http://schemas.openxmlformats.org/officeDocument/2006/relationships/hyperlink" Target="http://leapfroggroup.org/compare-hospitals" TargetMode="External"/><Relationship Id="rId63" Type="http://schemas.openxmlformats.org/officeDocument/2006/relationships/header" Target="header6.xml"/><Relationship Id="rId84" Type="http://schemas.openxmlformats.org/officeDocument/2006/relationships/hyperlink" Target="https://manual.jointcommission.org/releases/TJC2015A1/AppendixATJC.html" TargetMode="External"/><Relationship Id="rId138" Type="http://schemas.openxmlformats.org/officeDocument/2006/relationships/hyperlink" Target="https://manual.jointcommission.org/releases/TJC2015B2/DataElem0269.html" TargetMode="External"/><Relationship Id="rId159" Type="http://schemas.openxmlformats.org/officeDocument/2006/relationships/hyperlink" Target="https://www.ache.org/policy/exec-ensure-patsafe.cfm" TargetMode="External"/><Relationship Id="rId170" Type="http://schemas.openxmlformats.org/officeDocument/2006/relationships/hyperlink" Target="http://www.cdc.gov/nhsn/PDFs/pscManual/15LocationsDescriptions_current.pdf" TargetMode="External"/><Relationship Id="rId191" Type="http://schemas.openxmlformats.org/officeDocument/2006/relationships/hyperlink" Target="http://www.cdc.gov/nhsn/forms/instr/57_103-TOI.pdf" TargetMode="External"/><Relationship Id="rId205" Type="http://schemas.openxmlformats.org/officeDocument/2006/relationships/hyperlink" Target="https://leapfroghospitalsurvey.zendesk.com" TargetMode="External"/><Relationship Id="rId107" Type="http://schemas.openxmlformats.org/officeDocument/2006/relationships/hyperlink" Target="https://manual.jointcommission.org/releases/TJC2015B2/MIF0167.html" TargetMode="External"/><Relationship Id="rId11" Type="http://schemas.openxmlformats.org/officeDocument/2006/relationships/footer" Target="footer1.xml"/><Relationship Id="rId32" Type="http://schemas.openxmlformats.org/officeDocument/2006/relationships/hyperlink" Target="http://leapfroggroup.org/survey-materials/get-started" TargetMode="External"/><Relationship Id="rId53" Type="http://schemas.openxmlformats.org/officeDocument/2006/relationships/hyperlink" Target="https://leapfroghospitalsurvey.zendesk.com" TargetMode="External"/><Relationship Id="rId74" Type="http://schemas.openxmlformats.org/officeDocument/2006/relationships/header" Target="header10.xml"/><Relationship Id="rId128" Type="http://schemas.openxmlformats.org/officeDocument/2006/relationships/hyperlink" Target="https://manual.jointcommission.org/releases/TJC2015A1/MIF0168.html" TargetMode="External"/><Relationship Id="rId149" Type="http://schemas.openxmlformats.org/officeDocument/2006/relationships/hyperlink" Target="http://leapfroggroup.org/survey-materials/survey-and-cpoe-materials" TargetMode="External"/><Relationship Id="rId5" Type="http://schemas.openxmlformats.org/officeDocument/2006/relationships/settings" Target="settings.xml"/><Relationship Id="rId95" Type="http://schemas.openxmlformats.org/officeDocument/2006/relationships/hyperlink" Target="https://manual.jointcommission.org/releases/TJC2015A1/AppendixATJC.html" TargetMode="External"/><Relationship Id="rId160" Type="http://schemas.openxmlformats.org/officeDocument/2006/relationships/hyperlink" Target="http://www.cdc.gov/handhygiene/Guidelines.html" TargetMode="External"/><Relationship Id="rId181" Type="http://schemas.openxmlformats.org/officeDocument/2006/relationships/image" Target="media/image4.JPG"/><Relationship Id="rId22" Type="http://schemas.openxmlformats.org/officeDocument/2006/relationships/hyperlink" Target="http://leapfroggroup.org/survey-materials/get-started" TargetMode="External"/><Relationship Id="rId43" Type="http://schemas.openxmlformats.org/officeDocument/2006/relationships/hyperlink" Target="http://leapfroggroup.org/survey-materials/prepare-cpoe-tool" TargetMode="External"/><Relationship Id="rId64" Type="http://schemas.openxmlformats.org/officeDocument/2006/relationships/header" Target="header7.xml"/><Relationship Id="rId118" Type="http://schemas.openxmlformats.org/officeDocument/2006/relationships/hyperlink" Target="https://manual.jointcommission.org/releases/TJC2015B2/AppendixATJC.html" TargetMode="External"/><Relationship Id="rId139" Type="http://schemas.openxmlformats.org/officeDocument/2006/relationships/hyperlink" Target="https://manual.jointcommission.org/releases/TJC2015B2/AppendixATJC.html" TargetMode="External"/><Relationship Id="rId85" Type="http://schemas.openxmlformats.org/officeDocument/2006/relationships/hyperlink" Target="https://manual.jointcommission.org/releases/TJC2015A1/AppendixATJC.html" TargetMode="External"/><Relationship Id="rId150" Type="http://schemas.openxmlformats.org/officeDocument/2006/relationships/header" Target="header12.xml"/><Relationship Id="rId171" Type="http://schemas.openxmlformats.org/officeDocument/2006/relationships/hyperlink" Target="http://www.cdc.gov/nhsn/acute-care-hospital/clabsi/index.html" TargetMode="External"/><Relationship Id="rId192" Type="http://schemas.openxmlformats.org/officeDocument/2006/relationships/hyperlink" Target="http://www.cdc.gov/getsmart/healthcare/implementation/core-elements.html" TargetMode="External"/><Relationship Id="rId206" Type="http://schemas.openxmlformats.org/officeDocument/2006/relationships/hyperlink" Target="https://www.medicare.gov/hospitalcompare/search.html" TargetMode="External"/><Relationship Id="rId12" Type="http://schemas.openxmlformats.org/officeDocument/2006/relationships/hyperlink" Target="http://leapfroggroup.org/survey" TargetMode="External"/><Relationship Id="rId33" Type="http://schemas.openxmlformats.org/officeDocument/2006/relationships/hyperlink" Target="http://leapfroggroup.org/survey-materials/deadlines" TargetMode="External"/><Relationship Id="rId108" Type="http://schemas.openxmlformats.org/officeDocument/2006/relationships/hyperlink" Target="https://manual.jointcommission.org/releases/TJC2015A1/AppendixATJC.html" TargetMode="External"/><Relationship Id="rId129" Type="http://schemas.openxmlformats.org/officeDocument/2006/relationships/hyperlink" Target="https://manual.jointcommission.org/releases/TJC2015B2/MIF0168.html" TargetMode="External"/><Relationship Id="rId54" Type="http://schemas.openxmlformats.org/officeDocument/2006/relationships/hyperlink" Target="mailto:helpdesk@leapfroggroup.org" TargetMode="External"/><Relationship Id="rId75" Type="http://schemas.openxmlformats.org/officeDocument/2006/relationships/header" Target="header11.xml"/><Relationship Id="rId96" Type="http://schemas.openxmlformats.org/officeDocument/2006/relationships/hyperlink" Target="https://manual.jointcommission.org/releases/TJC2015A1/AppendixATJC.html" TargetMode="External"/><Relationship Id="rId140" Type="http://schemas.openxmlformats.org/officeDocument/2006/relationships/hyperlink" Target="https://manual.jointcommission.org/releases/TJC2015B2/DataElem0265.html" TargetMode="External"/><Relationship Id="rId161" Type="http://schemas.openxmlformats.org/officeDocument/2006/relationships/header" Target="header16.xml"/><Relationship Id="rId182" Type="http://schemas.openxmlformats.org/officeDocument/2006/relationships/hyperlink" Target="http://www.cdc.gov/nhsn/PDFs/Newsletters/NHSN_NL_OCT_2010SE_final.pdf" TargetMode="External"/><Relationship Id="rId6" Type="http://schemas.openxmlformats.org/officeDocument/2006/relationships/webSettings" Target="webSettings.xml"/><Relationship Id="rId23" Type="http://schemas.openxmlformats.org/officeDocument/2006/relationships/hyperlink" Target="http://leapfroggroup.org/ratings-reports/survey-content" TargetMode="External"/><Relationship Id="rId119" Type="http://schemas.openxmlformats.org/officeDocument/2006/relationships/hyperlink" Target="https://manual.jointcommission.org/releases/TJC2015B2/DataElem0265.html" TargetMode="External"/><Relationship Id="rId44" Type="http://schemas.openxmlformats.org/officeDocument/2006/relationships/hyperlink" Target="http://www.leapfroggroup.org/survey-materials/data-accuracy" TargetMode="External"/><Relationship Id="rId65" Type="http://schemas.openxmlformats.org/officeDocument/2006/relationships/hyperlink" Target="http://leapfroggroup.org/ratings-reports/survey-content" TargetMode="External"/><Relationship Id="rId86" Type="http://schemas.openxmlformats.org/officeDocument/2006/relationships/hyperlink" Target="https://manual.jointcommission.org/releases/TJC2015A1/AppendixATJC.html" TargetMode="External"/><Relationship Id="rId130" Type="http://schemas.openxmlformats.org/officeDocument/2006/relationships/hyperlink" Target="https://manual.jointcommission.org/releases/TJC2015A1/AppendixATJC.html" TargetMode="External"/><Relationship Id="rId151" Type="http://schemas.openxmlformats.org/officeDocument/2006/relationships/header" Target="header13.xml"/><Relationship Id="rId172" Type="http://schemas.openxmlformats.org/officeDocument/2006/relationships/hyperlink" Target="http://www.cdc.gov/nhsn/PDFs/pscManual/15LocationsDescriptions_current.pdf" TargetMode="External"/><Relationship Id="rId193" Type="http://schemas.openxmlformats.org/officeDocument/2006/relationships/hyperlink" Target="http://www.cdc.gov/vitalsigns/antibiotic-prescribing-practices/index.html" TargetMode="External"/><Relationship Id="rId207" Type="http://schemas.openxmlformats.org/officeDocument/2006/relationships/image" Target="media/image5.PNG"/><Relationship Id="rId13" Type="http://schemas.openxmlformats.org/officeDocument/2006/relationships/hyperlink" Target="https://leapfroghospitalsurvey.org" TargetMode="External"/><Relationship Id="rId109" Type="http://schemas.openxmlformats.org/officeDocument/2006/relationships/hyperlink" Target="https://manual.jointcommission.org/releases/TJC2015A1/AppendixATJC.html" TargetMode="External"/><Relationship Id="rId34" Type="http://schemas.openxmlformats.org/officeDocument/2006/relationships/hyperlink" Target="http://leapfroggroup.org/survey-materials/prepare-cpoe-tool" TargetMode="External"/><Relationship Id="rId55" Type="http://schemas.openxmlformats.org/officeDocument/2006/relationships/hyperlink" Target="http://leapfroggroup.org/survey-materials/get-help" TargetMode="External"/><Relationship Id="rId76" Type="http://schemas.openxmlformats.org/officeDocument/2006/relationships/hyperlink" Target="http://leapfroggroup.org/ratings-reports/survey-content" TargetMode="External"/><Relationship Id="rId97" Type="http://schemas.openxmlformats.org/officeDocument/2006/relationships/hyperlink" Target="https://manual.jointcommission.org/releases/TJC2015A1/DataElem0263.html" TargetMode="External"/><Relationship Id="rId120" Type="http://schemas.openxmlformats.org/officeDocument/2006/relationships/hyperlink" Target="https://manual.jointcommission.org/releases/TJC2015B2/MIF0167.html" TargetMode="External"/><Relationship Id="rId141" Type="http://schemas.openxmlformats.org/officeDocument/2006/relationships/hyperlink" Target="https://manual.jointcommission.org/releases/TJC2015B2/MIF0168.html" TargetMode="External"/><Relationship Id="rId7" Type="http://schemas.openxmlformats.org/officeDocument/2006/relationships/footnotes" Target="footnotes.xml"/><Relationship Id="rId162" Type="http://schemas.openxmlformats.org/officeDocument/2006/relationships/header" Target="header17.xml"/><Relationship Id="rId183" Type="http://schemas.openxmlformats.org/officeDocument/2006/relationships/hyperlink" Target="http://leapfroggroup.org/survey-materials/multi-campus-reporting-policy" TargetMode="External"/><Relationship Id="rId24" Type="http://schemas.openxmlformats.org/officeDocument/2006/relationships/hyperlink" Target="http://leapfroggroup.org/survey-materials/prepare-cpoe-tool" TargetMode="External"/><Relationship Id="rId45" Type="http://schemas.openxmlformats.org/officeDocument/2006/relationships/hyperlink" Target="http://leapfroggroup.org/compare-hospitals" TargetMode="External"/><Relationship Id="rId66" Type="http://schemas.openxmlformats.org/officeDocument/2006/relationships/hyperlink" Target="http://leapfroggroup.org/survey-materials/scoring-and-results" TargetMode="External"/><Relationship Id="rId87" Type="http://schemas.openxmlformats.org/officeDocument/2006/relationships/hyperlink" Target="https://manual.jointcommission.org/releases/TJC2015A1/AppendixATJC.html" TargetMode="External"/><Relationship Id="rId110" Type="http://schemas.openxmlformats.org/officeDocument/2006/relationships/hyperlink" Target="https://manual.jointcommission.org/releases/TJC2015A1/AppendixATJC.html" TargetMode="External"/><Relationship Id="rId131" Type="http://schemas.openxmlformats.org/officeDocument/2006/relationships/hyperlink" Target="https://manual.jointcommission.org/releases/TJC2015A1/AppendixATJC.html" TargetMode="External"/><Relationship Id="rId152" Type="http://schemas.openxmlformats.org/officeDocument/2006/relationships/hyperlink" Target="http://leapfroggroup.org/ratings-reports/survey-content" TargetMode="External"/><Relationship Id="rId173" Type="http://schemas.openxmlformats.org/officeDocument/2006/relationships/hyperlink" Target="http://www.cdc.gov/nhsn/acute-care-hospital/CAUTI/index.html" TargetMode="External"/><Relationship Id="rId194" Type="http://schemas.openxmlformats.org/officeDocument/2006/relationships/header" Target="header19.xml"/><Relationship Id="rId208" Type="http://schemas.openxmlformats.org/officeDocument/2006/relationships/image" Target="media/image6.png"/><Relationship Id="rId19" Type="http://schemas.openxmlformats.org/officeDocument/2006/relationships/hyperlink" Target="http://www.hospitalsafetyscore.org" TargetMode="External"/><Relationship Id="rId14" Type="http://schemas.openxmlformats.org/officeDocument/2006/relationships/hyperlink" Target="https://leapfroggroup.org/survey" TargetMode="External"/><Relationship Id="rId30" Type="http://schemas.openxmlformats.org/officeDocument/2006/relationships/hyperlink" Target="http://leapfroggroup.org/survey-materials/survey-and-cpoe-materials" TargetMode="External"/><Relationship Id="rId35" Type="http://schemas.openxmlformats.org/officeDocument/2006/relationships/hyperlink" Target="http://www.leapfroggroup.org/survey-materials/data-accuracy" TargetMode="External"/><Relationship Id="rId56" Type="http://schemas.openxmlformats.org/officeDocument/2006/relationships/header" Target="header2.xml"/><Relationship Id="rId77" Type="http://schemas.openxmlformats.org/officeDocument/2006/relationships/hyperlink" Target="http://leapfroggroup.org/survey-materials/scoring-and-results" TargetMode="External"/><Relationship Id="rId100" Type="http://schemas.openxmlformats.org/officeDocument/2006/relationships/hyperlink" Target="https://manual.jointcommission.org/releases/TJC2015B2/AppendixATJC.html" TargetMode="External"/><Relationship Id="rId105" Type="http://schemas.openxmlformats.org/officeDocument/2006/relationships/hyperlink" Target="http://leapfroggroup.org/survey-materials/multi-campus-reporting-policy" TargetMode="External"/><Relationship Id="rId126" Type="http://schemas.openxmlformats.org/officeDocument/2006/relationships/hyperlink" Target="http://leapfroggroup.org/survey-materials/survey-and-cpoe-materials" TargetMode="External"/><Relationship Id="rId147" Type="http://schemas.openxmlformats.org/officeDocument/2006/relationships/hyperlink" Target="https://manual.jointcommission.org/releases/TJC2015B2/MIF0168.html" TargetMode="External"/><Relationship Id="rId168" Type="http://schemas.openxmlformats.org/officeDocument/2006/relationships/hyperlink" Target="http://www.qualityforum.org/WorkArea/linkit.aspx?LinkIdentifier=id&amp;ItemID=69573" TargetMode="External"/><Relationship Id="rId8" Type="http://schemas.openxmlformats.org/officeDocument/2006/relationships/endnotes" Target="endnotes.xml"/><Relationship Id="rId51" Type="http://schemas.openxmlformats.org/officeDocument/2006/relationships/hyperlink" Target="http://www.hospitalsafetyscore.org/for-hospitals/updates-and-timelines-for-hospitals" TargetMode="External"/><Relationship Id="rId72" Type="http://schemas.openxmlformats.org/officeDocument/2006/relationships/hyperlink" Target="http://leapfroggroup.org/survey-materials/scoring-and-results" TargetMode="External"/><Relationship Id="rId93" Type="http://schemas.openxmlformats.org/officeDocument/2006/relationships/hyperlink" Target="https://manual.jointcommission.org/releases/TJC2015B2/DataElem0265.html" TargetMode="External"/><Relationship Id="rId98" Type="http://schemas.openxmlformats.org/officeDocument/2006/relationships/hyperlink" Target="https://manual.jointcommission.org/releases/TJC2015A1/DataElem0520.html" TargetMode="External"/><Relationship Id="rId121" Type="http://schemas.openxmlformats.org/officeDocument/2006/relationships/hyperlink" Target="https://manual.jointcommission.org/releases/TJC2015A1/AppendixATJC.html" TargetMode="External"/><Relationship Id="rId142" Type="http://schemas.openxmlformats.org/officeDocument/2006/relationships/hyperlink" Target="https://manual.jointcommission.org/releases/TJC2015A1/DataElem0268.html" TargetMode="External"/><Relationship Id="rId163" Type="http://schemas.openxmlformats.org/officeDocument/2006/relationships/hyperlink" Target="http://leapfroggroup.org/ratings-reports/survey-content" TargetMode="External"/><Relationship Id="rId184" Type="http://schemas.openxmlformats.org/officeDocument/2006/relationships/hyperlink" Target="https://www.cms.gov/ICD10Manual/version33-fullcode-cms/fullcode_cms/P0386.html" TargetMode="External"/><Relationship Id="rId189" Type="http://schemas.openxmlformats.org/officeDocument/2006/relationships/header" Target="header18.xml"/><Relationship Id="rId3" Type="http://schemas.openxmlformats.org/officeDocument/2006/relationships/styles" Target="styles.xml"/><Relationship Id="rId25" Type="http://schemas.openxmlformats.org/officeDocument/2006/relationships/hyperlink" Target="http://leapfroggroup.org/compare-hospitals" TargetMode="External"/><Relationship Id="rId46" Type="http://schemas.openxmlformats.org/officeDocument/2006/relationships/hyperlink" Target="http://www.leapfroggroup.org/survey-materials/data-accuracy" TargetMode="External"/><Relationship Id="rId67" Type="http://schemas.openxmlformats.org/officeDocument/2006/relationships/hyperlink" Target="http://leapfroggroup.org/survey-materials/multi-campus-reporting-policy" TargetMode="External"/><Relationship Id="rId116" Type="http://schemas.openxmlformats.org/officeDocument/2006/relationships/hyperlink" Target="https://manual.jointcommission.org/releases/TJC2015B2/AppendixATJC.html" TargetMode="External"/><Relationship Id="rId137" Type="http://schemas.openxmlformats.org/officeDocument/2006/relationships/hyperlink" Target="https://manual.jointcommission.org/releases/TJC2015B2/AppendixATJC.html" TargetMode="External"/><Relationship Id="rId158" Type="http://schemas.openxmlformats.org/officeDocument/2006/relationships/hyperlink" Target="http://leapfroggroup.org/survey-materials/survey-and-cpoe-materials" TargetMode="External"/><Relationship Id="rId20" Type="http://schemas.openxmlformats.org/officeDocument/2006/relationships/hyperlink" Target="http://www.hospitalsafetyscore.org/for-hospitals/updates-and-timelines-for-hospitals" TargetMode="External"/><Relationship Id="rId41" Type="http://schemas.openxmlformats.org/officeDocument/2006/relationships/hyperlink" Target="http://www.leapfroggroup.org/survey-materials/data-accuracy" TargetMode="External"/><Relationship Id="rId62" Type="http://schemas.openxmlformats.org/officeDocument/2006/relationships/hyperlink" Target="http://leapfroggroup.org/survey-materials/multi-campus-reporting-policy" TargetMode="External"/><Relationship Id="rId83" Type="http://schemas.openxmlformats.org/officeDocument/2006/relationships/hyperlink" Target="https://manual.jointcommission.org/releases/TJC2015A1/AppendixATJC.html" TargetMode="External"/><Relationship Id="rId88" Type="http://schemas.openxmlformats.org/officeDocument/2006/relationships/hyperlink" Target="https://manual.jointcommission.org/releases/TJC2015A1/DataElem0265.html" TargetMode="External"/><Relationship Id="rId111" Type="http://schemas.openxmlformats.org/officeDocument/2006/relationships/hyperlink" Target="https://manual.jointcommission.org/releases/TJC2015A1/AppendixATJC.html" TargetMode="External"/><Relationship Id="rId132" Type="http://schemas.openxmlformats.org/officeDocument/2006/relationships/hyperlink" Target="https://manual.jointcommission.org/releases/TJC2015A1/AppendixATJC.html" TargetMode="External"/><Relationship Id="rId153" Type="http://schemas.openxmlformats.org/officeDocument/2006/relationships/hyperlink" Target="http://leapfroggroup.org/survey-materials/scoring-and-results" TargetMode="External"/><Relationship Id="rId174" Type="http://schemas.openxmlformats.org/officeDocument/2006/relationships/hyperlink" Target="http://leapfroggroup.org/survey-materials/multi-campus-reporting-policy" TargetMode="External"/><Relationship Id="rId179" Type="http://schemas.openxmlformats.org/officeDocument/2006/relationships/image" Target="media/image3.emf"/><Relationship Id="rId195" Type="http://schemas.openxmlformats.org/officeDocument/2006/relationships/hyperlink" Target="http://leapfroggroup.org/ratings-reports/survey-content" TargetMode="External"/><Relationship Id="rId209" Type="http://schemas.openxmlformats.org/officeDocument/2006/relationships/hyperlink" Target="https://leapfroghospitalsurvey.zendesk.com" TargetMode="External"/><Relationship Id="rId190" Type="http://schemas.openxmlformats.org/officeDocument/2006/relationships/hyperlink" Target="http://www.cdc.gov/nhsn/forms/57.103_pshospsurv_blank.pdf" TargetMode="External"/><Relationship Id="rId204" Type="http://schemas.openxmlformats.org/officeDocument/2006/relationships/hyperlink" Target="https://www.medicare.gov/hospitalcompare/search.html" TargetMode="External"/><Relationship Id="rId15" Type="http://schemas.openxmlformats.org/officeDocument/2006/relationships/hyperlink" Target="http://leapfroggroup.org/survey-materials/multi-campus-reporting-policy" TargetMode="External"/><Relationship Id="rId36" Type="http://schemas.openxmlformats.org/officeDocument/2006/relationships/hyperlink" Target="http://leapfroggroup.org/survey-materials/survey-and-cpoe-materials" TargetMode="External"/><Relationship Id="rId57" Type="http://schemas.openxmlformats.org/officeDocument/2006/relationships/header" Target="header3.xml"/><Relationship Id="rId106" Type="http://schemas.openxmlformats.org/officeDocument/2006/relationships/hyperlink" Target="https://manual.jointcommission.org/releases/TJC2015A1/MIF0167.html" TargetMode="External"/><Relationship Id="rId127" Type="http://schemas.openxmlformats.org/officeDocument/2006/relationships/hyperlink" Target="http://leapfroggroup.org/survey-materials/multi-campus-reporting-policy" TargetMode="External"/><Relationship Id="rId10" Type="http://schemas.openxmlformats.org/officeDocument/2006/relationships/header" Target="header1.xml"/><Relationship Id="rId31" Type="http://schemas.openxmlformats.org/officeDocument/2006/relationships/hyperlink" Target="http://leapfroggroup.org/survey-materials/survey-and-cpoe-materials" TargetMode="External"/><Relationship Id="rId52" Type="http://schemas.openxmlformats.org/officeDocument/2006/relationships/hyperlink" Target="http://www.hospitalsafetyscore.org/for-hospitals/updates-and-timelines-for-hospitals" TargetMode="External"/><Relationship Id="rId73" Type="http://schemas.openxmlformats.org/officeDocument/2006/relationships/hyperlink" Target="http://leapfroggroup.org/survey-materials/scoring-and-results" TargetMode="External"/><Relationship Id="rId78" Type="http://schemas.openxmlformats.org/officeDocument/2006/relationships/hyperlink" Target="http://leapfroggroup.org/survey-materials/multi-campus-reporting-policy" TargetMode="External"/><Relationship Id="rId94" Type="http://schemas.openxmlformats.org/officeDocument/2006/relationships/hyperlink" Target="https://manual.jointcommission.org/releases/TJC2015B2/MIF0166.html" TargetMode="External"/><Relationship Id="rId99" Type="http://schemas.openxmlformats.org/officeDocument/2006/relationships/hyperlink" Target="https://manual.jointcommission.org/releases/TJC2015A1/MIF0166.html" TargetMode="External"/><Relationship Id="rId101" Type="http://schemas.openxmlformats.org/officeDocument/2006/relationships/hyperlink" Target="https://manual.jointcommission.org/releases/TJC2015B2/DataElem0263.html" TargetMode="External"/><Relationship Id="rId122" Type="http://schemas.openxmlformats.org/officeDocument/2006/relationships/hyperlink" Target="https://manual.jointcommission.org/releases/TJC2015A1/MIF0167.html" TargetMode="External"/><Relationship Id="rId143" Type="http://schemas.openxmlformats.org/officeDocument/2006/relationships/hyperlink" Target="https://manual.jointcommission.org/releases/TJC2015A1/AppendixCTJC.html" TargetMode="External"/><Relationship Id="rId148" Type="http://schemas.openxmlformats.org/officeDocument/2006/relationships/hyperlink" Target="https://manual.jointcommission.org/releases/TJC2015A1/DataElem0269.html" TargetMode="External"/><Relationship Id="rId164" Type="http://schemas.openxmlformats.org/officeDocument/2006/relationships/hyperlink" Target="http://leapfroggroup.org/ratings-reports/inpatient-care-management" TargetMode="External"/><Relationship Id="rId169" Type="http://schemas.openxmlformats.org/officeDocument/2006/relationships/hyperlink" Target="http://leapfroggroup.org/survey-materials/multi-campus-reporting-policy" TargetMode="External"/><Relationship Id="rId185" Type="http://schemas.openxmlformats.org/officeDocument/2006/relationships/hyperlink" Target="http://www.leapfroggroup.org/survey-materials/survey-and-cpoe-materials"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www.cdc.gov/nhsn/PDFs/mrsa-cdi/RiskAdjustment-MRSA-CDI.pdf" TargetMode="External"/><Relationship Id="rId210" Type="http://schemas.openxmlformats.org/officeDocument/2006/relationships/header" Target="header23.xml"/><Relationship Id="rId26" Type="http://schemas.openxmlformats.org/officeDocument/2006/relationships/hyperlink" Target="http://www.leapfroggroup.org/survey-materials/data-accuracy" TargetMode="External"/><Relationship Id="rId47" Type="http://schemas.openxmlformats.org/officeDocument/2006/relationships/hyperlink" Target="https://leapfroghospitalsurvey.zendesk.com" TargetMode="External"/><Relationship Id="rId68" Type="http://schemas.openxmlformats.org/officeDocument/2006/relationships/hyperlink" Target="https://www.cms.gov/Regulations-and-Guidance/Legislation/EHRIncentivePrograms/downloads/Stage2_HospitalCore_1_CPOE_MedicationOrders.pdf" TargetMode="External"/><Relationship Id="rId89" Type="http://schemas.openxmlformats.org/officeDocument/2006/relationships/hyperlink" Target="https://manual.jointcommission.org/releases/TJC2015A1/MIF0166.html" TargetMode="External"/><Relationship Id="rId112" Type="http://schemas.openxmlformats.org/officeDocument/2006/relationships/hyperlink" Target="https://manual.jointcommission.org/releases/TJC2015A1/AppendixATJC.html" TargetMode="External"/><Relationship Id="rId133" Type="http://schemas.openxmlformats.org/officeDocument/2006/relationships/hyperlink" Target="https://manual.jointcommission.org/releases/TJC2015A1/AppendixATJC.html" TargetMode="External"/><Relationship Id="rId154" Type="http://schemas.openxmlformats.org/officeDocument/2006/relationships/header" Target="header14.xml"/><Relationship Id="rId175" Type="http://schemas.openxmlformats.org/officeDocument/2006/relationships/hyperlink" Target="http://www.cdc.gov/nhsn/pdfs/cms/cms-ipps-mrsa-sir.pdf" TargetMode="External"/><Relationship Id="rId196" Type="http://schemas.openxmlformats.org/officeDocument/2006/relationships/hyperlink" Target="http://leapfroggroup.org/survey-materials/survey-and-cpoe-materials" TargetMode="External"/><Relationship Id="rId200" Type="http://schemas.openxmlformats.org/officeDocument/2006/relationships/header" Target="header22.xml"/><Relationship Id="rId16" Type="http://schemas.openxmlformats.org/officeDocument/2006/relationships/hyperlink" Target="http://leapfroggroup.org/survey-materials/survey-and-cpoe-materials" TargetMode="External"/><Relationship Id="rId37" Type="http://schemas.openxmlformats.org/officeDocument/2006/relationships/hyperlink" Target="http://leapfroggroup.org/survey-materials/survey-and-cpoe-materials" TargetMode="External"/><Relationship Id="rId58" Type="http://schemas.openxmlformats.org/officeDocument/2006/relationships/hyperlink" Target="http://leapfroggroup.org/survey-materials/multi-campus-reporting-policy" TargetMode="External"/><Relationship Id="rId79" Type="http://schemas.openxmlformats.org/officeDocument/2006/relationships/hyperlink" Target="http://leapfroggroup.org/survey-materials/multi-campus-reporting-policy" TargetMode="External"/><Relationship Id="rId102" Type="http://schemas.openxmlformats.org/officeDocument/2006/relationships/hyperlink" Target="https://manual.jointcommission.org/releases/TJC2015BB/AppendixATJC.html" TargetMode="External"/><Relationship Id="rId123" Type="http://schemas.openxmlformats.org/officeDocument/2006/relationships/hyperlink" Target="https://manual.jointcommission.org/releases/TJC2015B2/AppendixATJC.html" TargetMode="External"/><Relationship Id="rId144" Type="http://schemas.openxmlformats.org/officeDocument/2006/relationships/hyperlink" Target="https://manual.jointcommission.org/releases/TJC2015A1/MIF0168.html" TargetMode="External"/><Relationship Id="rId90" Type="http://schemas.openxmlformats.org/officeDocument/2006/relationships/hyperlink" Target="https://manual.jointcommission.org/releases/TJC2015B2/AppendixATJC.html" TargetMode="External"/><Relationship Id="rId165" Type="http://schemas.openxmlformats.org/officeDocument/2006/relationships/hyperlink" Target="http://leapfroggroup.org/survey-materials/scoring-and-results" TargetMode="External"/><Relationship Id="rId186" Type="http://schemas.openxmlformats.org/officeDocument/2006/relationships/hyperlink" Target="http://www.leapfroggroup.org/survey-materials/survey-and-cpoe-materials" TargetMode="External"/><Relationship Id="rId211" Type="http://schemas.openxmlformats.org/officeDocument/2006/relationships/header" Target="header24.xml"/><Relationship Id="rId27" Type="http://schemas.openxmlformats.org/officeDocument/2006/relationships/hyperlink" Target="http://leapfroggroup.org/survey" TargetMode="External"/><Relationship Id="rId48" Type="http://schemas.openxmlformats.org/officeDocument/2006/relationships/hyperlink" Target="http://leapfroggroup.org/compare-hospitals" TargetMode="External"/><Relationship Id="rId69" Type="http://schemas.openxmlformats.org/officeDocument/2006/relationships/header" Target="header8.xml"/><Relationship Id="rId113" Type="http://schemas.openxmlformats.org/officeDocument/2006/relationships/hyperlink" Target="https://manual.jointcommission.org/releases/TJC2015A1/AppendixATJC.html" TargetMode="External"/><Relationship Id="rId134" Type="http://schemas.openxmlformats.org/officeDocument/2006/relationships/hyperlink" Target="https://manual.jointcommission.org/releases/TJC2015A1/AppendixATJC.html" TargetMode="External"/><Relationship Id="rId80" Type="http://schemas.openxmlformats.org/officeDocument/2006/relationships/hyperlink" Target="https://manual.jointcommission.org/releases/TJC2015A1/MIF0166.html" TargetMode="External"/><Relationship Id="rId155" Type="http://schemas.openxmlformats.org/officeDocument/2006/relationships/header" Target="header15.xml"/><Relationship Id="rId176" Type="http://schemas.openxmlformats.org/officeDocument/2006/relationships/image" Target="media/image2.JPG"/><Relationship Id="rId197" Type="http://schemas.openxmlformats.org/officeDocument/2006/relationships/hyperlink" Target="http://leapfroggroup.org/survey-materials/multi-campus-reporting-policy" TargetMode="External"/><Relationship Id="rId201" Type="http://schemas.openxmlformats.org/officeDocument/2006/relationships/hyperlink" Target="http://leapfroggroup.org/survey-materials/survey-and-cpoe-materials" TargetMode="External"/><Relationship Id="rId17" Type="http://schemas.openxmlformats.org/officeDocument/2006/relationships/hyperlink" Target="http://leapfroggroup.org/compare-hospitals" TargetMode="External"/><Relationship Id="rId38" Type="http://schemas.openxmlformats.org/officeDocument/2006/relationships/hyperlink" Target="http://leapfroggroup.org/survey-materials/get-started" TargetMode="External"/><Relationship Id="rId59" Type="http://schemas.openxmlformats.org/officeDocument/2006/relationships/hyperlink" Target="mailto:info@hospital.com" TargetMode="External"/><Relationship Id="rId103" Type="http://schemas.openxmlformats.org/officeDocument/2006/relationships/hyperlink" Target="https://manual.jointcommission.org/releases/TJC2015B2/DataElem0263.html" TargetMode="External"/><Relationship Id="rId124" Type="http://schemas.openxmlformats.org/officeDocument/2006/relationships/hyperlink" Target="https://manual.jointcommission.org/releases/TJC2015B2/MIF0167.html" TargetMode="External"/><Relationship Id="rId70" Type="http://schemas.openxmlformats.org/officeDocument/2006/relationships/header" Target="header9.xml"/><Relationship Id="rId91" Type="http://schemas.openxmlformats.org/officeDocument/2006/relationships/hyperlink" Target="https://manual.jointcommission.org/releases/TJC2015B2/AppendixATJC.html" TargetMode="External"/><Relationship Id="rId145" Type="http://schemas.openxmlformats.org/officeDocument/2006/relationships/hyperlink" Target="https://manual.jointcommission.org/releases/TJC2015B2/DataElem0268.html" TargetMode="External"/><Relationship Id="rId166" Type="http://schemas.openxmlformats.org/officeDocument/2006/relationships/hyperlink" Target="http://www.qualityforum.org/WorkArea/linkit.aspx?LinkIdentifier=id&amp;ItemID=69573" TargetMode="External"/><Relationship Id="rId187" Type="http://schemas.openxmlformats.org/officeDocument/2006/relationships/hyperlink" Target="https://www.cms.gov/ICD10Manual/version33-fullcode-cms/fullcode_cms/P0386.html"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leapfroggroup.org/survey-materials/security-code" TargetMode="External"/><Relationship Id="rId49" Type="http://schemas.openxmlformats.org/officeDocument/2006/relationships/hyperlink" Target="http://leapfroggroup.org/compare-hospitals" TargetMode="External"/><Relationship Id="rId114" Type="http://schemas.openxmlformats.org/officeDocument/2006/relationships/hyperlink" Target="https://manual.jointcommission.org/releases/TJC2015A1/DataElem0265.html" TargetMode="External"/><Relationship Id="rId60" Type="http://schemas.openxmlformats.org/officeDocument/2006/relationships/header" Target="header4.xml"/><Relationship Id="rId81" Type="http://schemas.openxmlformats.org/officeDocument/2006/relationships/hyperlink" Target="https://manual.jointcommission.org/releases/TJC2015B2/MIF0166.html" TargetMode="External"/><Relationship Id="rId135" Type="http://schemas.openxmlformats.org/officeDocument/2006/relationships/hyperlink" Target="https://manual.jointcommission.org/releases/TJC2015A1/DataElem0265.html" TargetMode="External"/><Relationship Id="rId156" Type="http://schemas.openxmlformats.org/officeDocument/2006/relationships/hyperlink" Target="http://leapfroggroup.org/survey-materials/survey-and-cpoe-materials" TargetMode="External"/><Relationship Id="rId177" Type="http://schemas.openxmlformats.org/officeDocument/2006/relationships/hyperlink" Target="http://www.cdc.gov/nhsn/PDFs/mrsa-cdi/RiskAdjustment-MRSA-CDI.pdf" TargetMode="External"/><Relationship Id="rId198" Type="http://schemas.openxmlformats.org/officeDocument/2006/relationships/header" Target="header20.xml"/><Relationship Id="rId202" Type="http://schemas.openxmlformats.org/officeDocument/2006/relationships/hyperlink" Target="https://leapfroghospitalsurvey.zendesk.com" TargetMode="External"/><Relationship Id="rId18" Type="http://schemas.openxmlformats.org/officeDocument/2006/relationships/hyperlink" Target="https://leapfroghospitalsurvey.zendesk.com" TargetMode="External"/><Relationship Id="rId39" Type="http://schemas.openxmlformats.org/officeDocument/2006/relationships/hyperlink" Target="https://survey.leapfroggroup.org/login?destination=dashboard" TargetMode="External"/><Relationship Id="rId50" Type="http://schemas.openxmlformats.org/officeDocument/2006/relationships/hyperlink" Target="http://leapfroggroup.org/survey-materials/deadlines" TargetMode="External"/><Relationship Id="rId104" Type="http://schemas.openxmlformats.org/officeDocument/2006/relationships/hyperlink" Target="https://manual.jointcommission.org/releases/TJC2015B2/MIF0166.html" TargetMode="External"/><Relationship Id="rId125" Type="http://schemas.openxmlformats.org/officeDocument/2006/relationships/hyperlink" Target="http://pediatrics.aappublications.org/content/114/1/297.full" TargetMode="External"/><Relationship Id="rId146" Type="http://schemas.openxmlformats.org/officeDocument/2006/relationships/hyperlink" Target="https://manual.jointcommission.org/releases/TJC2015B2/AppendixCTJC.html" TargetMode="External"/><Relationship Id="rId167" Type="http://schemas.openxmlformats.org/officeDocument/2006/relationships/hyperlink" Target="http://www.cdc.gov/nhsn/forms/instr/57_103-TOI.pdf" TargetMode="External"/><Relationship Id="rId188" Type="http://schemas.openxmlformats.org/officeDocument/2006/relationships/hyperlink" Target="http://www.leapfroggroup.org/survey-materials/survey-and-cpoe-materials" TargetMode="External"/><Relationship Id="rId71" Type="http://schemas.openxmlformats.org/officeDocument/2006/relationships/hyperlink" Target="http://leapfroggroup.org/ratings-reports/survey-content" TargetMode="External"/><Relationship Id="rId92" Type="http://schemas.openxmlformats.org/officeDocument/2006/relationships/hyperlink" Target="https://manual.jointcommission.org/releases/TJC2015B2/AppendixATJC.html"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leapfroggroup.org/survey-materials/get-started" TargetMode="External"/><Relationship Id="rId40" Type="http://schemas.openxmlformats.org/officeDocument/2006/relationships/hyperlink" Target="http://leapfroggroup.org/survey-materials/get-started" TargetMode="External"/><Relationship Id="rId115" Type="http://schemas.openxmlformats.org/officeDocument/2006/relationships/hyperlink" Target="https://manual.jointcommission.org/releases/TJC2015A1/MIF0167.html" TargetMode="External"/><Relationship Id="rId136" Type="http://schemas.openxmlformats.org/officeDocument/2006/relationships/hyperlink" Target="https://manual.jointcommission.org/releases/TJC2015A1/MIF0168.html" TargetMode="External"/><Relationship Id="rId157" Type="http://schemas.openxmlformats.org/officeDocument/2006/relationships/hyperlink" Target="http://leapfroggroup.org/survey-materials/scoring-and-results" TargetMode="External"/><Relationship Id="rId178" Type="http://schemas.openxmlformats.org/officeDocument/2006/relationships/hyperlink" Target="http://www.cdc.gov/nhsn/pdfs/cms/cms-ipps-cdi-sir.pdf" TargetMode="External"/><Relationship Id="rId61" Type="http://schemas.openxmlformats.org/officeDocument/2006/relationships/header" Target="header5.xml"/><Relationship Id="rId82" Type="http://schemas.openxmlformats.org/officeDocument/2006/relationships/hyperlink" Target="https://manual.jointcommission.org/releases/TJC2015A1/AppendixATJC.html" TargetMode="External"/><Relationship Id="rId199" Type="http://schemas.openxmlformats.org/officeDocument/2006/relationships/header" Target="header21.xml"/><Relationship Id="rId203" Type="http://schemas.openxmlformats.org/officeDocument/2006/relationships/hyperlink" Target="http://www.medicare.gov/hospitalcompare/Data/Data-Updated.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leapfroggroup.org/survey-materials/survey-and-cpoe-materials" TargetMode="External"/><Relationship Id="rId2" Type="http://schemas.openxmlformats.org/officeDocument/2006/relationships/hyperlink" Target="http://www.sccm.org/SCCM/FCCS+and+Training+Courses/" TargetMode="External"/><Relationship Id="rId1" Type="http://schemas.openxmlformats.org/officeDocument/2006/relationships/hyperlink" Target="https://www.aamc.org/members/coth/" TargetMode="External"/><Relationship Id="rId6" Type="http://schemas.openxmlformats.org/officeDocument/2006/relationships/hyperlink" Target="http://www.health.state.mn.us/patientsafety/toolkit/index.html" TargetMode="External"/><Relationship Id="rId5" Type="http://schemas.openxmlformats.org/officeDocument/2006/relationships/hyperlink" Target="http://www.qualityforum.org/WorkArea/linkit.aspx?LinkIdentifier=id&amp;ItemID=69573" TargetMode="External"/><Relationship Id="rId4" Type="http://schemas.openxmlformats.org/officeDocument/2006/relationships/hyperlink" Target="http://www.nursecredentialing.org/Magnet/FindaMagnetFac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EB45E-C1D8-4F74-9144-2CD6C8A3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46463</Words>
  <Characters>264843</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Leapfrog Hospital Survey</vt:lpstr>
    </vt:vector>
  </TitlesOfParts>
  <Company>Thomson Healthcare</Company>
  <LinksUpToDate>false</LinksUpToDate>
  <CharactersWithSpaces>310685</CharactersWithSpaces>
  <SharedDoc>false</SharedDoc>
  <HLinks>
    <vt:vector size="402" baseType="variant">
      <vt:variant>
        <vt:i4>7274570</vt:i4>
      </vt:variant>
      <vt:variant>
        <vt:i4>231</vt:i4>
      </vt:variant>
      <vt:variant>
        <vt:i4>0</vt:i4>
      </vt:variant>
      <vt:variant>
        <vt:i4>5</vt:i4>
      </vt:variant>
      <vt:variant>
        <vt:lpwstr>https://www.leapfroghospitalsurvey.org/survey_downloads/reference.pdf</vt:lpwstr>
      </vt:variant>
      <vt:variant>
        <vt:lpwstr/>
      </vt:variant>
      <vt:variant>
        <vt:i4>1179664</vt:i4>
      </vt:variant>
      <vt:variant>
        <vt:i4>228</vt:i4>
      </vt:variant>
      <vt:variant>
        <vt:i4>0</vt:i4>
      </vt:variant>
      <vt:variant>
        <vt:i4>5</vt:i4>
      </vt:variant>
      <vt:variant>
        <vt:lpwstr>http://www.ihoptimize.org/about-extranet.htm</vt:lpwstr>
      </vt:variant>
      <vt:variant>
        <vt:lpwstr/>
      </vt:variant>
      <vt:variant>
        <vt:i4>327700</vt:i4>
      </vt:variant>
      <vt:variant>
        <vt:i4>225</vt:i4>
      </vt:variant>
      <vt:variant>
        <vt:i4>0</vt:i4>
      </vt:variant>
      <vt:variant>
        <vt:i4>5</vt:i4>
      </vt:variant>
      <vt:variant>
        <vt:lpwstr>http://leapfroghospitalsurvey.org/web/wp-content/uploads/2012/03/2012SurveyReference.pdf</vt:lpwstr>
      </vt:variant>
      <vt:variant>
        <vt:lpwstr/>
      </vt:variant>
      <vt:variant>
        <vt:i4>327700</vt:i4>
      </vt:variant>
      <vt:variant>
        <vt:i4>222</vt:i4>
      </vt:variant>
      <vt:variant>
        <vt:i4>0</vt:i4>
      </vt:variant>
      <vt:variant>
        <vt:i4>5</vt:i4>
      </vt:variant>
      <vt:variant>
        <vt:lpwstr>http://leapfroghospitalsurvey.org/web/wp-content/uploads/2012/03/2012SurveyReference.pdf</vt:lpwstr>
      </vt:variant>
      <vt:variant>
        <vt:lpwstr/>
      </vt:variant>
      <vt:variant>
        <vt:i4>327700</vt:i4>
      </vt:variant>
      <vt:variant>
        <vt:i4>217</vt:i4>
      </vt:variant>
      <vt:variant>
        <vt:i4>0</vt:i4>
      </vt:variant>
      <vt:variant>
        <vt:i4>5</vt:i4>
      </vt:variant>
      <vt:variant>
        <vt:lpwstr>http://leapfroghospitalsurvey.org/web/wp-content/uploads/2012/03/2012SurveyReference.pdf</vt:lpwstr>
      </vt:variant>
      <vt:variant>
        <vt:lpwstr/>
      </vt:variant>
      <vt:variant>
        <vt:i4>327700</vt:i4>
      </vt:variant>
      <vt:variant>
        <vt:i4>213</vt:i4>
      </vt:variant>
      <vt:variant>
        <vt:i4>0</vt:i4>
      </vt:variant>
      <vt:variant>
        <vt:i4>5</vt:i4>
      </vt:variant>
      <vt:variant>
        <vt:lpwstr>http://leapfroghospitalsurvey.org/web/wp-content/uploads/2012/03/2012SurveyReference.pdf</vt:lpwstr>
      </vt:variant>
      <vt:variant>
        <vt:lpwstr/>
      </vt:variant>
      <vt:variant>
        <vt:i4>327700</vt:i4>
      </vt:variant>
      <vt:variant>
        <vt:i4>210</vt:i4>
      </vt:variant>
      <vt:variant>
        <vt:i4>0</vt:i4>
      </vt:variant>
      <vt:variant>
        <vt:i4>5</vt:i4>
      </vt:variant>
      <vt:variant>
        <vt:lpwstr>http://leapfroghospitalsurvey.org/web/wp-content/uploads/2012/03/2012SurveyReference.pdf</vt:lpwstr>
      </vt:variant>
      <vt:variant>
        <vt:lpwstr/>
      </vt:variant>
      <vt:variant>
        <vt:i4>5177345</vt:i4>
      </vt:variant>
      <vt:variant>
        <vt:i4>207</vt:i4>
      </vt:variant>
      <vt:variant>
        <vt:i4>0</vt:i4>
      </vt:variant>
      <vt:variant>
        <vt:i4>5</vt:i4>
      </vt:variant>
      <vt:variant>
        <vt:lpwstr>http://leapfroghospitalsurvey.org/wp-content/uploads/2012/03/2012SurveyReference.pdf</vt:lpwstr>
      </vt:variant>
      <vt:variant>
        <vt:lpwstr/>
      </vt:variant>
      <vt:variant>
        <vt:i4>5177345</vt:i4>
      </vt:variant>
      <vt:variant>
        <vt:i4>204</vt:i4>
      </vt:variant>
      <vt:variant>
        <vt:i4>0</vt:i4>
      </vt:variant>
      <vt:variant>
        <vt:i4>5</vt:i4>
      </vt:variant>
      <vt:variant>
        <vt:lpwstr>http://leapfroghospitalsurvey.org/wp-content/uploads/2012/03/2012SurveyReference.pdf</vt:lpwstr>
      </vt:variant>
      <vt:variant>
        <vt:lpwstr/>
      </vt:variant>
      <vt:variant>
        <vt:i4>5177345</vt:i4>
      </vt:variant>
      <vt:variant>
        <vt:i4>201</vt:i4>
      </vt:variant>
      <vt:variant>
        <vt:i4>0</vt:i4>
      </vt:variant>
      <vt:variant>
        <vt:i4>5</vt:i4>
      </vt:variant>
      <vt:variant>
        <vt:lpwstr>http://leapfroghospitalsurvey.org/wp-content/uploads/2012/03/2012SurveyReference.pdf</vt:lpwstr>
      </vt:variant>
      <vt:variant>
        <vt:lpwstr/>
      </vt:variant>
      <vt:variant>
        <vt:i4>5177345</vt:i4>
      </vt:variant>
      <vt:variant>
        <vt:i4>198</vt:i4>
      </vt:variant>
      <vt:variant>
        <vt:i4>0</vt:i4>
      </vt:variant>
      <vt:variant>
        <vt:i4>5</vt:i4>
      </vt:variant>
      <vt:variant>
        <vt:lpwstr>http://leapfroghospitalsurvey.org/wp-content/uploads/2012/03/2012SurveyReference.pdf</vt:lpwstr>
      </vt:variant>
      <vt:variant>
        <vt:lpwstr/>
      </vt:variant>
      <vt:variant>
        <vt:i4>5177345</vt:i4>
      </vt:variant>
      <vt:variant>
        <vt:i4>195</vt:i4>
      </vt:variant>
      <vt:variant>
        <vt:i4>0</vt:i4>
      </vt:variant>
      <vt:variant>
        <vt:i4>5</vt:i4>
      </vt:variant>
      <vt:variant>
        <vt:lpwstr>http://leapfroghospitalsurvey.org/wp-content/uploads/2012/03/2012SurveyReference.pdf</vt:lpwstr>
      </vt:variant>
      <vt:variant>
        <vt:lpwstr/>
      </vt:variant>
      <vt:variant>
        <vt:i4>5177345</vt:i4>
      </vt:variant>
      <vt:variant>
        <vt:i4>192</vt:i4>
      </vt:variant>
      <vt:variant>
        <vt:i4>0</vt:i4>
      </vt:variant>
      <vt:variant>
        <vt:i4>5</vt:i4>
      </vt:variant>
      <vt:variant>
        <vt:lpwstr>http://leapfroghospitalsurvey.org/wp-content/uploads/2012/03/2012SurveyReference.pdf</vt:lpwstr>
      </vt:variant>
      <vt:variant>
        <vt:lpwstr/>
      </vt:variant>
      <vt:variant>
        <vt:i4>5177345</vt:i4>
      </vt:variant>
      <vt:variant>
        <vt:i4>189</vt:i4>
      </vt:variant>
      <vt:variant>
        <vt:i4>0</vt:i4>
      </vt:variant>
      <vt:variant>
        <vt:i4>5</vt:i4>
      </vt:variant>
      <vt:variant>
        <vt:lpwstr>http://leapfroghospitalsurvey.org/wp-content/uploads/2012/03/2012SurveyReference.pdf</vt:lpwstr>
      </vt:variant>
      <vt:variant>
        <vt:lpwstr/>
      </vt:variant>
      <vt:variant>
        <vt:i4>5177345</vt:i4>
      </vt:variant>
      <vt:variant>
        <vt:i4>186</vt:i4>
      </vt:variant>
      <vt:variant>
        <vt:i4>0</vt:i4>
      </vt:variant>
      <vt:variant>
        <vt:i4>5</vt:i4>
      </vt:variant>
      <vt:variant>
        <vt:lpwstr>http://leapfroghospitalsurvey.org/wp-content/uploads/2012/03/2012SurveyReference.pdf</vt:lpwstr>
      </vt:variant>
      <vt:variant>
        <vt:lpwstr/>
      </vt:variant>
      <vt:variant>
        <vt:i4>5177345</vt:i4>
      </vt:variant>
      <vt:variant>
        <vt:i4>180</vt:i4>
      </vt:variant>
      <vt:variant>
        <vt:i4>0</vt:i4>
      </vt:variant>
      <vt:variant>
        <vt:i4>5</vt:i4>
      </vt:variant>
      <vt:variant>
        <vt:lpwstr>http://leapfroghospitalsurvey.org/wp-content/uploads/2012/03/2012SurveyReference.pdf</vt:lpwstr>
      </vt:variant>
      <vt:variant>
        <vt:lpwstr/>
      </vt:variant>
      <vt:variant>
        <vt:i4>5177345</vt:i4>
      </vt:variant>
      <vt:variant>
        <vt:i4>177</vt:i4>
      </vt:variant>
      <vt:variant>
        <vt:i4>0</vt:i4>
      </vt:variant>
      <vt:variant>
        <vt:i4>5</vt:i4>
      </vt:variant>
      <vt:variant>
        <vt:lpwstr>http://leapfroghospitalsurvey.org/wp-content/uploads/2012/03/2012SurveyReference.pdf</vt:lpwstr>
      </vt:variant>
      <vt:variant>
        <vt:lpwstr/>
      </vt:variant>
      <vt:variant>
        <vt:i4>5177345</vt:i4>
      </vt:variant>
      <vt:variant>
        <vt:i4>174</vt:i4>
      </vt:variant>
      <vt:variant>
        <vt:i4>0</vt:i4>
      </vt:variant>
      <vt:variant>
        <vt:i4>5</vt:i4>
      </vt:variant>
      <vt:variant>
        <vt:lpwstr>http://leapfroghospitalsurvey.org/wp-content/uploads/2012/03/2012SurveyReference.pdf</vt:lpwstr>
      </vt:variant>
      <vt:variant>
        <vt:lpwstr/>
      </vt:variant>
      <vt:variant>
        <vt:i4>5177345</vt:i4>
      </vt:variant>
      <vt:variant>
        <vt:i4>168</vt:i4>
      </vt:variant>
      <vt:variant>
        <vt:i4>0</vt:i4>
      </vt:variant>
      <vt:variant>
        <vt:i4>5</vt:i4>
      </vt:variant>
      <vt:variant>
        <vt:lpwstr>http://leapfroghospitalsurvey.org/wp-content/uploads/2012/03/2012SurveyReference.pdf</vt:lpwstr>
      </vt:variant>
      <vt:variant>
        <vt:lpwstr/>
      </vt:variant>
      <vt:variant>
        <vt:i4>5177345</vt:i4>
      </vt:variant>
      <vt:variant>
        <vt:i4>165</vt:i4>
      </vt:variant>
      <vt:variant>
        <vt:i4>0</vt:i4>
      </vt:variant>
      <vt:variant>
        <vt:i4>5</vt:i4>
      </vt:variant>
      <vt:variant>
        <vt:lpwstr>http://leapfroghospitalsurvey.org/wp-content/uploads/2012/03/2012SurveyReference.pdf</vt:lpwstr>
      </vt:variant>
      <vt:variant>
        <vt:lpwstr/>
      </vt:variant>
      <vt:variant>
        <vt:i4>5177345</vt:i4>
      </vt:variant>
      <vt:variant>
        <vt:i4>159</vt:i4>
      </vt:variant>
      <vt:variant>
        <vt:i4>0</vt:i4>
      </vt:variant>
      <vt:variant>
        <vt:i4>5</vt:i4>
      </vt:variant>
      <vt:variant>
        <vt:lpwstr>http://leapfroghospitalsurvey.org/wp-content/uploads/2012/03/2012SurveyReference.pdf</vt:lpwstr>
      </vt:variant>
      <vt:variant>
        <vt:lpwstr/>
      </vt:variant>
      <vt:variant>
        <vt:i4>5177345</vt:i4>
      </vt:variant>
      <vt:variant>
        <vt:i4>156</vt:i4>
      </vt:variant>
      <vt:variant>
        <vt:i4>0</vt:i4>
      </vt:variant>
      <vt:variant>
        <vt:i4>5</vt:i4>
      </vt:variant>
      <vt:variant>
        <vt:lpwstr>http://leapfroghospitalsurvey.org/wp-content/uploads/2012/03/2012SurveyReference.pdf</vt:lpwstr>
      </vt:variant>
      <vt:variant>
        <vt:lpwstr/>
      </vt:variant>
      <vt:variant>
        <vt:i4>5177345</vt:i4>
      </vt:variant>
      <vt:variant>
        <vt:i4>153</vt:i4>
      </vt:variant>
      <vt:variant>
        <vt:i4>0</vt:i4>
      </vt:variant>
      <vt:variant>
        <vt:i4>5</vt:i4>
      </vt:variant>
      <vt:variant>
        <vt:lpwstr>http://leapfroghospitalsurvey.org/wp-content/uploads/2012/03/2012SurveyReference.pdf</vt:lpwstr>
      </vt:variant>
      <vt:variant>
        <vt:lpwstr/>
      </vt:variant>
      <vt:variant>
        <vt:i4>2097207</vt:i4>
      </vt:variant>
      <vt:variant>
        <vt:i4>150</vt:i4>
      </vt:variant>
      <vt:variant>
        <vt:i4>0</vt:i4>
      </vt:variant>
      <vt:variant>
        <vt:i4>5</vt:i4>
      </vt:variant>
      <vt:variant>
        <vt:lpwstr>https://leapfrog.medstat.com/pdf/VolumeStdCodes.pdf</vt:lpwstr>
      </vt:variant>
      <vt:variant>
        <vt:lpwstr/>
      </vt:variant>
      <vt:variant>
        <vt:i4>5177345</vt:i4>
      </vt:variant>
      <vt:variant>
        <vt:i4>144</vt:i4>
      </vt:variant>
      <vt:variant>
        <vt:i4>0</vt:i4>
      </vt:variant>
      <vt:variant>
        <vt:i4>5</vt:i4>
      </vt:variant>
      <vt:variant>
        <vt:lpwstr>http://leapfroghospitalsurvey.org/wp-content/uploads/2012/03/2012SurveyReference.pdf</vt:lpwstr>
      </vt:variant>
      <vt:variant>
        <vt:lpwstr/>
      </vt:variant>
      <vt:variant>
        <vt:i4>5177345</vt:i4>
      </vt:variant>
      <vt:variant>
        <vt:i4>135</vt:i4>
      </vt:variant>
      <vt:variant>
        <vt:i4>0</vt:i4>
      </vt:variant>
      <vt:variant>
        <vt:i4>5</vt:i4>
      </vt:variant>
      <vt:variant>
        <vt:lpwstr>http://leapfroghospitalsurvey.org/wp-content/uploads/2012/03/2012SurveyReference.pdf</vt:lpwstr>
      </vt:variant>
      <vt:variant>
        <vt:lpwstr/>
      </vt:variant>
      <vt:variant>
        <vt:i4>5177345</vt:i4>
      </vt:variant>
      <vt:variant>
        <vt:i4>126</vt:i4>
      </vt:variant>
      <vt:variant>
        <vt:i4>0</vt:i4>
      </vt:variant>
      <vt:variant>
        <vt:i4>5</vt:i4>
      </vt:variant>
      <vt:variant>
        <vt:lpwstr>http://leapfroghospitalsurvey.org/wp-content/uploads/2012/03/2012SurveyReference.pdf</vt:lpwstr>
      </vt:variant>
      <vt:variant>
        <vt:lpwstr/>
      </vt:variant>
      <vt:variant>
        <vt:i4>5177345</vt:i4>
      </vt:variant>
      <vt:variant>
        <vt:i4>120</vt:i4>
      </vt:variant>
      <vt:variant>
        <vt:i4>0</vt:i4>
      </vt:variant>
      <vt:variant>
        <vt:i4>5</vt:i4>
      </vt:variant>
      <vt:variant>
        <vt:lpwstr>http://leapfroghospitalsurvey.org/wp-content/uploads/2012/03/2012SurveyReference.pdf</vt:lpwstr>
      </vt:variant>
      <vt:variant>
        <vt:lpwstr/>
      </vt:variant>
      <vt:variant>
        <vt:i4>5177345</vt:i4>
      </vt:variant>
      <vt:variant>
        <vt:i4>114</vt:i4>
      </vt:variant>
      <vt:variant>
        <vt:i4>0</vt:i4>
      </vt:variant>
      <vt:variant>
        <vt:i4>5</vt:i4>
      </vt:variant>
      <vt:variant>
        <vt:lpwstr>http://leapfroghospitalsurvey.org/wp-content/uploads/2012/03/2012SurveyReference.pdf</vt:lpwstr>
      </vt:variant>
      <vt:variant>
        <vt:lpwstr/>
      </vt:variant>
      <vt:variant>
        <vt:i4>5177345</vt:i4>
      </vt:variant>
      <vt:variant>
        <vt:i4>102</vt:i4>
      </vt:variant>
      <vt:variant>
        <vt:i4>0</vt:i4>
      </vt:variant>
      <vt:variant>
        <vt:i4>5</vt:i4>
      </vt:variant>
      <vt:variant>
        <vt:lpwstr>http://leapfroghospitalsurvey.org/wp-content/uploads/2012/03/2012SurveyReference.pdf</vt:lpwstr>
      </vt:variant>
      <vt:variant>
        <vt:lpwstr/>
      </vt:variant>
      <vt:variant>
        <vt:i4>5177345</vt:i4>
      </vt:variant>
      <vt:variant>
        <vt:i4>96</vt:i4>
      </vt:variant>
      <vt:variant>
        <vt:i4>0</vt:i4>
      </vt:variant>
      <vt:variant>
        <vt:i4>5</vt:i4>
      </vt:variant>
      <vt:variant>
        <vt:lpwstr>http://leapfroghospitalsurvey.org/wp-content/uploads/2012/03/2012SurveyReference.pdf</vt:lpwstr>
      </vt:variant>
      <vt:variant>
        <vt:lpwstr/>
      </vt:variant>
      <vt:variant>
        <vt:i4>5177345</vt:i4>
      </vt:variant>
      <vt:variant>
        <vt:i4>93</vt:i4>
      </vt:variant>
      <vt:variant>
        <vt:i4>0</vt:i4>
      </vt:variant>
      <vt:variant>
        <vt:i4>5</vt:i4>
      </vt:variant>
      <vt:variant>
        <vt:lpwstr>http://leapfroghospitalsurvey.org/wp-content/uploads/2012/03/2012SurveyReference.pdf</vt:lpwstr>
      </vt:variant>
      <vt:variant>
        <vt:lpwstr/>
      </vt:variant>
      <vt:variant>
        <vt:i4>5177345</vt:i4>
      </vt:variant>
      <vt:variant>
        <vt:i4>84</vt:i4>
      </vt:variant>
      <vt:variant>
        <vt:i4>0</vt:i4>
      </vt:variant>
      <vt:variant>
        <vt:i4>5</vt:i4>
      </vt:variant>
      <vt:variant>
        <vt:lpwstr>http://leapfroghospitalsurvey.org/wp-content/uploads/2012/03/2012SurveyReference.pdf</vt:lpwstr>
      </vt:variant>
      <vt:variant>
        <vt:lpwstr/>
      </vt:variant>
      <vt:variant>
        <vt:i4>5963840</vt:i4>
      </vt:variant>
      <vt:variant>
        <vt:i4>81</vt:i4>
      </vt:variant>
      <vt:variant>
        <vt:i4>0</vt:i4>
      </vt:variant>
      <vt:variant>
        <vt:i4>5</vt:i4>
      </vt:variant>
      <vt:variant>
        <vt:lpwstr>https://leapfrog.medstat.com/pdf/Outcomes.pdf</vt:lpwstr>
      </vt:variant>
      <vt:variant>
        <vt:lpwstr/>
      </vt:variant>
      <vt:variant>
        <vt:i4>5177345</vt:i4>
      </vt:variant>
      <vt:variant>
        <vt:i4>75</vt:i4>
      </vt:variant>
      <vt:variant>
        <vt:i4>0</vt:i4>
      </vt:variant>
      <vt:variant>
        <vt:i4>5</vt:i4>
      </vt:variant>
      <vt:variant>
        <vt:lpwstr>http://leapfroghospitalsurvey.org/wp-content/uploads/2012/03/2012SurveyReference.pdf</vt:lpwstr>
      </vt:variant>
      <vt:variant>
        <vt:lpwstr/>
      </vt:variant>
      <vt:variant>
        <vt:i4>5177345</vt:i4>
      </vt:variant>
      <vt:variant>
        <vt:i4>69</vt:i4>
      </vt:variant>
      <vt:variant>
        <vt:i4>0</vt:i4>
      </vt:variant>
      <vt:variant>
        <vt:i4>5</vt:i4>
      </vt:variant>
      <vt:variant>
        <vt:lpwstr>http://leapfroghospitalsurvey.org/wp-content/uploads/2012/03/2012SurveyReference.pdf</vt:lpwstr>
      </vt:variant>
      <vt:variant>
        <vt:lpwstr/>
      </vt:variant>
      <vt:variant>
        <vt:i4>5177345</vt:i4>
      </vt:variant>
      <vt:variant>
        <vt:i4>66</vt:i4>
      </vt:variant>
      <vt:variant>
        <vt:i4>0</vt:i4>
      </vt:variant>
      <vt:variant>
        <vt:i4>5</vt:i4>
      </vt:variant>
      <vt:variant>
        <vt:lpwstr>http://leapfroghospitalsurvey.org/wp-content/uploads/2012/03/2012SurveyReference.pdf</vt:lpwstr>
      </vt:variant>
      <vt:variant>
        <vt:lpwstr/>
      </vt:variant>
      <vt:variant>
        <vt:i4>5177345</vt:i4>
      </vt:variant>
      <vt:variant>
        <vt:i4>63</vt:i4>
      </vt:variant>
      <vt:variant>
        <vt:i4>0</vt:i4>
      </vt:variant>
      <vt:variant>
        <vt:i4>5</vt:i4>
      </vt:variant>
      <vt:variant>
        <vt:lpwstr>http://leapfroghospitalsurvey.org/wp-content/uploads/2012/03/2012SurveyReference.pdf</vt:lpwstr>
      </vt:variant>
      <vt:variant>
        <vt:lpwstr/>
      </vt:variant>
      <vt:variant>
        <vt:i4>5963840</vt:i4>
      </vt:variant>
      <vt:variant>
        <vt:i4>60</vt:i4>
      </vt:variant>
      <vt:variant>
        <vt:i4>0</vt:i4>
      </vt:variant>
      <vt:variant>
        <vt:i4>5</vt:i4>
      </vt:variant>
      <vt:variant>
        <vt:lpwstr>https://leapfrog.medstat.com/pdf/Outcomes.pdf</vt:lpwstr>
      </vt:variant>
      <vt:variant>
        <vt:lpwstr/>
      </vt:variant>
      <vt:variant>
        <vt:i4>5177345</vt:i4>
      </vt:variant>
      <vt:variant>
        <vt:i4>57</vt:i4>
      </vt:variant>
      <vt:variant>
        <vt:i4>0</vt:i4>
      </vt:variant>
      <vt:variant>
        <vt:i4>5</vt:i4>
      </vt:variant>
      <vt:variant>
        <vt:lpwstr>http://leapfroghospitalsurvey.org/wp-content/uploads/2012/03/2012SurveyReference.pdf</vt:lpwstr>
      </vt:variant>
      <vt:variant>
        <vt:lpwstr/>
      </vt:variant>
      <vt:variant>
        <vt:i4>5177345</vt:i4>
      </vt:variant>
      <vt:variant>
        <vt:i4>51</vt:i4>
      </vt:variant>
      <vt:variant>
        <vt:i4>0</vt:i4>
      </vt:variant>
      <vt:variant>
        <vt:i4>5</vt:i4>
      </vt:variant>
      <vt:variant>
        <vt:lpwstr>http://leapfroghospitalsurvey.org/wp-content/uploads/2012/03/2012SurveyReference.pdf</vt:lpwstr>
      </vt:variant>
      <vt:variant>
        <vt:lpwstr/>
      </vt:variant>
      <vt:variant>
        <vt:i4>5177345</vt:i4>
      </vt:variant>
      <vt:variant>
        <vt:i4>48</vt:i4>
      </vt:variant>
      <vt:variant>
        <vt:i4>0</vt:i4>
      </vt:variant>
      <vt:variant>
        <vt:i4>5</vt:i4>
      </vt:variant>
      <vt:variant>
        <vt:lpwstr>http://leapfroghospitalsurvey.org/wp-content/uploads/2012/03/2012SurveyReference.pdf</vt:lpwstr>
      </vt:variant>
      <vt:variant>
        <vt:lpwstr/>
      </vt:variant>
      <vt:variant>
        <vt:i4>5177345</vt:i4>
      </vt:variant>
      <vt:variant>
        <vt:i4>45</vt:i4>
      </vt:variant>
      <vt:variant>
        <vt:i4>0</vt:i4>
      </vt:variant>
      <vt:variant>
        <vt:i4>5</vt:i4>
      </vt:variant>
      <vt:variant>
        <vt:lpwstr>http://leapfroghospitalsurvey.org/wp-content/uploads/2012/03/2012SurveyReference.pdf</vt:lpwstr>
      </vt:variant>
      <vt:variant>
        <vt:lpwstr/>
      </vt:variant>
      <vt:variant>
        <vt:i4>5177345</vt:i4>
      </vt:variant>
      <vt:variant>
        <vt:i4>42</vt:i4>
      </vt:variant>
      <vt:variant>
        <vt:i4>0</vt:i4>
      </vt:variant>
      <vt:variant>
        <vt:i4>5</vt:i4>
      </vt:variant>
      <vt:variant>
        <vt:lpwstr>http://leapfroghospitalsurvey.org/wp-content/uploads/2012/03/2012SurveyReference.pdf</vt:lpwstr>
      </vt:variant>
      <vt:variant>
        <vt:lpwstr/>
      </vt:variant>
      <vt:variant>
        <vt:i4>5177345</vt:i4>
      </vt:variant>
      <vt:variant>
        <vt:i4>39</vt:i4>
      </vt:variant>
      <vt:variant>
        <vt:i4>0</vt:i4>
      </vt:variant>
      <vt:variant>
        <vt:i4>5</vt:i4>
      </vt:variant>
      <vt:variant>
        <vt:lpwstr>http://leapfroghospitalsurvey.org/wp-content/uploads/2012/03/2012SurveyReference.pdf</vt:lpwstr>
      </vt:variant>
      <vt:variant>
        <vt:lpwstr/>
      </vt:variant>
      <vt:variant>
        <vt:i4>5177345</vt:i4>
      </vt:variant>
      <vt:variant>
        <vt:i4>36</vt:i4>
      </vt:variant>
      <vt:variant>
        <vt:i4>0</vt:i4>
      </vt:variant>
      <vt:variant>
        <vt:i4>5</vt:i4>
      </vt:variant>
      <vt:variant>
        <vt:lpwstr>http://leapfroghospitalsurvey.org/wp-content/uploads/2012/03/2012SurveyReference.pdf</vt:lpwstr>
      </vt:variant>
      <vt:variant>
        <vt:lpwstr/>
      </vt:variant>
      <vt:variant>
        <vt:i4>3997807</vt:i4>
      </vt:variant>
      <vt:variant>
        <vt:i4>33</vt:i4>
      </vt:variant>
      <vt:variant>
        <vt:i4>0</vt:i4>
      </vt:variant>
      <vt:variant>
        <vt:i4>5</vt:i4>
      </vt:variant>
      <vt:variant>
        <vt:lpwstr>https://www.leapfroghospitalsurvey.org/</vt:lpwstr>
      </vt:variant>
      <vt:variant>
        <vt:lpwstr/>
      </vt:variant>
      <vt:variant>
        <vt:i4>5177345</vt:i4>
      </vt:variant>
      <vt:variant>
        <vt:i4>30</vt:i4>
      </vt:variant>
      <vt:variant>
        <vt:i4>0</vt:i4>
      </vt:variant>
      <vt:variant>
        <vt:i4>5</vt:i4>
      </vt:variant>
      <vt:variant>
        <vt:lpwstr>http://leapfroghospitalsurvey.org/wp-content/uploads/2012/03/2012SurveyReference.pdf</vt:lpwstr>
      </vt:variant>
      <vt:variant>
        <vt:lpwstr/>
      </vt:variant>
      <vt:variant>
        <vt:i4>3997807</vt:i4>
      </vt:variant>
      <vt:variant>
        <vt:i4>27</vt:i4>
      </vt:variant>
      <vt:variant>
        <vt:i4>0</vt:i4>
      </vt:variant>
      <vt:variant>
        <vt:i4>5</vt:i4>
      </vt:variant>
      <vt:variant>
        <vt:lpwstr>https://www.leapfroghospitalsurvey.org/</vt:lpwstr>
      </vt:variant>
      <vt:variant>
        <vt:lpwstr/>
      </vt:variant>
      <vt:variant>
        <vt:i4>5177345</vt:i4>
      </vt:variant>
      <vt:variant>
        <vt:i4>24</vt:i4>
      </vt:variant>
      <vt:variant>
        <vt:i4>0</vt:i4>
      </vt:variant>
      <vt:variant>
        <vt:i4>5</vt:i4>
      </vt:variant>
      <vt:variant>
        <vt:lpwstr>http://leapfroghospitalsurvey.org/wp-content/uploads/2012/03/2012SurveyReference.pdf</vt:lpwstr>
      </vt:variant>
      <vt:variant>
        <vt:lpwstr/>
      </vt:variant>
      <vt:variant>
        <vt:i4>3997807</vt:i4>
      </vt:variant>
      <vt:variant>
        <vt:i4>21</vt:i4>
      </vt:variant>
      <vt:variant>
        <vt:i4>0</vt:i4>
      </vt:variant>
      <vt:variant>
        <vt:i4>5</vt:i4>
      </vt:variant>
      <vt:variant>
        <vt:lpwstr>https://www.leapfroghospitalsurvey.org/</vt:lpwstr>
      </vt:variant>
      <vt:variant>
        <vt:lpwstr/>
      </vt:variant>
      <vt:variant>
        <vt:i4>6225931</vt:i4>
      </vt:variant>
      <vt:variant>
        <vt:i4>18</vt:i4>
      </vt:variant>
      <vt:variant>
        <vt:i4>0</vt:i4>
      </vt:variant>
      <vt:variant>
        <vt:i4>5</vt:i4>
      </vt:variant>
      <vt:variant>
        <vt:lpwstr>http://www.leapfroggroup.org/</vt:lpwstr>
      </vt:variant>
      <vt:variant>
        <vt:lpwstr/>
      </vt:variant>
      <vt:variant>
        <vt:i4>3997807</vt:i4>
      </vt:variant>
      <vt:variant>
        <vt:i4>15</vt:i4>
      </vt:variant>
      <vt:variant>
        <vt:i4>0</vt:i4>
      </vt:variant>
      <vt:variant>
        <vt:i4>5</vt:i4>
      </vt:variant>
      <vt:variant>
        <vt:lpwstr>https://www.leapfroghospitalsurvey.org/</vt:lpwstr>
      </vt:variant>
      <vt:variant>
        <vt:lpwstr/>
      </vt:variant>
      <vt:variant>
        <vt:i4>5177345</vt:i4>
      </vt:variant>
      <vt:variant>
        <vt:i4>12</vt:i4>
      </vt:variant>
      <vt:variant>
        <vt:i4>0</vt:i4>
      </vt:variant>
      <vt:variant>
        <vt:i4>5</vt:i4>
      </vt:variant>
      <vt:variant>
        <vt:lpwstr>http://leapfroghospitalsurvey.org/wp-content/uploads/2012/03/2012SurveyReference.pdf</vt:lpwstr>
      </vt:variant>
      <vt:variant>
        <vt:lpwstr/>
      </vt:variant>
      <vt:variant>
        <vt:i4>7733336</vt:i4>
      </vt:variant>
      <vt:variant>
        <vt:i4>9</vt:i4>
      </vt:variant>
      <vt:variant>
        <vt:i4>0</vt:i4>
      </vt:variant>
      <vt:variant>
        <vt:i4>5</vt:i4>
      </vt:variant>
      <vt:variant>
        <vt:lpwstr>mailto:info@leapfroggroup.org</vt:lpwstr>
      </vt:variant>
      <vt:variant>
        <vt:lpwstr/>
      </vt:variant>
      <vt:variant>
        <vt:i4>4325442</vt:i4>
      </vt:variant>
      <vt:variant>
        <vt:i4>6</vt:i4>
      </vt:variant>
      <vt:variant>
        <vt:i4>0</vt:i4>
      </vt:variant>
      <vt:variant>
        <vt:i4>5</vt:i4>
      </vt:variant>
      <vt:variant>
        <vt:lpwstr>http://www.leapfroggroup.org/lhrpreports</vt:lpwstr>
      </vt:variant>
      <vt:variant>
        <vt:lpwstr/>
      </vt:variant>
      <vt:variant>
        <vt:i4>5701632</vt:i4>
      </vt:variant>
      <vt:variant>
        <vt:i4>3</vt:i4>
      </vt:variant>
      <vt:variant>
        <vt:i4>0</vt:i4>
      </vt:variant>
      <vt:variant>
        <vt:i4>5</vt:i4>
      </vt:variant>
      <vt:variant>
        <vt:lpwstr>http://leapfroghospitalsurvey.org/wp-content/uploads/2012/03/2012SurveyResponseReviewProcess.pdf</vt:lpwstr>
      </vt:variant>
      <vt:variant>
        <vt:lpwstr/>
      </vt:variant>
      <vt:variant>
        <vt:i4>3997807</vt:i4>
      </vt:variant>
      <vt:variant>
        <vt:i4>0</vt:i4>
      </vt:variant>
      <vt:variant>
        <vt:i4>0</vt:i4>
      </vt:variant>
      <vt:variant>
        <vt:i4>5</vt:i4>
      </vt:variant>
      <vt:variant>
        <vt:lpwstr>https://www.leapfroghospitalsurvey.org/</vt:lpwstr>
      </vt:variant>
      <vt:variant>
        <vt:lpwstr/>
      </vt:variant>
      <vt:variant>
        <vt:i4>8126519</vt:i4>
      </vt:variant>
      <vt:variant>
        <vt:i4>24</vt:i4>
      </vt:variant>
      <vt:variant>
        <vt:i4>0</vt:i4>
      </vt:variant>
      <vt:variant>
        <vt:i4>5</vt:i4>
      </vt:variant>
      <vt:variant>
        <vt:lpwstr>http://www.leapfroggroup.org/media/file/AdmissionVariabilityCalculator.xls</vt:lpwstr>
      </vt:variant>
      <vt:variant>
        <vt:lpwstr/>
      </vt:variant>
      <vt:variant>
        <vt:i4>3276906</vt:i4>
      </vt:variant>
      <vt:variant>
        <vt:i4>21</vt:i4>
      </vt:variant>
      <vt:variant>
        <vt:i4>0</vt:i4>
      </vt:variant>
      <vt:variant>
        <vt:i4>5</vt:i4>
      </vt:variant>
      <vt:variant>
        <vt:lpwstr>http://www.health.state.mn.us/patientsafety/toolkit/index.html</vt:lpwstr>
      </vt:variant>
      <vt:variant>
        <vt:lpwstr/>
      </vt:variant>
      <vt:variant>
        <vt:i4>7143537</vt:i4>
      </vt:variant>
      <vt:variant>
        <vt:i4>18</vt:i4>
      </vt:variant>
      <vt:variant>
        <vt:i4>0</vt:i4>
      </vt:variant>
      <vt:variant>
        <vt:i4>5</vt:i4>
      </vt:variant>
      <vt:variant>
        <vt:lpwstr>http://www.qualityforum.org/WorkArea/linkit.aspx?LinkIdentifier=id&amp;ItemID=69573</vt:lpwstr>
      </vt:variant>
      <vt:variant>
        <vt:lpwstr/>
      </vt:variant>
      <vt:variant>
        <vt:i4>5374020</vt:i4>
      </vt:variant>
      <vt:variant>
        <vt:i4>15</vt:i4>
      </vt:variant>
      <vt:variant>
        <vt:i4>0</vt:i4>
      </vt:variant>
      <vt:variant>
        <vt:i4>5</vt:i4>
      </vt:variant>
      <vt:variant>
        <vt:lpwstr>http://www.nursecredentialing.org/Magnet/FindaMagnetFacility.aspx</vt:lpwstr>
      </vt:variant>
      <vt:variant>
        <vt:lpwstr/>
      </vt:variant>
      <vt:variant>
        <vt:i4>3014714</vt:i4>
      </vt:variant>
      <vt:variant>
        <vt:i4>12</vt:i4>
      </vt:variant>
      <vt:variant>
        <vt:i4>0</vt:i4>
      </vt:variant>
      <vt:variant>
        <vt:i4>5</vt:i4>
      </vt:variant>
      <vt:variant>
        <vt:lpwstr>http://www.sccm.org/SCCM/FCCS+and+Training+Courses/</vt:lpwstr>
      </vt:variant>
      <vt:variant>
        <vt:lpwstr/>
      </vt:variant>
      <vt:variant>
        <vt:i4>4390984</vt:i4>
      </vt:variant>
      <vt:variant>
        <vt:i4>9</vt:i4>
      </vt:variant>
      <vt:variant>
        <vt:i4>0</vt:i4>
      </vt:variant>
      <vt:variant>
        <vt:i4>5</vt:i4>
      </vt:variant>
      <vt:variant>
        <vt:lpwstr>http://www.ucns.org/</vt:lpwstr>
      </vt:variant>
      <vt:variant>
        <vt:lpwstr/>
      </vt:variant>
      <vt:variant>
        <vt:i4>5177345</vt:i4>
      </vt:variant>
      <vt:variant>
        <vt:i4>6</vt:i4>
      </vt:variant>
      <vt:variant>
        <vt:i4>0</vt:i4>
      </vt:variant>
      <vt:variant>
        <vt:i4>5</vt:i4>
      </vt:variant>
      <vt:variant>
        <vt:lpwstr>http://leapfroghospitalsurvey.org/wp-content/uploads/2012/03/2012SurveyReference.pdf</vt:lpwstr>
      </vt:variant>
      <vt:variant>
        <vt:lpwstr/>
      </vt:variant>
      <vt:variant>
        <vt:i4>5177345</vt:i4>
      </vt:variant>
      <vt:variant>
        <vt:i4>3</vt:i4>
      </vt:variant>
      <vt:variant>
        <vt:i4>0</vt:i4>
      </vt:variant>
      <vt:variant>
        <vt:i4>5</vt:i4>
      </vt:variant>
      <vt:variant>
        <vt:lpwstr>http://leapfroghospitalsurvey.org/wp-content/uploads/2012/03/2012SurveyReference.pdf</vt:lpwstr>
      </vt:variant>
      <vt:variant>
        <vt:lpwstr/>
      </vt:variant>
      <vt:variant>
        <vt:i4>5177345</vt:i4>
      </vt:variant>
      <vt:variant>
        <vt:i4>0</vt:i4>
      </vt:variant>
      <vt:variant>
        <vt:i4>0</vt:i4>
      </vt:variant>
      <vt:variant>
        <vt:i4>5</vt:i4>
      </vt:variant>
      <vt:variant>
        <vt:lpwstr>http://leapfroghospitalsurvey.org/wp-content/uploads/2012/03/2012SurveyReference.pdf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Leapfrog Hospital Survey</dc:title>
  <dc:creator>Melissa Danforth</dc:creator>
  <cp:lastModifiedBy>Alice McGarry</cp:lastModifiedBy>
  <cp:revision>7</cp:revision>
  <cp:lastPrinted>2016-07-12T13:26:00Z</cp:lastPrinted>
  <dcterms:created xsi:type="dcterms:W3CDTF">2016-07-12T13:23:00Z</dcterms:created>
  <dcterms:modified xsi:type="dcterms:W3CDTF">2016-07-12T13:26:00Z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